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2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70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Paya Carlos V</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03/23/2017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righ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5.52</w:t>
            </w: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03/23/2017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right"/>
              <w:ind w:right="21"/>
              <w:spacing w:after="0" w:line="132" w:lineRule="exact"/>
              <w:rPr>
                <w:sz w:val="20"/>
                <w:szCs w:val="20"/>
                <w:color w:val="auto"/>
              </w:rPr>
            </w:pPr>
            <w:r>
              <w:rPr>
                <w:rFonts w:ascii="Arial" w:cs="Arial" w:eastAsia="Arial" w:hAnsi="Arial"/>
                <w:sz w:val="13"/>
                <w:szCs w:val="13"/>
                <w:color w:val="0000FF"/>
                <w:w w:val="98"/>
              </w:rPr>
              <w:t>03/23/2027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25% of the shares underlying the Restricted Stock Units will vest each anniversary after the date of grant on the same day of the month as the date of grant, subject to continued service as a director.</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subject to the Option will vest each anniversary after the date of grant on the same day of the month as the date of grant, subject to continued service as a director.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Nicholas Khadder, Attorney- </w:t>
      </w:r>
      <w:r>
        <w:rPr>
          <w:rFonts w:ascii="Arial" w:cs="Arial" w:eastAsia="Arial" w:hAnsi="Arial"/>
          <w:sz w:val="34"/>
          <w:szCs w:val="34"/>
          <w:color w:val="0000FF"/>
          <w:vertAlign w:val="subscript"/>
        </w:rPr>
        <w:t>03/27/2017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2019-12-04T00:40:26Z</dcterms:created>
  <dcterms:modified xsi:type="dcterms:W3CDTF">2019-12-04T00:40:26Z</dcterms:modified>
</cp:coreProperties>
</file>