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Washington, D.C. 20549</w:t>
      </w:r>
    </w:p>
    <w:p>
      <w:pPr>
        <w:spacing w:after="0" w:line="224" w:lineRule="exact"/>
        <w:rPr>
          <w:sz w:val="24"/>
          <w:szCs w:val="24"/>
          <w:color w:val="auto"/>
        </w:rPr>
      </w:pPr>
    </w:p>
    <w:p>
      <w:pPr>
        <w:ind w:left="3400"/>
        <w:spacing w:after="0"/>
        <w:rPr>
          <w:sz w:val="20"/>
          <w:szCs w:val="20"/>
          <w:color w:val="auto"/>
        </w:rPr>
      </w:pPr>
      <w:r>
        <w:rPr>
          <w:rFonts w:ascii="Arial" w:cs="Arial" w:eastAsia="Arial" w:hAnsi="Arial"/>
          <w:sz w:val="24"/>
          <w:szCs w:val="24"/>
          <w:b w:val="1"/>
          <w:bCs w:val="1"/>
          <w:color w:val="auto"/>
        </w:rPr>
        <w:t>SCHEDULE 13G</w:t>
      </w:r>
    </w:p>
    <w:p>
      <w:pPr>
        <w:spacing w:after="0" w:line="301"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(Amendment No. )*</w:t>
      </w:r>
    </w:p>
    <w:p>
      <w:pPr>
        <w:spacing w:after="0" w:line="200" w:lineRule="exact"/>
        <w:rPr>
          <w:sz w:val="24"/>
          <w:szCs w:val="24"/>
          <w:color w:val="auto"/>
        </w:rPr>
      </w:pPr>
    </w:p>
    <w:p>
      <w:pPr>
        <w:spacing w:after="0" w:line="277"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Fluidigm Corporation</w:t>
      </w:r>
    </w:p>
    <w:p>
      <w:pPr>
        <w:spacing w:after="0" w:line="27" w:lineRule="exact"/>
        <w:rPr>
          <w:sz w:val="24"/>
          <w:szCs w:val="24"/>
          <w:color w:val="auto"/>
        </w:rPr>
      </w:pPr>
    </w:p>
    <w:p>
      <w:pPr>
        <w:ind w:left="620"/>
        <w:spacing w:after="0"/>
        <w:rPr>
          <w:sz w:val="20"/>
          <w:szCs w:val="20"/>
          <w:color w:val="auto"/>
        </w:rPr>
      </w:pPr>
      <w:r>
        <w:rPr>
          <w:rFonts w:ascii="Arial" w:cs="Arial" w:eastAsia="Arial" w:hAnsi="Arial"/>
          <w:sz w:val="17"/>
          <w:szCs w:val="17"/>
          <w:color w:val="auto"/>
        </w:rPr>
        <w:t>__________________________________________________________________________________</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50"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7" w:lineRule="exact"/>
        <w:rPr>
          <w:sz w:val="24"/>
          <w:szCs w:val="24"/>
          <w:color w:val="auto"/>
        </w:rPr>
      </w:pPr>
    </w:p>
    <w:p>
      <w:pPr>
        <w:ind w:left="620"/>
        <w:spacing w:after="0"/>
        <w:rPr>
          <w:sz w:val="20"/>
          <w:szCs w:val="20"/>
          <w:color w:val="auto"/>
        </w:rPr>
      </w:pPr>
      <w:r>
        <w:rPr>
          <w:rFonts w:ascii="Arial" w:cs="Arial" w:eastAsia="Arial" w:hAnsi="Arial"/>
          <w:sz w:val="17"/>
          <w:szCs w:val="17"/>
          <w:color w:val="auto"/>
        </w:rPr>
        <w:t>__________________________________________________________________________________</w:t>
      </w:r>
    </w:p>
    <w:p>
      <w:pPr>
        <w:spacing w:after="0" w:line="21" w:lineRule="exact"/>
        <w:rPr>
          <w:sz w:val="24"/>
          <w:szCs w:val="24"/>
          <w:color w:val="auto"/>
        </w:rPr>
      </w:pPr>
    </w:p>
    <w:p>
      <w:pPr>
        <w:ind w:left="3300"/>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50"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34385P108</w:t>
      </w:r>
    </w:p>
    <w:p>
      <w:pPr>
        <w:spacing w:after="0" w:line="27" w:lineRule="exact"/>
        <w:rPr>
          <w:sz w:val="24"/>
          <w:szCs w:val="24"/>
          <w:color w:val="auto"/>
        </w:rPr>
      </w:pPr>
    </w:p>
    <w:p>
      <w:pPr>
        <w:ind w:left="620"/>
        <w:spacing w:after="0"/>
        <w:rPr>
          <w:sz w:val="20"/>
          <w:szCs w:val="20"/>
          <w:color w:val="auto"/>
        </w:rPr>
      </w:pPr>
      <w:r>
        <w:rPr>
          <w:rFonts w:ascii="Arial" w:cs="Arial" w:eastAsia="Arial" w:hAnsi="Arial"/>
          <w:sz w:val="17"/>
          <w:szCs w:val="17"/>
          <w:color w:val="auto"/>
        </w:rPr>
        <w:t>__________________________________________________________________________________</w:t>
      </w:r>
    </w:p>
    <w:p>
      <w:pPr>
        <w:spacing w:after="0" w:line="21" w:lineRule="exact"/>
        <w:rPr>
          <w:sz w:val="24"/>
          <w:szCs w:val="24"/>
          <w:color w:val="auto"/>
        </w:rPr>
      </w:pPr>
    </w:p>
    <w:p>
      <w:pPr>
        <w:jc w:val="center"/>
        <w:ind w:right="379"/>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379"/>
        <w:spacing w:after="0"/>
        <w:rPr>
          <w:sz w:val="20"/>
          <w:szCs w:val="20"/>
          <w:color w:val="auto"/>
        </w:rPr>
      </w:pPr>
      <w:r>
        <w:rPr>
          <w:rFonts w:ascii="Arial" w:cs="Arial" w:eastAsia="Arial" w:hAnsi="Arial"/>
          <w:sz w:val="18"/>
          <w:szCs w:val="18"/>
          <w:b w:val="1"/>
          <w:bCs w:val="1"/>
          <w:color w:val="auto"/>
        </w:rPr>
        <w:t>March 29, 2019</w:t>
      </w:r>
    </w:p>
    <w:p>
      <w:pPr>
        <w:spacing w:after="0" w:line="27" w:lineRule="exact"/>
        <w:rPr>
          <w:sz w:val="24"/>
          <w:szCs w:val="24"/>
          <w:color w:val="auto"/>
        </w:rPr>
      </w:pPr>
    </w:p>
    <w:p>
      <w:pPr>
        <w:ind w:left="620"/>
        <w:spacing w:after="0"/>
        <w:rPr>
          <w:sz w:val="20"/>
          <w:szCs w:val="20"/>
          <w:color w:val="auto"/>
        </w:rPr>
      </w:pPr>
      <w:r>
        <w:rPr>
          <w:rFonts w:ascii="Arial" w:cs="Arial" w:eastAsia="Arial" w:hAnsi="Arial"/>
          <w:sz w:val="17"/>
          <w:szCs w:val="17"/>
          <w:color w:val="auto"/>
        </w:rPr>
        <w:t>__________________________________________________________________________________</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100" w:right="7639" w:firstLine="5"/>
        <w:spacing w:after="0" w:line="224" w:lineRule="exact"/>
        <w:tabs>
          <w:tab w:leader="none" w:pos="3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02" w:lineRule="exact"/>
        <w:rPr>
          <w:sz w:val="24"/>
          <w:szCs w:val="24"/>
          <w:color w:val="auto"/>
        </w:rPr>
      </w:pPr>
    </w:p>
    <w:p>
      <w:pPr>
        <w:ind w:left="100" w:right="639" w:firstLine="5"/>
        <w:spacing w:after="0" w:line="209" w:lineRule="auto"/>
        <w:tabs>
          <w:tab w:leader="none" w:pos="220" w:val="left"/>
        </w:tabs>
        <w:numPr>
          <w:ilvl w:val="0"/>
          <w:numId w:val="2"/>
        </w:numPr>
        <w:rPr>
          <w:rFonts w:ascii="Arial" w:cs="Arial" w:eastAsia="Arial" w:hAnsi="Arial"/>
          <w:sz w:val="30"/>
          <w:szCs w:val="30"/>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68" w:lineRule="exact"/>
        <w:rPr>
          <w:sz w:val="24"/>
          <w:szCs w:val="24"/>
          <w:color w:val="auto"/>
        </w:rPr>
      </w:pPr>
    </w:p>
    <w:p>
      <w:pPr>
        <w:ind w:left="100" w:right="499"/>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55880</wp:posOffset>
            </wp:positionV>
            <wp:extent cx="535114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226060</wp:posOffset>
            </wp:positionV>
            <wp:extent cx="5351145" cy="6106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51145" cy="6106160"/>
                    </a:xfrm>
                    <a:prstGeom prst="rect">
                      <a:avLst/>
                    </a:prstGeom>
                    <a:noFill/>
                  </pic:spPr>
                </pic:pic>
              </a:graphicData>
            </a:graphic>
          </wp:anchor>
        </w:drawing>
        <w:t>CUSIP No. 34385P108</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Names of Reporting Persons.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Levin Easterly Partners LLC</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83-2400656</w:t>
      </w:r>
    </w:p>
    <w:p>
      <w:pPr>
        <w:spacing w:after="0" w:line="310" w:lineRule="exact"/>
        <w:rPr>
          <w:sz w:val="20"/>
          <w:szCs w:val="20"/>
          <w:color w:val="auto"/>
        </w:rPr>
      </w:pPr>
    </w:p>
    <w:p>
      <w:pPr>
        <w:ind w:left="360" w:hanging="228"/>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290"/>
              <w:spacing w:after="0"/>
              <w:rPr>
                <w:sz w:val="20"/>
                <w:szCs w:val="20"/>
                <w:color w:val="auto"/>
              </w:rPr>
            </w:pPr>
            <w:r>
              <w:rPr>
                <w:rFonts w:ascii="Arial" w:cs="Arial" w:eastAsia="Arial" w:hAnsi="Arial"/>
                <w:sz w:val="18"/>
                <w:szCs w:val="18"/>
                <w:b w:val="1"/>
                <w:bCs w:val="1"/>
                <w:color w:val="auto"/>
                <w:w w:val="94"/>
              </w:rPr>
              <w:t>8,960,859</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7"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color w:val="auto"/>
        </w:rPr>
      </w:pPr>
    </w:p>
    <w:p>
      <w:pPr>
        <w:ind w:left="2620" w:hanging="220"/>
        <w:spacing w:after="0"/>
        <w:tabs>
          <w:tab w:leader="none" w:pos="2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17.7%</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2" w:name="page3"/>
    <w:bookmarkEnd w:id="2"/>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226060</wp:posOffset>
            </wp:positionV>
            <wp:extent cx="5351145" cy="6106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51145" cy="6106160"/>
                    </a:xfrm>
                    <a:prstGeom prst="rect">
                      <a:avLst/>
                    </a:prstGeom>
                    <a:noFill/>
                  </pic:spPr>
                </pic:pic>
              </a:graphicData>
            </a:graphic>
          </wp:anchor>
        </w:drawing>
        <w:t>CUSIP No. 34385P108</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Names of Reporting Persons.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 Partners Holdings LLC</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83-2587475</w:t>
      </w:r>
    </w:p>
    <w:p>
      <w:pPr>
        <w:spacing w:after="0" w:line="310" w:lineRule="exact"/>
        <w:rPr>
          <w:sz w:val="20"/>
          <w:szCs w:val="20"/>
          <w:color w:val="auto"/>
        </w:rPr>
      </w:pPr>
    </w:p>
    <w:p>
      <w:pPr>
        <w:ind w:left="360" w:hanging="228"/>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290"/>
              <w:spacing w:after="0"/>
              <w:rPr>
                <w:sz w:val="20"/>
                <w:szCs w:val="20"/>
                <w:color w:val="auto"/>
              </w:rPr>
            </w:pPr>
            <w:r>
              <w:rPr>
                <w:rFonts w:ascii="Arial" w:cs="Arial" w:eastAsia="Arial" w:hAnsi="Arial"/>
                <w:sz w:val="18"/>
                <w:szCs w:val="18"/>
                <w:b w:val="1"/>
                <w:bCs w:val="1"/>
                <w:color w:val="auto"/>
                <w:w w:val="94"/>
              </w:rPr>
              <w:t>8,960,859</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7"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color w:val="auto"/>
        </w:rPr>
      </w:pPr>
    </w:p>
    <w:p>
      <w:pPr>
        <w:ind w:left="2620" w:hanging="220"/>
        <w:spacing w:after="0"/>
        <w:tabs>
          <w:tab w:leader="none" w:pos="26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17.7%</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3" w:name="page4"/>
    <w:bookmarkEnd w:id="3"/>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226060</wp:posOffset>
            </wp:positionV>
            <wp:extent cx="5351145" cy="6106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51145" cy="6106160"/>
                    </a:xfrm>
                    <a:prstGeom prst="rect">
                      <a:avLst/>
                    </a:prstGeom>
                    <a:noFill/>
                  </pic:spPr>
                </pic:pic>
              </a:graphicData>
            </a:graphic>
          </wp:anchor>
        </w:drawing>
        <w:t>CUSIP No. 34385P108</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Names of Reporting Persons.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 Partners Holdings II LLC</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83-4229605</w:t>
      </w:r>
    </w:p>
    <w:p>
      <w:pPr>
        <w:spacing w:after="0" w:line="310" w:lineRule="exact"/>
        <w:rPr>
          <w:sz w:val="20"/>
          <w:szCs w:val="20"/>
          <w:color w:val="auto"/>
        </w:rPr>
      </w:pPr>
    </w:p>
    <w:p>
      <w:pPr>
        <w:ind w:left="360" w:hanging="22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290"/>
              <w:spacing w:after="0"/>
              <w:rPr>
                <w:sz w:val="20"/>
                <w:szCs w:val="20"/>
                <w:color w:val="auto"/>
              </w:rPr>
            </w:pPr>
            <w:r>
              <w:rPr>
                <w:rFonts w:ascii="Arial" w:cs="Arial" w:eastAsia="Arial" w:hAnsi="Arial"/>
                <w:sz w:val="18"/>
                <w:szCs w:val="18"/>
                <w:b w:val="1"/>
                <w:bCs w:val="1"/>
                <w:color w:val="auto"/>
                <w:w w:val="94"/>
              </w:rPr>
              <w:t>8,960,859</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7"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color w:val="auto"/>
        </w:rPr>
      </w:pPr>
    </w:p>
    <w:p>
      <w:pPr>
        <w:ind w:left="2620" w:hanging="220"/>
        <w:spacing w:after="0"/>
        <w:tabs>
          <w:tab w:leader="none" w:pos="2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17.7%</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4" w:name="page5"/>
    <w:bookmarkEnd w:id="4"/>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226060</wp:posOffset>
            </wp:positionV>
            <wp:extent cx="5351145" cy="6106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51145" cy="6106160"/>
                    </a:xfrm>
                    <a:prstGeom prst="rect">
                      <a:avLst/>
                    </a:prstGeom>
                    <a:noFill/>
                  </pic:spPr>
                </pic:pic>
              </a:graphicData>
            </a:graphic>
          </wp:anchor>
        </w:drawing>
        <w:t>CUSIP No. 34385P108</w:t>
      </w:r>
    </w:p>
    <w:p>
      <w:pPr>
        <w:spacing w:after="0" w:line="50" w:lineRule="exact"/>
        <w:rPr>
          <w:sz w:val="20"/>
          <w:szCs w:val="20"/>
          <w:color w:val="auto"/>
        </w:rPr>
      </w:pPr>
    </w:p>
    <w:p>
      <w:pPr>
        <w:ind w:left="360" w:hanging="228"/>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 Partners Holdings III LLC</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83-4195384</w:t>
      </w:r>
    </w:p>
    <w:p>
      <w:pPr>
        <w:spacing w:after="0" w:line="310" w:lineRule="exact"/>
        <w:rPr>
          <w:sz w:val="20"/>
          <w:szCs w:val="20"/>
          <w:color w:val="auto"/>
        </w:rPr>
      </w:pPr>
    </w:p>
    <w:p>
      <w:pPr>
        <w:ind w:left="360" w:hanging="228"/>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290"/>
              <w:spacing w:after="0"/>
              <w:rPr>
                <w:sz w:val="20"/>
                <w:szCs w:val="20"/>
                <w:color w:val="auto"/>
              </w:rPr>
            </w:pPr>
            <w:r>
              <w:rPr>
                <w:rFonts w:ascii="Arial" w:cs="Arial" w:eastAsia="Arial" w:hAnsi="Arial"/>
                <w:sz w:val="18"/>
                <w:szCs w:val="18"/>
                <w:b w:val="1"/>
                <w:bCs w:val="1"/>
                <w:color w:val="auto"/>
                <w:w w:val="94"/>
              </w:rPr>
              <w:t>8,960,859</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7"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color w:val="auto"/>
        </w:rPr>
      </w:pPr>
    </w:p>
    <w:p>
      <w:pPr>
        <w:ind w:left="2620" w:hanging="220"/>
        <w:spacing w:after="0"/>
        <w:tabs>
          <w:tab w:leader="none" w:pos="2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17.7%</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5" w:name="page6"/>
    <w:bookmarkEnd w:id="5"/>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226060</wp:posOffset>
            </wp:positionV>
            <wp:extent cx="5351145" cy="6106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51145" cy="6106160"/>
                    </a:xfrm>
                    <a:prstGeom prst="rect">
                      <a:avLst/>
                    </a:prstGeom>
                    <a:noFill/>
                  </pic:spPr>
                </pic:pic>
              </a:graphicData>
            </a:graphic>
          </wp:anchor>
        </w:drawing>
        <w:t>CUSIP No. 34385P108</w:t>
      </w:r>
    </w:p>
    <w:p>
      <w:pPr>
        <w:spacing w:after="0" w:line="50" w:lineRule="exact"/>
        <w:rPr>
          <w:sz w:val="20"/>
          <w:szCs w:val="20"/>
          <w:color w:val="auto"/>
        </w:rPr>
      </w:pPr>
    </w:p>
    <w:p>
      <w:pPr>
        <w:ind w:left="360" w:hanging="228"/>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 Partners Holdings IV LLC</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83-4246600</w:t>
      </w:r>
    </w:p>
    <w:p>
      <w:pPr>
        <w:spacing w:after="0" w:line="310" w:lineRule="exact"/>
        <w:rPr>
          <w:sz w:val="20"/>
          <w:szCs w:val="20"/>
          <w:color w:val="auto"/>
        </w:rPr>
      </w:pPr>
    </w:p>
    <w:p>
      <w:pPr>
        <w:ind w:left="360" w:hanging="22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290"/>
              <w:spacing w:after="0"/>
              <w:rPr>
                <w:sz w:val="20"/>
                <w:szCs w:val="20"/>
                <w:color w:val="auto"/>
              </w:rPr>
            </w:pPr>
            <w:r>
              <w:rPr>
                <w:rFonts w:ascii="Arial" w:cs="Arial" w:eastAsia="Arial" w:hAnsi="Arial"/>
                <w:sz w:val="18"/>
                <w:szCs w:val="18"/>
                <w:b w:val="1"/>
                <w:bCs w:val="1"/>
                <w:color w:val="auto"/>
                <w:w w:val="94"/>
              </w:rPr>
              <w:t>8,960,859</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7"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color w:val="auto"/>
        </w:rPr>
      </w:pPr>
    </w:p>
    <w:p>
      <w:pPr>
        <w:ind w:left="2620" w:hanging="220"/>
        <w:spacing w:after="0"/>
        <w:tabs>
          <w:tab w:leader="none" w:pos="26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17.7%</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6" w:name="page7"/>
    <w:bookmarkEnd w:id="6"/>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380365</wp:posOffset>
            </wp:positionV>
            <wp:extent cx="5351145" cy="60718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51145" cy="6071870"/>
                    </a:xfrm>
                    <a:prstGeom prst="rect">
                      <a:avLst/>
                    </a:prstGeom>
                    <a:noFill/>
                  </pic:spPr>
                </pic:pic>
              </a:graphicData>
            </a:graphic>
          </wp:anchor>
        </w:drawing>
        <w:t>CUSIP No. 34385P108</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Names of Reporting Persons.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Darrell Crate</w:t>
      </w:r>
    </w:p>
    <w:p>
      <w:pPr>
        <w:spacing w:after="0" w:line="200" w:lineRule="exact"/>
        <w:rPr>
          <w:sz w:val="20"/>
          <w:szCs w:val="20"/>
          <w:color w:val="auto"/>
        </w:rPr>
      </w:pPr>
    </w:p>
    <w:p>
      <w:pPr>
        <w:spacing w:after="0" w:line="353" w:lineRule="exact"/>
        <w:rPr>
          <w:sz w:val="20"/>
          <w:szCs w:val="20"/>
          <w:color w:val="auto"/>
        </w:rPr>
      </w:pPr>
    </w:p>
    <w:p>
      <w:pPr>
        <w:ind w:left="360" w:hanging="228"/>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36"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292" w:lineRule="exact"/>
        <w:rPr>
          <w:rFonts w:ascii="Arial" w:cs="Arial" w:eastAsia="Arial" w:hAnsi="Arial"/>
          <w:sz w:val="18"/>
          <w:szCs w:val="18"/>
          <w:color w:val="auto"/>
        </w:rPr>
      </w:pPr>
    </w:p>
    <w:p>
      <w:pPr>
        <w:ind w:left="360" w:hanging="228"/>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290"/>
              <w:spacing w:after="0"/>
              <w:rPr>
                <w:sz w:val="20"/>
                <w:szCs w:val="20"/>
                <w:color w:val="auto"/>
              </w:rPr>
            </w:pPr>
            <w:r>
              <w:rPr>
                <w:rFonts w:ascii="Arial" w:cs="Arial" w:eastAsia="Arial" w:hAnsi="Arial"/>
                <w:sz w:val="18"/>
                <w:szCs w:val="18"/>
                <w:b w:val="1"/>
                <w:bCs w:val="1"/>
                <w:color w:val="auto"/>
                <w:w w:val="94"/>
              </w:rPr>
              <w:t>8,960,859</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7"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color w:val="auto"/>
        </w:rPr>
      </w:pPr>
    </w:p>
    <w:p>
      <w:pPr>
        <w:ind w:left="2620" w:hanging="220"/>
        <w:spacing w:after="0"/>
        <w:tabs>
          <w:tab w:leader="none" w:pos="2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17.7%</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 w:name="page8"/>
    <w:bookmarkEnd w:id="7"/>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226060</wp:posOffset>
            </wp:positionV>
            <wp:extent cx="5351145" cy="6071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51145" cy="6071870"/>
                    </a:xfrm>
                    <a:prstGeom prst="rect">
                      <a:avLst/>
                    </a:prstGeom>
                    <a:noFill/>
                  </pic:spPr>
                </pic:pic>
              </a:graphicData>
            </a:graphic>
          </wp:anchor>
        </w:drawing>
        <w:t>CUSIP No. 34385P108</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Names of Reporting Persons.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Avshalom Kalichstein</w:t>
      </w:r>
    </w:p>
    <w:p>
      <w:pPr>
        <w:spacing w:after="0" w:line="200" w:lineRule="exact"/>
        <w:rPr>
          <w:sz w:val="20"/>
          <w:szCs w:val="20"/>
          <w:color w:val="auto"/>
        </w:rPr>
      </w:pPr>
    </w:p>
    <w:p>
      <w:pPr>
        <w:spacing w:after="0" w:line="353" w:lineRule="exact"/>
        <w:rPr>
          <w:sz w:val="20"/>
          <w:szCs w:val="20"/>
          <w:color w:val="auto"/>
        </w:rPr>
      </w:pPr>
    </w:p>
    <w:p>
      <w:pPr>
        <w:ind w:left="360" w:hanging="228"/>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36"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292" w:lineRule="exact"/>
        <w:rPr>
          <w:rFonts w:ascii="Arial" w:cs="Arial" w:eastAsia="Arial" w:hAnsi="Arial"/>
          <w:sz w:val="18"/>
          <w:szCs w:val="18"/>
          <w:color w:val="auto"/>
        </w:rPr>
      </w:pPr>
    </w:p>
    <w:p>
      <w:pPr>
        <w:ind w:left="360" w:hanging="228"/>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290"/>
              <w:spacing w:after="0"/>
              <w:rPr>
                <w:sz w:val="20"/>
                <w:szCs w:val="20"/>
                <w:color w:val="auto"/>
              </w:rPr>
            </w:pPr>
            <w:r>
              <w:rPr>
                <w:rFonts w:ascii="Arial" w:cs="Arial" w:eastAsia="Arial" w:hAnsi="Arial"/>
                <w:sz w:val="18"/>
                <w:szCs w:val="18"/>
                <w:b w:val="1"/>
                <w:bCs w:val="1"/>
                <w:color w:val="auto"/>
                <w:w w:val="94"/>
              </w:rPr>
              <w:t>8,960,859</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7"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color w:val="auto"/>
        </w:rPr>
      </w:pPr>
    </w:p>
    <w:p>
      <w:pPr>
        <w:ind w:left="2620" w:hanging="220"/>
        <w:spacing w:after="0"/>
        <w:tabs>
          <w:tab w:leader="none" w:pos="2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12,226,430</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17.7%</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8" w:name="page9"/>
    <w:bookmarkEnd w:id="8"/>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226060</wp:posOffset>
            </wp:positionV>
            <wp:extent cx="5351145" cy="59518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5951855"/>
                    </a:xfrm>
                    <a:prstGeom prst="rect">
                      <a:avLst/>
                    </a:prstGeom>
                    <a:noFill/>
                  </pic:spPr>
                </pic:pic>
              </a:graphicData>
            </a:graphic>
          </wp:anchor>
        </w:drawing>
        <w:t>CUSIP No. 34385P108</w:t>
      </w:r>
    </w:p>
    <w:p>
      <w:pPr>
        <w:spacing w:after="0" w:line="50" w:lineRule="exact"/>
        <w:rPr>
          <w:sz w:val="20"/>
          <w:szCs w:val="20"/>
          <w:color w:val="auto"/>
        </w:rPr>
      </w:pPr>
    </w:p>
    <w:p>
      <w:pPr>
        <w:ind w:left="360" w:hanging="228"/>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John Murphy</w:t>
      </w:r>
    </w:p>
    <w:p>
      <w:pPr>
        <w:spacing w:after="0" w:line="310" w:lineRule="exact"/>
        <w:rPr>
          <w:sz w:val="20"/>
          <w:szCs w:val="20"/>
          <w:color w:val="auto"/>
        </w:rPr>
      </w:pPr>
    </w:p>
    <w:p>
      <w:pPr>
        <w:ind w:left="360" w:hanging="228"/>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290"/>
              <w:spacing w:after="0"/>
              <w:rPr>
                <w:sz w:val="20"/>
                <w:szCs w:val="20"/>
                <w:color w:val="auto"/>
              </w:rPr>
            </w:pPr>
            <w:r>
              <w:rPr>
                <w:rFonts w:ascii="Arial" w:cs="Arial" w:eastAsia="Arial" w:hAnsi="Arial"/>
                <w:sz w:val="18"/>
                <w:szCs w:val="18"/>
                <w:b w:val="1"/>
                <w:bCs w:val="1"/>
                <w:color w:val="auto"/>
                <w:w w:val="94"/>
              </w:rPr>
              <w:t>8,965,855</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9"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20"/>
          <w:szCs w:val="20"/>
          <w:color w:val="auto"/>
        </w:rPr>
        <w:t>0</w:t>
      </w:r>
    </w:p>
    <w:p>
      <w:pPr>
        <w:spacing w:after="0" w:line="299" w:lineRule="exact"/>
        <w:rPr>
          <w:rFonts w:ascii="Arial" w:cs="Arial" w:eastAsia="Arial" w:hAnsi="Arial"/>
          <w:sz w:val="18"/>
          <w:szCs w:val="18"/>
          <w:color w:val="auto"/>
        </w:rPr>
      </w:pPr>
    </w:p>
    <w:p>
      <w:pPr>
        <w:ind w:left="2620" w:hanging="220"/>
        <w:spacing w:after="0"/>
        <w:tabs>
          <w:tab w:leader="none" w:pos="26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12,231,426</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12,231,426</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17.7%</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9" w:name="page10"/>
    <w:bookmarkEnd w:id="9"/>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981075</wp:posOffset>
            </wp:positionH>
            <wp:positionV relativeFrom="page">
              <wp:posOffset>226060</wp:posOffset>
            </wp:positionV>
            <wp:extent cx="5351145" cy="6106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351145" cy="6106160"/>
                    </a:xfrm>
                    <a:prstGeom prst="rect">
                      <a:avLst/>
                    </a:prstGeom>
                    <a:noFill/>
                  </pic:spPr>
                </pic:pic>
              </a:graphicData>
            </a:graphic>
          </wp:anchor>
        </w:drawing>
        <w:t>CUSIP No. 34385P108</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1. Names of Reporting Persons.</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I.R.S. Identification Nos. of Above Persons (Entities Only)</w:t>
      </w:r>
    </w:p>
    <w:p>
      <w:pPr>
        <w:spacing w:after="0" w:line="3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Levin Capital Strategies, LP</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87-0753486</w:t>
      </w:r>
    </w:p>
    <w:p>
      <w:pPr>
        <w:spacing w:after="0" w:line="310" w:lineRule="exact"/>
        <w:rPr>
          <w:sz w:val="20"/>
          <w:szCs w:val="20"/>
          <w:color w:val="auto"/>
        </w:rPr>
      </w:pPr>
    </w:p>
    <w:p>
      <w:pPr>
        <w:ind w:left="360" w:hanging="228"/>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(a) o</w:t>
      </w:r>
    </w:p>
    <w:p>
      <w:pPr>
        <w:spacing w:after="0" w:line="4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(b) o</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06" w:lineRule="exact"/>
        <w:rPr>
          <w:rFonts w:ascii="Arial" w:cs="Arial" w:eastAsia="Arial" w:hAnsi="Arial"/>
          <w:sz w:val="18"/>
          <w:szCs w:val="18"/>
          <w:color w:val="auto"/>
        </w:rPr>
      </w:pPr>
    </w:p>
    <w:p>
      <w:pPr>
        <w:ind w:left="360" w:hanging="228"/>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Delaware</w:t>
      </w:r>
    </w:p>
    <w:p>
      <w:pPr>
        <w:spacing w:after="0" w:line="310"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6160" w:type="dxa"/>
            <w:vAlign w:val="bottom"/>
          </w:tcPr>
          <w:p>
            <w:pPr>
              <w:ind w:left="20"/>
              <w:spacing w:after="0"/>
              <w:rPr>
                <w:sz w:val="20"/>
                <w:szCs w:val="20"/>
                <w:color w:val="auto"/>
              </w:rPr>
            </w:pPr>
            <w:r>
              <w:rPr>
                <w:rFonts w:ascii="Arial" w:cs="Arial" w:eastAsia="Arial" w:hAnsi="Arial"/>
                <w:sz w:val="18"/>
                <w:szCs w:val="18"/>
                <w:color w:val="auto"/>
              </w:rPr>
              <w:t>5. Sole Voting Power</w:t>
            </w:r>
          </w:p>
        </w:tc>
        <w:tc>
          <w:tcPr>
            <w:tcW w:w="0" w:type="dxa"/>
            <w:vAlign w:val="bottom"/>
          </w:tcPr>
          <w:p>
            <w:pPr>
              <w:spacing w:after="0"/>
              <w:rPr>
                <w:sz w:val="1"/>
                <w:szCs w:val="1"/>
                <w:color w:val="auto"/>
              </w:rPr>
            </w:pPr>
          </w:p>
        </w:tc>
      </w:tr>
      <w:tr>
        <w:trPr>
          <w:trHeight w:val="250"/>
        </w:trPr>
        <w:tc>
          <w:tcPr>
            <w:tcW w:w="2120" w:type="dxa"/>
            <w:vAlign w:val="bottom"/>
            <w:vMerge w:val="restart"/>
          </w:tcPr>
          <w:p>
            <w:pPr>
              <w:spacing w:after="0"/>
              <w:rPr>
                <w:sz w:val="20"/>
                <w:szCs w:val="20"/>
                <w:color w:val="auto"/>
              </w:rPr>
            </w:pPr>
            <w:r>
              <w:rPr>
                <w:rFonts w:ascii="Arial" w:cs="Arial" w:eastAsia="Arial" w:hAnsi="Arial"/>
                <w:sz w:val="18"/>
                <w:szCs w:val="18"/>
                <w:color w:val="auto"/>
              </w:rPr>
              <w:t>Number of Shares</w:t>
            </w:r>
          </w:p>
        </w:tc>
        <w:tc>
          <w:tcPr>
            <w:tcW w:w="6160" w:type="dxa"/>
            <w:vAlign w:val="bottom"/>
            <w:tcBorders>
              <w:bottom w:val="single" w:sz="8" w:color="auto"/>
            </w:tcBorders>
          </w:tcPr>
          <w:p>
            <w:pPr>
              <w:jc w:val="right"/>
              <w:ind w:right="583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48"/>
        </w:trPr>
        <w:tc>
          <w:tcPr>
            <w:tcW w:w="2120" w:type="dxa"/>
            <w:vAlign w:val="bottom"/>
            <w:vMerge w:val="continue"/>
          </w:tcPr>
          <w:p>
            <w:pPr>
              <w:spacing w:after="0"/>
              <w:rPr>
                <w:sz w:val="12"/>
                <w:szCs w:val="12"/>
                <w:color w:val="auto"/>
              </w:rPr>
            </w:pPr>
          </w:p>
        </w:tc>
        <w:tc>
          <w:tcPr>
            <w:tcW w:w="6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12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6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120" w:type="dxa"/>
            <w:vAlign w:val="bottom"/>
            <w:vMerge w:val="continue"/>
          </w:tcPr>
          <w:p>
            <w:pPr>
              <w:spacing w:after="0"/>
              <w:rPr>
                <w:sz w:val="8"/>
                <w:szCs w:val="8"/>
                <w:color w:val="auto"/>
              </w:rPr>
            </w:pPr>
          </w:p>
        </w:tc>
        <w:tc>
          <w:tcPr>
            <w:tcW w:w="6160" w:type="dxa"/>
            <w:vAlign w:val="bottom"/>
            <w:vMerge w:val="restart"/>
          </w:tcPr>
          <w:p>
            <w:pPr>
              <w:ind w:left="20"/>
              <w:spacing w:after="0"/>
              <w:rPr>
                <w:sz w:val="20"/>
                <w:szCs w:val="20"/>
                <w:color w:val="auto"/>
              </w:rPr>
            </w:pPr>
            <w:r>
              <w:rPr>
                <w:rFonts w:ascii="Arial" w:cs="Arial" w:eastAsia="Arial" w:hAnsi="Arial"/>
                <w:sz w:val="18"/>
                <w:szCs w:val="18"/>
                <w:color w:val="auto"/>
              </w:rPr>
              <w:t>6. Shared Voting Power</w:t>
            </w:r>
          </w:p>
        </w:tc>
        <w:tc>
          <w:tcPr>
            <w:tcW w:w="0" w:type="dxa"/>
            <w:vAlign w:val="bottom"/>
          </w:tcPr>
          <w:p>
            <w:pPr>
              <w:spacing w:after="0"/>
              <w:rPr>
                <w:sz w:val="1"/>
                <w:szCs w:val="1"/>
                <w:color w:val="auto"/>
              </w:rPr>
            </w:pPr>
          </w:p>
        </w:tc>
      </w:tr>
      <w:tr>
        <w:trPr>
          <w:trHeight w:val="123"/>
        </w:trPr>
        <w:tc>
          <w:tcPr>
            <w:tcW w:w="2120" w:type="dxa"/>
            <w:vAlign w:val="bottom"/>
            <w:vMerge w:val="restart"/>
          </w:tcPr>
          <w:p>
            <w:pPr>
              <w:spacing w:after="0"/>
              <w:rPr>
                <w:sz w:val="20"/>
                <w:szCs w:val="20"/>
                <w:color w:val="auto"/>
              </w:rPr>
            </w:pPr>
            <w:r>
              <w:rPr>
                <w:rFonts w:ascii="Arial" w:cs="Arial" w:eastAsia="Arial" w:hAnsi="Arial"/>
                <w:sz w:val="18"/>
                <w:szCs w:val="18"/>
                <w:color w:val="auto"/>
              </w:rPr>
              <w:t>Owned by</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120" w:type="dxa"/>
            <w:vAlign w:val="bottom"/>
            <w:vMerge w:val="continue"/>
          </w:tcPr>
          <w:p>
            <w:pPr>
              <w:spacing w:after="0"/>
              <w:rPr>
                <w:sz w:val="8"/>
                <w:szCs w:val="8"/>
                <w:color w:val="auto"/>
              </w:rPr>
            </w:pPr>
          </w:p>
        </w:tc>
        <w:tc>
          <w:tcPr>
            <w:tcW w:w="6160" w:type="dxa"/>
            <w:vAlign w:val="bottom"/>
            <w:vMerge w:val="restart"/>
          </w:tcPr>
          <w:p>
            <w:pPr>
              <w:jc w:val="right"/>
              <w:ind w:right="5590"/>
              <w:spacing w:after="0"/>
              <w:rPr>
                <w:sz w:val="20"/>
                <w:szCs w:val="20"/>
                <w:color w:val="auto"/>
              </w:rPr>
            </w:pPr>
            <w:r>
              <w:rPr>
                <w:rFonts w:ascii="Arial" w:cs="Arial" w:eastAsia="Arial" w:hAnsi="Arial"/>
                <w:sz w:val="18"/>
                <w:szCs w:val="18"/>
                <w:b w:val="1"/>
                <w:bCs w:val="1"/>
                <w:color w:val="auto"/>
              </w:rPr>
              <w:t>4,996</w:t>
            </w:r>
          </w:p>
        </w:tc>
        <w:tc>
          <w:tcPr>
            <w:tcW w:w="0" w:type="dxa"/>
            <w:vAlign w:val="bottom"/>
          </w:tcPr>
          <w:p>
            <w:pPr>
              <w:spacing w:after="0"/>
              <w:rPr>
                <w:sz w:val="1"/>
                <w:szCs w:val="1"/>
                <w:color w:val="auto"/>
              </w:rPr>
            </w:pPr>
          </w:p>
        </w:tc>
      </w:tr>
      <w:tr>
        <w:trPr>
          <w:trHeight w:val="161"/>
        </w:trPr>
        <w:tc>
          <w:tcPr>
            <w:tcW w:w="2120" w:type="dxa"/>
            <w:vAlign w:val="bottom"/>
          </w:tcPr>
          <w:p>
            <w:pPr>
              <w:spacing w:after="0" w:line="157" w:lineRule="exact"/>
              <w:rPr>
                <w:sz w:val="20"/>
                <w:szCs w:val="20"/>
                <w:color w:val="auto"/>
              </w:rPr>
            </w:pPr>
            <w:r>
              <w:rPr>
                <w:rFonts w:ascii="Arial" w:cs="Arial" w:eastAsia="Arial" w:hAnsi="Arial"/>
                <w:sz w:val="18"/>
                <w:szCs w:val="18"/>
                <w:color w:val="auto"/>
              </w:rPr>
              <w:t>Each Reporting</w:t>
            </w:r>
          </w:p>
        </w:tc>
        <w:tc>
          <w:tcPr>
            <w:tcW w:w="61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0"/>
                <w:szCs w:val="20"/>
                <w:color w:val="auto"/>
              </w:rPr>
            </w:pPr>
            <w:r>
              <w:rPr>
                <w:rFonts w:ascii="Arial" w:cs="Arial" w:eastAsia="Arial" w:hAnsi="Arial"/>
                <w:sz w:val="18"/>
                <w:szCs w:val="18"/>
                <w:color w:val="auto"/>
              </w:rPr>
              <w:t>Person With:</w:t>
            </w:r>
          </w:p>
        </w:tc>
        <w:tc>
          <w:tcPr>
            <w:tcW w:w="6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left="2620" w:hanging="220"/>
        <w:spacing w:after="0"/>
        <w:tabs>
          <w:tab w:leader="none" w:pos="2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Sole Dispositive Power</w:t>
      </w:r>
    </w:p>
    <w:p>
      <w:pPr>
        <w:spacing w:after="0" w:line="17"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0</w:t>
      </w:r>
    </w:p>
    <w:p>
      <w:pPr>
        <w:spacing w:after="0" w:line="310" w:lineRule="exact"/>
        <w:rPr>
          <w:rFonts w:ascii="Arial" w:cs="Arial" w:eastAsia="Arial" w:hAnsi="Arial"/>
          <w:sz w:val="18"/>
          <w:szCs w:val="18"/>
          <w:color w:val="auto"/>
        </w:rPr>
      </w:pPr>
    </w:p>
    <w:p>
      <w:pPr>
        <w:ind w:left="2620" w:hanging="220"/>
        <w:spacing w:after="0"/>
        <w:tabs>
          <w:tab w:leader="none" w:pos="26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32" w:lineRule="exact"/>
        <w:rPr>
          <w:rFonts w:ascii="Arial" w:cs="Arial" w:eastAsia="Arial" w:hAnsi="Arial"/>
          <w:sz w:val="18"/>
          <w:szCs w:val="18"/>
          <w:color w:val="auto"/>
        </w:rPr>
      </w:pPr>
    </w:p>
    <w:p>
      <w:pPr>
        <w:ind w:left="2540"/>
        <w:spacing w:after="0"/>
        <w:rPr>
          <w:rFonts w:ascii="Arial" w:cs="Arial" w:eastAsia="Arial" w:hAnsi="Arial"/>
          <w:sz w:val="18"/>
          <w:szCs w:val="18"/>
          <w:color w:val="auto"/>
        </w:rPr>
      </w:pPr>
      <w:r>
        <w:rPr>
          <w:rFonts w:ascii="Arial" w:cs="Arial" w:eastAsia="Arial" w:hAnsi="Arial"/>
          <w:sz w:val="18"/>
          <w:szCs w:val="18"/>
          <w:b w:val="1"/>
          <w:bCs w:val="1"/>
          <w:color w:val="auto"/>
        </w:rPr>
        <w:t>4,996</w:t>
      </w:r>
    </w:p>
    <w:p>
      <w:pPr>
        <w:spacing w:after="0" w:line="310" w:lineRule="exact"/>
        <w:rPr>
          <w:rFonts w:ascii="Arial" w:cs="Arial" w:eastAsia="Arial" w:hAnsi="Arial"/>
          <w:sz w:val="18"/>
          <w:szCs w:val="18"/>
          <w:color w:val="auto"/>
        </w:rPr>
      </w:pPr>
    </w:p>
    <w:p>
      <w:pPr>
        <w:ind w:left="340" w:hanging="208"/>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4,996</w:t>
      </w:r>
    </w:p>
    <w:p>
      <w:pPr>
        <w:spacing w:after="0" w:line="310" w:lineRule="exact"/>
        <w:rPr>
          <w:sz w:val="20"/>
          <w:szCs w:val="20"/>
          <w:color w:val="auto"/>
        </w:rPr>
      </w:pPr>
    </w:p>
    <w:p>
      <w:pPr>
        <w:ind w:left="140"/>
        <w:spacing w:after="0"/>
        <w:tabs>
          <w:tab w:leader="none" w:pos="5860" w:val="left"/>
        </w:tabs>
        <w:rPr>
          <w:sz w:val="20"/>
          <w:szCs w:val="20"/>
          <w:color w:val="auto"/>
        </w:rPr>
      </w:pPr>
      <w:r>
        <w:rPr>
          <w:rFonts w:ascii="Arial" w:cs="Arial" w:eastAsia="Arial" w:hAnsi="Arial"/>
          <w:sz w:val="18"/>
          <w:szCs w:val="18"/>
          <w:color w:val="auto"/>
        </w:rPr>
        <w:t>10. Check if the Aggregate Amount in Row (9) Excludes Certain Shares</w:t>
      </w:r>
      <w:r>
        <w:rPr>
          <w:sz w:val="20"/>
          <w:szCs w:val="20"/>
          <w:color w:val="auto"/>
        </w:rPr>
        <w:tab/>
      </w:r>
      <w:r>
        <w:rPr>
          <w:rFonts w:ascii="Arial" w:cs="Arial" w:eastAsia="Arial" w:hAnsi="Arial"/>
          <w:sz w:val="17"/>
          <w:szCs w:val="17"/>
          <w:color w:val="auto"/>
        </w:rPr>
        <w:t>o</w:t>
      </w:r>
    </w:p>
    <w:p>
      <w:pPr>
        <w:spacing w:after="0" w:line="200" w:lineRule="exact"/>
        <w:rPr>
          <w:sz w:val="20"/>
          <w:szCs w:val="20"/>
          <w:color w:val="auto"/>
        </w:rPr>
      </w:pPr>
    </w:p>
    <w:p>
      <w:pPr>
        <w:spacing w:after="0" w:line="349" w:lineRule="exact"/>
        <w:rPr>
          <w:sz w:val="20"/>
          <w:szCs w:val="20"/>
          <w:color w:val="auto"/>
        </w:rPr>
      </w:pPr>
    </w:p>
    <w:p>
      <w:pPr>
        <w:ind w:left="440" w:hanging="308"/>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Less than 1%</w:t>
      </w:r>
    </w:p>
    <w:p>
      <w:pPr>
        <w:spacing w:after="0" w:line="310" w:lineRule="exact"/>
        <w:rPr>
          <w:rFonts w:ascii="Arial" w:cs="Arial" w:eastAsia="Arial" w:hAnsi="Arial"/>
          <w:sz w:val="18"/>
          <w:szCs w:val="18"/>
          <w:color w:val="auto"/>
        </w:rPr>
      </w:pPr>
    </w:p>
    <w:p>
      <w:pPr>
        <w:ind w:left="440" w:hanging="308"/>
        <w:spacing w:after="0"/>
        <w:tabs>
          <w:tab w:leader="none" w:pos="4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32"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b w:val="1"/>
          <w:bCs w:val="1"/>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102870</wp:posOffset>
            </wp:positionV>
            <wp:extent cx="535114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color w:val="auto"/>
        </w:rPr>
        <w:t>EXPLANATORY NOTE</w:t>
      </w:r>
    </w:p>
    <w:p>
      <w:pPr>
        <w:spacing w:after="0" w:line="217" w:lineRule="exact"/>
        <w:rPr>
          <w:sz w:val="20"/>
          <w:szCs w:val="20"/>
          <w:color w:val="auto"/>
        </w:rPr>
      </w:pPr>
    </w:p>
    <w:p>
      <w:pPr>
        <w:ind w:right="20" w:firstLine="648"/>
        <w:spacing w:after="0" w:line="259" w:lineRule="auto"/>
        <w:rPr>
          <w:sz w:val="20"/>
          <w:szCs w:val="20"/>
          <w:color w:val="auto"/>
        </w:rPr>
      </w:pPr>
      <w:r>
        <w:rPr>
          <w:rFonts w:ascii="Arial" w:cs="Arial" w:eastAsia="Arial" w:hAnsi="Arial"/>
          <w:sz w:val="19"/>
          <w:szCs w:val="19"/>
          <w:color w:val="auto"/>
        </w:rPr>
        <w:t>On March 29, 2019, Levin Easterly Partners LLC (“Levin Easterly”) closed the transaction (the “Transaction”) pursuant to an asset purchase agreement under which Levin Easterly acquired Levin Capital Strategies, LP’s (“LCS”) institutional asset management business and related operations, including, the investment advisory accounts serviced by that business and associated assets, liabilities and employees. The strategies and accounts transferring to Levin Easterly are those “long-only” strategies directly managed by John “Jack” Murphy (“Mr. Murphy”) and an Event Driven strategy managed by Sam Hendel.</w:t>
      </w:r>
    </w:p>
    <w:p>
      <w:pPr>
        <w:spacing w:after="0" w:line="179" w:lineRule="exact"/>
        <w:rPr>
          <w:sz w:val="20"/>
          <w:szCs w:val="20"/>
          <w:color w:val="auto"/>
        </w:rPr>
      </w:pPr>
    </w:p>
    <w:p>
      <w:pPr>
        <w:jc w:val="both"/>
        <w:ind w:right="720" w:firstLine="648"/>
        <w:spacing w:after="0" w:line="342" w:lineRule="auto"/>
        <w:rPr>
          <w:sz w:val="20"/>
          <w:szCs w:val="20"/>
          <w:color w:val="auto"/>
        </w:rPr>
      </w:pPr>
      <w:r>
        <w:rPr>
          <w:rFonts w:ascii="Arial" w:cs="Arial" w:eastAsia="Arial" w:hAnsi="Arial"/>
          <w:sz w:val="16"/>
          <w:szCs w:val="16"/>
          <w:color w:val="auto"/>
        </w:rPr>
        <w:t>As a result of the Transaction, investment advisory agreements for certain managed accounts and sub-investment advisory accounts that hold shares of common stock, par value $0.001 per share (the “Shares”), of Fluidigm Corporation, a Delaware corporation (the “Issuer”), were transferred from LCS to Levin Easterly.</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Item 1.</w:t>
      </w:r>
    </w:p>
    <w:p>
      <w:pPr>
        <w:spacing w:after="0" w:line="232" w:lineRule="exact"/>
        <w:rPr>
          <w:sz w:val="20"/>
          <w:szCs w:val="20"/>
          <w:color w:val="auto"/>
        </w:rPr>
      </w:pPr>
    </w:p>
    <w:p>
      <w:pPr>
        <w:ind w:left="660" w:hanging="330"/>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49"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Fluidigm Corporation (the “Issuer”).</w:t>
      </w:r>
    </w:p>
    <w:p>
      <w:pPr>
        <w:spacing w:after="0" w:line="229" w:lineRule="exact"/>
        <w:rPr>
          <w:rFonts w:ascii="Arial" w:cs="Arial" w:eastAsia="Arial" w:hAnsi="Arial"/>
          <w:sz w:val="18"/>
          <w:szCs w:val="18"/>
          <w:color w:val="auto"/>
        </w:rPr>
      </w:pPr>
    </w:p>
    <w:p>
      <w:pPr>
        <w:ind w:left="660" w:hanging="330"/>
        <w:spacing w:after="0"/>
        <w:tabs>
          <w:tab w:leader="none" w:pos="660" w:val="left"/>
        </w:tabs>
        <w:numPr>
          <w:ilvl w:val="0"/>
          <w:numId w:val="42"/>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9"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7000 Shoreline Court, Suite 100, South San Francisco, California 94080.</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Item 2.</w:t>
      </w:r>
    </w:p>
    <w:p>
      <w:pPr>
        <w:spacing w:after="0" w:line="229" w:lineRule="exact"/>
        <w:rPr>
          <w:sz w:val="20"/>
          <w:szCs w:val="20"/>
          <w:color w:val="auto"/>
        </w:rPr>
      </w:pPr>
    </w:p>
    <w:p>
      <w:pPr>
        <w:ind w:left="660" w:hanging="330"/>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Name of Person Filing:</w:t>
      </w:r>
    </w:p>
    <w:p>
      <w:pPr>
        <w:spacing w:after="0" w:line="229" w:lineRule="exact"/>
        <w:rPr>
          <w:rFonts w:ascii="Arial" w:cs="Arial" w:eastAsia="Arial" w:hAnsi="Arial"/>
          <w:sz w:val="20"/>
          <w:szCs w:val="20"/>
          <w:color w:val="auto"/>
        </w:rPr>
      </w:pPr>
    </w:p>
    <w:p>
      <w:pPr>
        <w:jc w:val="both"/>
        <w:ind w:left="660"/>
        <w:spacing w:after="0" w:line="242" w:lineRule="auto"/>
        <w:rPr>
          <w:rFonts w:ascii="Arial" w:cs="Arial" w:eastAsia="Arial" w:hAnsi="Arial"/>
          <w:sz w:val="20"/>
          <w:szCs w:val="20"/>
          <w:color w:val="auto"/>
        </w:rPr>
      </w:pPr>
      <w:r>
        <w:rPr>
          <w:rFonts w:ascii="Arial" w:cs="Arial" w:eastAsia="Arial" w:hAnsi="Arial"/>
          <w:sz w:val="20"/>
          <w:szCs w:val="20"/>
          <w:color w:val="auto"/>
        </w:rPr>
        <w:t>This schedule is being jointly filed by Levin Easterly Partners LLC (“Levin Easterly”), LE Partners Holdings LLC (“LEPH”), LE Partners Holdings II LLC (“LEPH II”), LE Partners Holdings III LLC (“LEPH III”), LE Partners Holdings IV LLC (“LEPH IV”), Mr. Murphy, the Chief Investment Officer of Levin Easterly (“Mr. Murphy”), Darrell Crate, the Chairman and a controlling person of Levin Easterly (“Mr. Crate”), Avshalom Kalichstein, a controlling person of Levin Easterly (“Mr. Kalichstein”), and Levin Capital Strategies, LP (“LCS”) (all of the foregoing reporting persons and entities are sometimes collectively referred to hereinafter as “Filer”). Attached hereto as an exhibit is a copy of the Joint Filing Agreement among the reporting persons and entities.</w:t>
      </w:r>
    </w:p>
    <w:p>
      <w:pPr>
        <w:spacing w:after="0" w:line="211" w:lineRule="exact"/>
        <w:rPr>
          <w:rFonts w:ascii="Arial" w:cs="Arial" w:eastAsia="Arial" w:hAnsi="Arial"/>
          <w:sz w:val="20"/>
          <w:szCs w:val="20"/>
          <w:color w:val="auto"/>
        </w:rPr>
      </w:pPr>
    </w:p>
    <w:p>
      <w:pPr>
        <w:ind w:left="660" w:hanging="330"/>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Address of Principal Business Office:</w:t>
      </w:r>
    </w:p>
    <w:p>
      <w:pPr>
        <w:spacing w:after="0" w:line="229" w:lineRule="exact"/>
        <w:rPr>
          <w:rFonts w:ascii="Arial" w:cs="Arial" w:eastAsia="Arial" w:hAnsi="Arial"/>
          <w:sz w:val="20"/>
          <w:szCs w:val="20"/>
          <w:color w:val="auto"/>
        </w:rPr>
      </w:pPr>
    </w:p>
    <w:p>
      <w:pPr>
        <w:jc w:val="both"/>
        <w:ind w:left="660"/>
        <w:spacing w:after="0" w:line="222" w:lineRule="auto"/>
        <w:rPr>
          <w:rFonts w:ascii="Arial" w:cs="Arial" w:eastAsia="Arial" w:hAnsi="Arial"/>
          <w:sz w:val="20"/>
          <w:szCs w:val="20"/>
          <w:color w:val="auto"/>
        </w:rPr>
      </w:pPr>
      <w:r>
        <w:rPr>
          <w:rFonts w:ascii="Arial" w:cs="Arial" w:eastAsia="Arial" w:hAnsi="Arial"/>
          <w:sz w:val="20"/>
          <w:szCs w:val="20"/>
          <w:color w:val="auto"/>
        </w:rPr>
        <w:t>The address of the principal executive office of each of Levin Easterly, LEPH, Mr. Murphy and LCS is 595 Madison Avenue, 17</w:t>
      </w:r>
      <w:r>
        <w:rPr>
          <w:rFonts w:ascii="Arial" w:cs="Arial" w:eastAsia="Arial" w:hAnsi="Arial"/>
          <w:sz w:val="33"/>
          <w:szCs w:val="33"/>
          <w:color w:val="auto"/>
          <w:vertAlign w:val="superscript"/>
        </w:rPr>
        <w:t>th</w:t>
      </w:r>
      <w:r>
        <w:rPr>
          <w:rFonts w:ascii="Arial" w:cs="Arial" w:eastAsia="Arial" w:hAnsi="Arial"/>
          <w:sz w:val="20"/>
          <w:szCs w:val="20"/>
          <w:color w:val="auto"/>
        </w:rPr>
        <w:t xml:space="preserve"> Floor, New York, New York 10022. The address of the principal executive office of each of LEPH II, LEPH III, LEPH IV, and Messrs. Crate and Kalichstein is 138 Conant Street, Beverly, Massachusetts 01915.</w:t>
      </w:r>
    </w:p>
    <w:p>
      <w:pPr>
        <w:spacing w:after="0" w:line="212" w:lineRule="exact"/>
        <w:rPr>
          <w:rFonts w:ascii="Arial" w:cs="Arial" w:eastAsia="Arial" w:hAnsi="Arial"/>
          <w:sz w:val="20"/>
          <w:szCs w:val="20"/>
          <w:color w:val="auto"/>
        </w:rPr>
      </w:pPr>
    </w:p>
    <w:p>
      <w:pPr>
        <w:ind w:left="660" w:hanging="330"/>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Citizenship:</w:t>
      </w:r>
    </w:p>
    <w:p>
      <w:pPr>
        <w:spacing w:after="0" w:line="229" w:lineRule="exact"/>
        <w:rPr>
          <w:rFonts w:ascii="Arial" w:cs="Arial" w:eastAsia="Arial" w:hAnsi="Arial"/>
          <w:sz w:val="20"/>
          <w:szCs w:val="20"/>
          <w:color w:val="auto"/>
        </w:rPr>
      </w:pPr>
    </w:p>
    <w:p>
      <w:pPr>
        <w:jc w:val="both"/>
        <w:ind w:left="660"/>
        <w:spacing w:after="0" w:line="246" w:lineRule="auto"/>
        <w:rPr>
          <w:rFonts w:ascii="Arial" w:cs="Arial" w:eastAsia="Arial" w:hAnsi="Arial"/>
          <w:sz w:val="20"/>
          <w:szCs w:val="20"/>
          <w:color w:val="auto"/>
        </w:rPr>
      </w:pPr>
      <w:r>
        <w:rPr>
          <w:rFonts w:ascii="Arial" w:cs="Arial" w:eastAsia="Arial" w:hAnsi="Arial"/>
          <w:sz w:val="20"/>
          <w:szCs w:val="20"/>
          <w:color w:val="auto"/>
        </w:rPr>
        <w:t>The citizenship or place of organization of each reporting person and entity is as follows: Levin Easterly, LEPH, LEPH II, LEPH III, LEPH IV are limited liability companies organized under the laws of the State of Delaware. Messrs. Murphy, Crate and Kalichstein are citizens of the United States of America. LCS is a limited partnership organized under the laws of the State of Delaware</w:t>
      </w:r>
    </w:p>
    <w:p>
      <w:pPr>
        <w:spacing w:after="0" w:line="205" w:lineRule="exact"/>
        <w:rPr>
          <w:rFonts w:ascii="Arial" w:cs="Arial" w:eastAsia="Arial" w:hAnsi="Arial"/>
          <w:sz w:val="20"/>
          <w:szCs w:val="20"/>
          <w:color w:val="auto"/>
        </w:rPr>
      </w:pPr>
    </w:p>
    <w:p>
      <w:pPr>
        <w:ind w:left="660" w:hanging="330"/>
        <w:spacing w:after="0"/>
        <w:tabs>
          <w:tab w:leader="none" w:pos="660" w:val="left"/>
        </w:tabs>
        <w:numPr>
          <w:ilvl w:val="0"/>
          <w:numId w:val="43"/>
        </w:numPr>
        <w:rPr>
          <w:rFonts w:ascii="Arial" w:cs="Arial" w:eastAsia="Arial" w:hAnsi="Arial"/>
          <w:sz w:val="20"/>
          <w:szCs w:val="20"/>
          <w:color w:val="auto"/>
        </w:rPr>
      </w:pPr>
      <w:r>
        <w:rPr>
          <w:rFonts w:ascii="Arial" w:cs="Arial" w:eastAsia="Arial" w:hAnsi="Arial"/>
          <w:sz w:val="20"/>
          <w:szCs w:val="20"/>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Common Stock, par value $0.001 per share.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00329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003290" cy="34290"/>
                    </a:xfrm>
                    <a:prstGeom prst="rect">
                      <a:avLst/>
                    </a:prstGeom>
                    <a:noFill/>
                  </pic:spPr>
                </pic:pic>
              </a:graphicData>
            </a:graphic>
          </wp:anchor>
        </w:drawing>
      </w:r>
    </w:p>
    <w:p>
      <w:pPr>
        <w:sectPr>
          <w:pgSz w:w="11900" w:h="16838" w:orient="portrait"/>
          <w:cols w:equalWidth="0" w:num="1">
            <w:col w:w="9460"/>
          </w:cols>
          <w:pgMar w:left="1020" w:top="122" w:right="1419" w:bottom="1440" w:gutter="0" w:footer="0" w:header="0"/>
        </w:sectPr>
      </w:pPr>
    </w:p>
    <w:bookmarkStart w:id="11" w:name="page12"/>
    <w:bookmarkEnd w:id="11"/>
    <w:p>
      <w:pPr>
        <w:ind w:left="660" w:hanging="330"/>
        <w:spacing w:after="0"/>
        <w:tabs>
          <w:tab w:leader="none" w:pos="660" w:val="left"/>
        </w:tabs>
        <w:numPr>
          <w:ilvl w:val="0"/>
          <w:numId w:val="44"/>
        </w:numPr>
        <w:rPr>
          <w:rFonts w:ascii="Arial" w:cs="Arial" w:eastAsia="Arial" w:hAnsi="Arial"/>
          <w:sz w:val="20"/>
          <w:szCs w:val="20"/>
          <w:color w:val="auto"/>
        </w:rPr>
      </w:pPr>
      <w:r>
        <w:rPr>
          <w:rFonts w:ascii="Arial" w:cs="Arial" w:eastAsia="Arial" w:hAnsi="Arial"/>
          <w:sz w:val="20"/>
          <w:szCs w:val="20"/>
          <w:color w:val="auto"/>
        </w:rPr>
        <w:t>CUSIP Number:</w:t>
      </w:r>
    </w:p>
    <w:p>
      <w:pPr>
        <w:spacing w:after="0" w:line="23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18"/>
          <w:szCs w:val="18"/>
          <w:color w:val="auto"/>
        </w:rPr>
        <w:t>34385P108</w:t>
      </w:r>
    </w:p>
    <w:p>
      <w:pPr>
        <w:spacing w:after="0" w:line="236" w:lineRule="exact"/>
        <w:rPr>
          <w:sz w:val="20"/>
          <w:szCs w:val="20"/>
          <w:color w:val="auto"/>
        </w:rPr>
      </w:pPr>
    </w:p>
    <w:p>
      <w:pPr>
        <w:ind w:left="980" w:hanging="971"/>
        <w:spacing w:after="0" w:line="260" w:lineRule="auto"/>
        <w:tabs>
          <w:tab w:leader="none" w:pos="960" w:val="left"/>
        </w:tabs>
        <w:rPr>
          <w:sz w:val="20"/>
          <w:szCs w:val="20"/>
          <w:color w:val="auto"/>
        </w:rPr>
      </w:pPr>
      <w:r>
        <w:rPr>
          <w:rFonts w:ascii="Arial" w:cs="Arial" w:eastAsia="Arial" w:hAnsi="Arial"/>
          <w:sz w:val="20"/>
          <w:szCs w:val="20"/>
          <w:color w:val="auto"/>
        </w:rPr>
        <w:t>Item 3.</w:t>
      </w:r>
      <w:r>
        <w:rPr>
          <w:sz w:val="20"/>
          <w:szCs w:val="20"/>
          <w:color w:val="auto"/>
        </w:rPr>
        <w:tab/>
      </w:r>
      <w:r>
        <w:rPr>
          <w:rFonts w:ascii="Arial" w:cs="Arial" w:eastAsia="Arial" w:hAnsi="Arial"/>
          <w:sz w:val="20"/>
          <w:szCs w:val="20"/>
          <w:color w:val="auto"/>
        </w:rPr>
        <w:t>If this statement is filed pursuant to §§240.13d-1(b) or 240.13d-2(b) or (c), check whether the person filing is a:</w:t>
      </w:r>
    </w:p>
    <w:p>
      <w:pPr>
        <w:spacing w:after="0" w:line="160" w:lineRule="exact"/>
        <w:rPr>
          <w:sz w:val="20"/>
          <w:szCs w:val="20"/>
          <w:color w:val="auto"/>
        </w:rPr>
      </w:pPr>
    </w:p>
    <w:p>
      <w:pPr>
        <w:ind w:left="660" w:hanging="330"/>
        <w:spacing w:after="0" w:line="207" w:lineRule="exact"/>
        <w:tabs>
          <w:tab w:leader="none" w:pos="6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38" w:lineRule="exact"/>
        <w:rPr>
          <w:rFonts w:ascii="Arial" w:cs="Arial" w:eastAsia="Arial" w:hAnsi="Arial"/>
          <w:sz w:val="18"/>
          <w:szCs w:val="18"/>
          <w:color w:val="auto"/>
        </w:rPr>
      </w:pPr>
    </w:p>
    <w:p>
      <w:pPr>
        <w:ind w:left="660" w:hanging="330"/>
        <w:spacing w:after="0" w:line="207" w:lineRule="exact"/>
        <w:tabs>
          <w:tab w:leader="none" w:pos="6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57" w:lineRule="exact"/>
        <w:rPr>
          <w:rFonts w:ascii="Arial" w:cs="Arial" w:eastAsia="Arial" w:hAnsi="Arial"/>
          <w:sz w:val="18"/>
          <w:szCs w:val="18"/>
          <w:color w:val="auto"/>
        </w:rPr>
      </w:pPr>
    </w:p>
    <w:p>
      <w:pPr>
        <w:ind w:left="660" w:hanging="330"/>
        <w:spacing w:after="0" w:line="207" w:lineRule="exact"/>
        <w:tabs>
          <w:tab w:leader="none" w:pos="660" w:val="left"/>
        </w:tabs>
        <w:numPr>
          <w:ilvl w:val="0"/>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9" w:lineRule="exact"/>
        <w:rPr>
          <w:rFonts w:ascii="Arial" w:cs="Arial" w:eastAsia="Arial" w:hAnsi="Arial"/>
          <w:sz w:val="18"/>
          <w:szCs w:val="18"/>
          <w:color w:val="auto"/>
        </w:rPr>
      </w:pPr>
    </w:p>
    <w:p>
      <w:pPr>
        <w:ind w:left="1300" w:hanging="322"/>
        <w:spacing w:after="0" w:line="215" w:lineRule="exact"/>
        <w:tabs>
          <w:tab w:leader="none" w:pos="1300" w:val="left"/>
        </w:tabs>
        <w:numPr>
          <w:ilvl w:val="1"/>
          <w:numId w:val="4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ind w:left="340"/>
        <w:spacing w:after="0" w:line="226" w:lineRule="exact"/>
        <w:tabs>
          <w:tab w:leader="none" w:pos="880" w:val="left"/>
        </w:tabs>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(e)</w:t>
      </w:r>
      <w:r>
        <w:rPr>
          <w:sz w:val="20"/>
          <w:szCs w:val="20"/>
          <w:color w:val="auto"/>
        </w:rPr>
        <w:tab/>
      </w:r>
      <w:r>
        <w:rPr>
          <w:rFonts w:ascii="Arial" w:cs="Arial" w:eastAsia="Arial" w:hAnsi="Arial"/>
          <w:sz w:val="18"/>
          <w:szCs w:val="18"/>
          <w:color w:val="auto"/>
        </w:rPr>
        <w:t>An investment adviser in accordance with §240.13d-1(b)(1)(ii)(E);</w:t>
      </w:r>
    </w:p>
    <w:p>
      <w:pPr>
        <w:ind w:left="660" w:hanging="330"/>
        <w:spacing w:after="0" w:line="207" w:lineRule="exact"/>
        <w:tabs>
          <w:tab w:leader="none" w:pos="66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5" w:lineRule="exact"/>
        <w:rPr>
          <w:rFonts w:ascii="Arial" w:cs="Arial" w:eastAsia="Arial" w:hAnsi="Arial"/>
          <w:sz w:val="18"/>
          <w:szCs w:val="18"/>
          <w:color w:val="auto"/>
        </w:rPr>
      </w:pPr>
    </w:p>
    <w:p>
      <w:pPr>
        <w:ind w:left="660" w:hanging="330"/>
        <w:spacing w:after="0" w:line="207" w:lineRule="exact"/>
        <w:tabs>
          <w:tab w:leader="none" w:pos="660" w:val="left"/>
        </w:tabs>
        <w:numPr>
          <w:ilvl w:val="0"/>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9" w:lineRule="exact"/>
        <w:rPr>
          <w:rFonts w:ascii="Arial" w:cs="Arial" w:eastAsia="Arial" w:hAnsi="Arial"/>
          <w:sz w:val="18"/>
          <w:szCs w:val="18"/>
          <w:color w:val="auto"/>
        </w:rPr>
      </w:pPr>
    </w:p>
    <w:p>
      <w:pPr>
        <w:ind w:left="1300" w:hanging="322"/>
        <w:spacing w:after="0" w:line="215" w:lineRule="exact"/>
        <w:tabs>
          <w:tab w:leader="none" w:pos="1300" w:val="left"/>
        </w:tabs>
        <w:numPr>
          <w:ilvl w:val="1"/>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ind w:left="1300" w:hanging="322"/>
        <w:spacing w:after="0" w:line="207" w:lineRule="exact"/>
        <w:tabs>
          <w:tab w:leader="none" w:pos="1300" w:val="left"/>
        </w:tabs>
        <w:numPr>
          <w:ilvl w:val="1"/>
          <w:numId w:val="4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church plan that is excluded from the definition of an investment company under section 3(c)(14) of</w:t>
      </w:r>
    </w:p>
    <w:p>
      <w:pPr>
        <w:spacing w:after="0" w:line="11" w:lineRule="exact"/>
        <w:rPr>
          <w:sz w:val="20"/>
          <w:szCs w:val="20"/>
          <w:color w:val="auto"/>
        </w:rPr>
      </w:pPr>
    </w:p>
    <w:p>
      <w:pPr>
        <w:ind w:left="340" w:right="4060" w:firstLine="972"/>
        <w:spacing w:after="0" w:line="226" w:lineRule="exact"/>
        <w:rPr>
          <w:sz w:val="20"/>
          <w:szCs w:val="20"/>
          <w:color w:val="auto"/>
        </w:rPr>
      </w:pPr>
      <w:r>
        <w:rPr>
          <w:rFonts w:ascii="Arial" w:cs="Arial" w:eastAsia="Arial" w:hAnsi="Arial"/>
          <w:sz w:val="18"/>
          <w:szCs w:val="18"/>
          <w:color w:val="auto"/>
        </w:rPr>
        <w:t xml:space="preserve">the Investment Company Act of 1940 (15 U.S.C. 80a-3); (j) </w:t>
      </w: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19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4.</w:t>
      </w:r>
      <w:r>
        <w:rPr>
          <w:sz w:val="20"/>
          <w:szCs w:val="20"/>
          <w:color w:val="auto"/>
        </w:rPr>
        <w:tab/>
      </w:r>
      <w:r>
        <w:rPr>
          <w:rFonts w:ascii="Arial" w:cs="Arial" w:eastAsia="Arial" w:hAnsi="Arial"/>
          <w:sz w:val="16"/>
          <w:szCs w:val="16"/>
          <w:color w:val="auto"/>
        </w:rPr>
        <w:t>Ownership</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Levin Easterly</w:t>
      </w:r>
    </w:p>
    <w:p>
      <w:pPr>
        <w:spacing w:after="0" w:line="229" w:lineRule="exact"/>
        <w:rPr>
          <w:sz w:val="20"/>
          <w:szCs w:val="20"/>
          <w:color w:val="auto"/>
        </w:rPr>
      </w:pPr>
    </w:p>
    <w:p>
      <w:pPr>
        <w:ind w:left="980" w:hanging="326"/>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Amount beneficially owned: 12,226,430</w:t>
      </w:r>
    </w:p>
    <w:p>
      <w:pPr>
        <w:spacing w:after="0" w:line="15" w:lineRule="exact"/>
        <w:rPr>
          <w:rFonts w:ascii="Arial" w:cs="Arial" w:eastAsia="Arial" w:hAnsi="Arial"/>
          <w:sz w:val="20"/>
          <w:szCs w:val="20"/>
          <w:color w:val="auto"/>
        </w:rPr>
      </w:pPr>
    </w:p>
    <w:p>
      <w:pPr>
        <w:ind w:left="980" w:hanging="326"/>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Percentage of Class: 17.7%</w:t>
      </w:r>
    </w:p>
    <w:p>
      <w:pPr>
        <w:ind w:left="980" w:hanging="326"/>
        <w:spacing w:after="0"/>
        <w:tabs>
          <w:tab w:leader="none" w:pos="980" w:val="left"/>
        </w:tabs>
        <w:numPr>
          <w:ilvl w:val="0"/>
          <w:numId w:val="47"/>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Shared power to vote or direct vote: 8,960,859</w:t>
      </w:r>
    </w:p>
    <w:p>
      <w:pPr>
        <w:ind w:left="1300" w:hanging="322"/>
        <w:spacing w:after="0"/>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47"/>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12,226,430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LEPH</w:t>
      </w:r>
    </w:p>
    <w:p>
      <w:pPr>
        <w:spacing w:after="0" w:line="229" w:lineRule="exact"/>
        <w:rPr>
          <w:sz w:val="20"/>
          <w:szCs w:val="20"/>
          <w:color w:val="auto"/>
        </w:rPr>
      </w:pPr>
    </w:p>
    <w:p>
      <w:pPr>
        <w:ind w:left="980" w:hanging="326"/>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Amount beneficially owned: 12,226,430</w:t>
      </w:r>
    </w:p>
    <w:p>
      <w:pPr>
        <w:spacing w:after="0" w:line="15" w:lineRule="exact"/>
        <w:rPr>
          <w:rFonts w:ascii="Arial" w:cs="Arial" w:eastAsia="Arial" w:hAnsi="Arial"/>
          <w:sz w:val="20"/>
          <w:szCs w:val="20"/>
          <w:color w:val="auto"/>
        </w:rPr>
      </w:pPr>
    </w:p>
    <w:p>
      <w:pPr>
        <w:ind w:left="980" w:hanging="326"/>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Percentage of Class: 17.7%</w:t>
      </w:r>
    </w:p>
    <w:p>
      <w:pPr>
        <w:ind w:left="980" w:hanging="326"/>
        <w:spacing w:after="0"/>
        <w:tabs>
          <w:tab w:leader="none" w:pos="9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Shared power to vote or direct vote: 8,960,859</w:t>
      </w:r>
    </w:p>
    <w:p>
      <w:pPr>
        <w:ind w:left="1300" w:hanging="322"/>
        <w:spacing w:after="0"/>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12,226,430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LEPH II</w:t>
      </w:r>
    </w:p>
    <w:p>
      <w:pPr>
        <w:spacing w:after="0" w:line="229" w:lineRule="exact"/>
        <w:rPr>
          <w:sz w:val="20"/>
          <w:szCs w:val="20"/>
          <w:color w:val="auto"/>
        </w:rPr>
      </w:pPr>
    </w:p>
    <w:p>
      <w:pPr>
        <w:ind w:left="980" w:hanging="326"/>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Amount beneficially owned: 12,226,430</w:t>
      </w:r>
    </w:p>
    <w:p>
      <w:pPr>
        <w:spacing w:after="0" w:line="15" w:lineRule="exact"/>
        <w:rPr>
          <w:rFonts w:ascii="Arial" w:cs="Arial" w:eastAsia="Arial" w:hAnsi="Arial"/>
          <w:sz w:val="20"/>
          <w:szCs w:val="20"/>
          <w:color w:val="auto"/>
        </w:rPr>
      </w:pPr>
    </w:p>
    <w:p>
      <w:pPr>
        <w:ind w:left="980" w:hanging="326"/>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Percentage of Class: 17.7%</w:t>
      </w:r>
    </w:p>
    <w:p>
      <w:pPr>
        <w:ind w:left="980" w:hanging="326"/>
        <w:spacing w:after="0"/>
        <w:tabs>
          <w:tab w:leader="none" w:pos="980" w:val="left"/>
        </w:tabs>
        <w:numPr>
          <w:ilvl w:val="0"/>
          <w:numId w:val="49"/>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Shared power to vote or direct vote: 8,960,859</w:t>
      </w:r>
    </w:p>
    <w:p>
      <w:pPr>
        <w:ind w:left="1300" w:hanging="322"/>
        <w:spacing w:after="0"/>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12,226,430</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00329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03290" cy="34290"/>
                    </a:xfrm>
                    <a:prstGeom prst="rect">
                      <a:avLst/>
                    </a:prstGeom>
                    <a:noFill/>
                  </pic:spPr>
                </pic:pic>
              </a:graphicData>
            </a:graphic>
          </wp:anchor>
        </w:drawing>
      </w:r>
    </w:p>
    <w:p>
      <w:pPr>
        <w:sectPr>
          <w:pgSz w:w="11900" w:h="16838" w:orient="portrait"/>
          <w:cols w:equalWidth="0" w:num="1">
            <w:col w:w="9460"/>
          </w:cols>
          <w:pgMar w:left="1020" w:top="352" w:right="1419" w:bottom="1440" w:gutter="0" w:footer="0" w:header="0"/>
        </w:sectPr>
      </w:pPr>
    </w:p>
    <w:bookmarkStart w:id="12" w:name="page13"/>
    <w:bookmarkEnd w:id="12"/>
    <w:p>
      <w:pPr>
        <w:spacing w:after="0"/>
        <w:rPr>
          <w:sz w:val="20"/>
          <w:szCs w:val="20"/>
          <w:color w:val="auto"/>
        </w:rPr>
      </w:pPr>
      <w:r>
        <w:rPr>
          <w:rFonts w:ascii="Arial" w:cs="Arial" w:eastAsia="Arial" w:hAnsi="Arial"/>
          <w:sz w:val="20"/>
          <w:szCs w:val="20"/>
          <w:color w:val="auto"/>
        </w:rPr>
        <w:t>LEPH III</w:t>
      </w:r>
    </w:p>
    <w:p>
      <w:pPr>
        <w:spacing w:after="0" w:line="229" w:lineRule="exact"/>
        <w:rPr>
          <w:sz w:val="20"/>
          <w:szCs w:val="20"/>
          <w:color w:val="auto"/>
        </w:rPr>
      </w:pPr>
    </w:p>
    <w:p>
      <w:pPr>
        <w:ind w:left="980" w:hanging="326"/>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Amount beneficially owned: 12,226,430</w:t>
      </w:r>
    </w:p>
    <w:p>
      <w:pPr>
        <w:spacing w:after="0" w:line="15" w:lineRule="exact"/>
        <w:rPr>
          <w:rFonts w:ascii="Arial" w:cs="Arial" w:eastAsia="Arial" w:hAnsi="Arial"/>
          <w:sz w:val="20"/>
          <w:szCs w:val="20"/>
          <w:color w:val="auto"/>
        </w:rPr>
      </w:pPr>
    </w:p>
    <w:p>
      <w:pPr>
        <w:ind w:left="980" w:hanging="326"/>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Percentage of Class: 17.7%</w:t>
      </w:r>
    </w:p>
    <w:p>
      <w:pPr>
        <w:ind w:left="980" w:hanging="326"/>
        <w:spacing w:after="0"/>
        <w:tabs>
          <w:tab w:leader="none" w:pos="980" w:val="left"/>
        </w:tabs>
        <w:numPr>
          <w:ilvl w:val="0"/>
          <w:numId w:val="50"/>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Shared power to vote or direct vote: 8,960,859</w:t>
      </w:r>
    </w:p>
    <w:p>
      <w:pPr>
        <w:ind w:left="1300" w:hanging="322"/>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50"/>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12,226,430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LEPH IV</w:t>
      </w:r>
    </w:p>
    <w:p>
      <w:pPr>
        <w:spacing w:after="0" w:line="229" w:lineRule="exact"/>
        <w:rPr>
          <w:sz w:val="20"/>
          <w:szCs w:val="20"/>
          <w:color w:val="auto"/>
        </w:rPr>
      </w:pPr>
    </w:p>
    <w:p>
      <w:pPr>
        <w:ind w:left="980" w:hanging="326"/>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Amount beneficially owned: 12,226,430</w:t>
      </w:r>
    </w:p>
    <w:p>
      <w:pPr>
        <w:spacing w:after="0" w:line="15" w:lineRule="exact"/>
        <w:rPr>
          <w:rFonts w:ascii="Arial" w:cs="Arial" w:eastAsia="Arial" w:hAnsi="Arial"/>
          <w:sz w:val="20"/>
          <w:szCs w:val="20"/>
          <w:color w:val="auto"/>
        </w:rPr>
      </w:pPr>
    </w:p>
    <w:p>
      <w:pPr>
        <w:ind w:left="980" w:hanging="326"/>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Percentage of Class: 17.7%</w:t>
      </w:r>
    </w:p>
    <w:p>
      <w:pPr>
        <w:ind w:left="980" w:hanging="326"/>
        <w:spacing w:after="0"/>
        <w:tabs>
          <w:tab w:leader="none" w:pos="9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Shared power to vote or direct vote: 8,960,859</w:t>
      </w:r>
    </w:p>
    <w:p>
      <w:pPr>
        <w:ind w:left="1300" w:hanging="322"/>
        <w:spacing w:after="0"/>
        <w:tabs>
          <w:tab w:leader="none" w:pos="13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51"/>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12,226,430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Darrell Crate</w:t>
      </w:r>
    </w:p>
    <w:p>
      <w:pPr>
        <w:spacing w:after="0" w:line="229" w:lineRule="exact"/>
        <w:rPr>
          <w:sz w:val="20"/>
          <w:szCs w:val="20"/>
          <w:color w:val="auto"/>
        </w:rPr>
      </w:pPr>
    </w:p>
    <w:p>
      <w:pPr>
        <w:ind w:left="980" w:hanging="326"/>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Amount beneficially owned: 12,226,430</w:t>
      </w:r>
    </w:p>
    <w:p>
      <w:pPr>
        <w:spacing w:after="0" w:line="15" w:lineRule="exact"/>
        <w:rPr>
          <w:rFonts w:ascii="Arial" w:cs="Arial" w:eastAsia="Arial" w:hAnsi="Arial"/>
          <w:sz w:val="20"/>
          <w:szCs w:val="20"/>
          <w:color w:val="auto"/>
        </w:rPr>
      </w:pPr>
    </w:p>
    <w:p>
      <w:pPr>
        <w:ind w:left="980" w:hanging="326"/>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Percentage of Class: 17.7%</w:t>
      </w:r>
    </w:p>
    <w:p>
      <w:pPr>
        <w:ind w:left="980" w:hanging="326"/>
        <w:spacing w:after="0"/>
        <w:tabs>
          <w:tab w:leader="none" w:pos="980" w:val="left"/>
        </w:tabs>
        <w:numPr>
          <w:ilvl w:val="0"/>
          <w:numId w:val="52"/>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Shared power to vote or direct vote: 8,960,859</w:t>
      </w:r>
    </w:p>
    <w:p>
      <w:pPr>
        <w:ind w:left="1300" w:hanging="322"/>
        <w:spacing w:after="0"/>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52"/>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12,226,430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Avshalom Kalichstein</w:t>
      </w:r>
    </w:p>
    <w:p>
      <w:pPr>
        <w:spacing w:after="0" w:line="229" w:lineRule="exact"/>
        <w:rPr>
          <w:sz w:val="20"/>
          <w:szCs w:val="20"/>
          <w:color w:val="auto"/>
        </w:rPr>
      </w:pPr>
    </w:p>
    <w:p>
      <w:pPr>
        <w:ind w:left="980" w:hanging="326"/>
        <w:spacing w:after="0"/>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Amount beneficially owned: 12,226,430</w:t>
      </w:r>
    </w:p>
    <w:p>
      <w:pPr>
        <w:spacing w:after="0" w:line="15" w:lineRule="exact"/>
        <w:rPr>
          <w:rFonts w:ascii="Arial" w:cs="Arial" w:eastAsia="Arial" w:hAnsi="Arial"/>
          <w:sz w:val="20"/>
          <w:szCs w:val="20"/>
          <w:color w:val="auto"/>
        </w:rPr>
      </w:pPr>
    </w:p>
    <w:p>
      <w:pPr>
        <w:ind w:left="980" w:hanging="326"/>
        <w:spacing w:after="0"/>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Percentage of Class: 17.7%</w:t>
      </w:r>
    </w:p>
    <w:p>
      <w:pPr>
        <w:ind w:left="980" w:hanging="326"/>
        <w:spacing w:after="0"/>
        <w:tabs>
          <w:tab w:leader="none" w:pos="980" w:val="left"/>
        </w:tabs>
        <w:numPr>
          <w:ilvl w:val="0"/>
          <w:numId w:val="53"/>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Shared power to vote or direct vote: 8,960,859</w:t>
      </w:r>
    </w:p>
    <w:p>
      <w:pPr>
        <w:ind w:left="1300" w:hanging="322"/>
        <w:spacing w:after="0"/>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53"/>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12,226,430</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John “Jack” Murphy</w:t>
      </w:r>
    </w:p>
    <w:p>
      <w:pPr>
        <w:spacing w:after="0" w:line="229" w:lineRule="exact"/>
        <w:rPr>
          <w:sz w:val="20"/>
          <w:szCs w:val="20"/>
          <w:color w:val="auto"/>
        </w:rPr>
      </w:pPr>
    </w:p>
    <w:p>
      <w:pPr>
        <w:ind w:left="980" w:hanging="326"/>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Amount beneficially owned: 12,231,426</w:t>
      </w:r>
    </w:p>
    <w:p>
      <w:pPr>
        <w:spacing w:after="0" w:line="15" w:lineRule="exact"/>
        <w:rPr>
          <w:rFonts w:ascii="Arial" w:cs="Arial" w:eastAsia="Arial" w:hAnsi="Arial"/>
          <w:sz w:val="20"/>
          <w:szCs w:val="20"/>
          <w:color w:val="auto"/>
        </w:rPr>
      </w:pPr>
    </w:p>
    <w:p>
      <w:pPr>
        <w:ind w:left="980" w:hanging="326"/>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Percentage of Class: 17.7%</w:t>
      </w:r>
    </w:p>
    <w:p>
      <w:pPr>
        <w:ind w:left="980" w:hanging="326"/>
        <w:spacing w:after="0"/>
        <w:tabs>
          <w:tab w:leader="none" w:pos="9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Shared power to vote or direct vote: 8,960,859</w:t>
      </w:r>
    </w:p>
    <w:p>
      <w:pPr>
        <w:ind w:left="1300" w:hanging="322"/>
        <w:spacing w:after="0"/>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54"/>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12,231,426</w:t>
      </w:r>
    </w:p>
    <w:p>
      <w:pPr>
        <w:spacing w:after="0"/>
        <w:rPr>
          <w:sz w:val="20"/>
          <w:szCs w:val="20"/>
          <w:color w:val="auto"/>
        </w:rPr>
      </w:pPr>
      <w:r>
        <w:rPr>
          <w:rFonts w:ascii="Arial" w:cs="Arial" w:eastAsia="Arial" w:hAnsi="Arial"/>
          <w:sz w:val="18"/>
          <w:szCs w:val="18"/>
          <w:color w:val="auto"/>
        </w:rPr>
        <w:t>Each of Messrs. Murphy, Crate and Kalichstein disclaims beneficial ownership of the securities reported herein.</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color w:val="auto"/>
        </w:rPr>
        <w:t>LCS*</w:t>
      </w: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003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3290" cy="34290"/>
                    </a:xfrm>
                    <a:prstGeom prst="rect">
                      <a:avLst/>
                    </a:prstGeom>
                    <a:noFill/>
                  </pic:spPr>
                </pic:pic>
              </a:graphicData>
            </a:graphic>
          </wp:anchor>
        </w:drawing>
      </w:r>
    </w:p>
    <w:p>
      <w:pPr>
        <w:sectPr>
          <w:pgSz w:w="11900" w:h="16838" w:orient="portrait"/>
          <w:cols w:equalWidth="0" w:num="1">
            <w:col w:w="9439"/>
          </w:cols>
          <w:pgMar w:left="1020" w:top="352" w:right="1440" w:bottom="1440" w:gutter="0" w:footer="0" w:header="0"/>
        </w:sectPr>
      </w:pPr>
    </w:p>
    <w:bookmarkStart w:id="13" w:name="page14"/>
    <w:bookmarkEnd w:id="13"/>
    <w:p>
      <w:pPr>
        <w:ind w:left="980" w:hanging="326"/>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Amount beneficially owned: 4,996</w:t>
      </w:r>
    </w:p>
    <w:p>
      <w:pPr>
        <w:spacing w:after="0" w:line="16" w:lineRule="exact"/>
        <w:rPr>
          <w:rFonts w:ascii="Arial" w:cs="Arial" w:eastAsia="Arial" w:hAnsi="Arial"/>
          <w:sz w:val="20"/>
          <w:szCs w:val="20"/>
          <w:color w:val="auto"/>
        </w:rPr>
      </w:pPr>
    </w:p>
    <w:p>
      <w:pPr>
        <w:ind w:left="980" w:hanging="326"/>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Percentage of Class: Less than 1%</w:t>
      </w:r>
    </w:p>
    <w:p>
      <w:pPr>
        <w:ind w:left="980" w:hanging="326"/>
        <w:spacing w:after="0"/>
        <w:tabs>
          <w:tab w:leader="none" w:pos="9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ind w:left="1300" w:hanging="322"/>
        <w:spacing w:after="0"/>
        <w:tabs>
          <w:tab w:leader="none" w:pos="13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Sole power to vote or direct vote: 0</w:t>
      </w:r>
    </w:p>
    <w:p>
      <w:pPr>
        <w:ind w:left="1300" w:hanging="322"/>
        <w:spacing w:after="0"/>
        <w:tabs>
          <w:tab w:leader="none" w:pos="13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Shared power to vote or direct vote: 4,996</w:t>
      </w:r>
    </w:p>
    <w:p>
      <w:pPr>
        <w:ind w:left="1300" w:hanging="322"/>
        <w:spacing w:after="0"/>
        <w:tabs>
          <w:tab w:leader="none" w:pos="13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Sole power to dispose or direct the disposition of: 0</w:t>
      </w:r>
    </w:p>
    <w:p>
      <w:pPr>
        <w:ind w:left="1300" w:hanging="322"/>
        <w:spacing w:after="0"/>
        <w:tabs>
          <w:tab w:leader="none" w:pos="1300" w:val="left"/>
        </w:tabs>
        <w:numPr>
          <w:ilvl w:val="1"/>
          <w:numId w:val="55"/>
        </w:numPr>
        <w:rPr>
          <w:rFonts w:ascii="Arial" w:cs="Arial" w:eastAsia="Arial" w:hAnsi="Arial"/>
          <w:sz w:val="20"/>
          <w:szCs w:val="20"/>
          <w:color w:val="auto"/>
        </w:rPr>
      </w:pPr>
      <w:r>
        <w:rPr>
          <w:rFonts w:ascii="Arial" w:cs="Arial" w:eastAsia="Arial" w:hAnsi="Arial"/>
          <w:sz w:val="20"/>
          <w:szCs w:val="20"/>
          <w:color w:val="auto"/>
        </w:rPr>
        <w:t>Shared power to dispose or direct the disposition of: 4,996</w:t>
      </w:r>
    </w:p>
    <w:p>
      <w:pPr>
        <w:ind w:left="660" w:right="100"/>
        <w:spacing w:after="0" w:line="260" w:lineRule="auto"/>
        <w:rPr>
          <w:sz w:val="20"/>
          <w:szCs w:val="20"/>
          <w:color w:val="auto"/>
        </w:rPr>
      </w:pPr>
      <w:r>
        <w:rPr>
          <w:rFonts w:ascii="Arial" w:cs="Arial" w:eastAsia="Arial" w:hAnsi="Arial"/>
          <w:sz w:val="19"/>
          <w:szCs w:val="19"/>
          <w:color w:val="auto"/>
        </w:rPr>
        <w:t>*Amounts set forth above include only those Shares of the Issuer held in an account managed by Mr. Murphy for whom LCS acts as investment manager and do not include any other Shares of the Issuer beneficially owned by LCS for which Mr. Murphy does not have investment discretion or voting power.</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9" w:lineRule="exact"/>
        <w:rPr>
          <w:sz w:val="20"/>
          <w:szCs w:val="20"/>
          <w:color w:val="auto"/>
        </w:rPr>
      </w:pPr>
    </w:p>
    <w:p>
      <w:pPr>
        <w:ind w:left="980"/>
        <w:spacing w:after="0" w:line="248"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6"/>
          <w:szCs w:val="16"/>
          <w:color w:val="auto"/>
        </w:rPr>
        <w:t>☐</w:t>
      </w:r>
      <w:r>
        <w:rPr>
          <w:rFonts w:ascii="Arial" w:cs="Arial" w:eastAsia="Arial" w:hAnsi="Arial"/>
          <w:sz w:val="18"/>
          <w:szCs w:val="18"/>
          <w:color w:val="auto"/>
        </w:rPr>
        <w:t>.</w:t>
      </w:r>
    </w:p>
    <w:p>
      <w:pPr>
        <w:spacing w:after="0" w:line="194"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6.</w:t>
      </w:r>
      <w:r>
        <w:rPr>
          <w:sz w:val="20"/>
          <w:szCs w:val="20"/>
          <w:color w:val="auto"/>
        </w:rPr>
        <w:tab/>
      </w:r>
      <w:r>
        <w:rPr>
          <w:rFonts w:ascii="Arial" w:cs="Arial" w:eastAsia="Arial" w:hAnsi="Arial"/>
          <w:sz w:val="18"/>
          <w:szCs w:val="18"/>
          <w:color w:val="auto"/>
        </w:rPr>
        <w:t>Ownership of More Than Five Percent on Behalf of Another Person.</w:t>
      </w:r>
    </w:p>
    <w:p>
      <w:pPr>
        <w:spacing w:after="0" w:line="229" w:lineRule="exact"/>
        <w:rPr>
          <w:sz w:val="20"/>
          <w:szCs w:val="20"/>
          <w:color w:val="auto"/>
        </w:rPr>
      </w:pPr>
    </w:p>
    <w:p>
      <w:pPr>
        <w:ind w:left="980" w:right="100"/>
        <w:spacing w:after="0" w:line="246" w:lineRule="auto"/>
        <w:rPr>
          <w:sz w:val="20"/>
          <w:szCs w:val="20"/>
          <w:color w:val="auto"/>
        </w:rPr>
      </w:pPr>
      <w:r>
        <w:rPr>
          <w:rFonts w:ascii="Arial" w:cs="Arial" w:eastAsia="Arial" w:hAnsi="Arial"/>
          <w:sz w:val="20"/>
          <w:szCs w:val="20"/>
          <w:color w:val="auto"/>
        </w:rPr>
        <w:t>Various separately managed accounts for whom Levin Easterly acts as investment manager have the right to receive dividends from, and the proceeds from the sale of, 12,226,430 shares. A separately managed account for whom LCS acts as investment manager has the right to receive dividends from, and the proceeds from the sale of, 4,996 shares.</w:t>
      </w:r>
    </w:p>
    <w:p>
      <w:pPr>
        <w:spacing w:after="0" w:line="205" w:lineRule="exact"/>
        <w:rPr>
          <w:sz w:val="20"/>
          <w:szCs w:val="20"/>
          <w:color w:val="auto"/>
        </w:rPr>
      </w:pPr>
    </w:p>
    <w:p>
      <w:pPr>
        <w:ind w:left="980" w:right="80" w:hanging="971"/>
        <w:spacing w:after="0" w:line="260" w:lineRule="auto"/>
        <w:tabs>
          <w:tab w:leader="none" w:pos="960" w:val="left"/>
        </w:tabs>
        <w:rPr>
          <w:sz w:val="20"/>
          <w:szCs w:val="20"/>
          <w:color w:val="auto"/>
        </w:rPr>
      </w:pPr>
      <w:r>
        <w:rPr>
          <w:rFonts w:ascii="Arial" w:cs="Arial" w:eastAsia="Arial" w:hAnsi="Arial"/>
          <w:sz w:val="20"/>
          <w:szCs w:val="20"/>
          <w:color w:val="auto"/>
        </w:rPr>
        <w:t>Item 7.</w:t>
      </w:r>
      <w:r>
        <w:rPr>
          <w:sz w:val="20"/>
          <w:szCs w:val="20"/>
          <w:color w:val="auto"/>
        </w:rPr>
        <w:tab/>
      </w:r>
      <w:r>
        <w:rPr>
          <w:rFonts w:ascii="Arial" w:cs="Arial" w:eastAsia="Arial" w:hAnsi="Arial"/>
          <w:sz w:val="20"/>
          <w:szCs w:val="20"/>
          <w:color w:val="auto"/>
        </w:rPr>
        <w:t>Identification and Classification of the Subsidiary Which Acquired the Security Being Reported on by the Parent Holding Company.</w:t>
      </w:r>
    </w:p>
    <w:p>
      <w:pPr>
        <w:spacing w:after="0" w:line="190"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8.</w:t>
      </w:r>
      <w:r>
        <w:rPr>
          <w:sz w:val="20"/>
          <w:szCs w:val="20"/>
          <w:color w:val="auto"/>
        </w:rPr>
        <w:tab/>
      </w:r>
      <w:r>
        <w:rPr>
          <w:rFonts w:ascii="Arial" w:cs="Arial" w:eastAsia="Arial" w:hAnsi="Arial"/>
          <w:sz w:val="18"/>
          <w:szCs w:val="18"/>
          <w:color w:val="auto"/>
        </w:rPr>
        <w:t>Identification and Classification of Members of the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9.</w:t>
      </w:r>
      <w:r>
        <w:rPr>
          <w:sz w:val="20"/>
          <w:szCs w:val="20"/>
          <w:color w:val="auto"/>
        </w:rPr>
        <w:tab/>
      </w:r>
      <w:r>
        <w:rPr>
          <w:rFonts w:ascii="Arial" w:cs="Arial" w:eastAsia="Arial" w:hAnsi="Arial"/>
          <w:sz w:val="18"/>
          <w:szCs w:val="18"/>
          <w:color w:val="auto"/>
        </w:rPr>
        <w:t>Notice of Dissolution of Group.</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20"/>
          <w:szCs w:val="20"/>
          <w:color w:val="auto"/>
        </w:rPr>
        <w:t>Not applicable.</w:t>
      </w:r>
    </w:p>
    <w:p>
      <w:pPr>
        <w:spacing w:after="0" w:line="229"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color w:val="auto"/>
        </w:rPr>
        <w:t>ITEM 10.</w:t>
      </w:r>
      <w:r>
        <w:rPr>
          <w:sz w:val="20"/>
          <w:szCs w:val="20"/>
          <w:color w:val="auto"/>
        </w:rPr>
        <w:tab/>
      </w:r>
      <w:r>
        <w:rPr>
          <w:rFonts w:ascii="Arial" w:cs="Arial" w:eastAsia="Arial" w:hAnsi="Arial"/>
          <w:sz w:val="18"/>
          <w:szCs w:val="18"/>
          <w:color w:val="auto"/>
        </w:rPr>
        <w:t>Certification.</w:t>
      </w:r>
    </w:p>
    <w:p>
      <w:pPr>
        <w:spacing w:after="0" w:line="229" w:lineRule="exact"/>
        <w:rPr>
          <w:sz w:val="20"/>
          <w:szCs w:val="20"/>
          <w:color w:val="auto"/>
        </w:rPr>
      </w:pPr>
    </w:p>
    <w:p>
      <w:pPr>
        <w:ind w:left="980" w:right="60"/>
        <w:spacing w:after="0" w:line="28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00329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03290" cy="34290"/>
                    </a:xfrm>
                    <a:prstGeom prst="rect">
                      <a:avLst/>
                    </a:prstGeom>
                    <a:noFill/>
                  </pic:spPr>
                </pic:pic>
              </a:graphicData>
            </a:graphic>
          </wp:anchor>
        </w:drawing>
      </w:r>
    </w:p>
    <w:p>
      <w:pPr>
        <w:sectPr>
          <w:pgSz w:w="11900" w:h="16838" w:orient="portrait"/>
          <w:cols w:equalWidth="0" w:num="1">
            <w:col w:w="9440"/>
          </w:cols>
          <w:pgMar w:left="1020" w:top="122" w:right="1439" w:bottom="1440" w:gutter="0" w:footer="0" w:header="0"/>
        </w:sectPr>
      </w:pPr>
    </w:p>
    <w:bookmarkStart w:id="14" w:name="page15"/>
    <w:bookmarkEnd w:id="14"/>
    <w:p>
      <w:pPr>
        <w:jc w:val="center"/>
        <w:ind w:right="379"/>
        <w:spacing w:after="0"/>
        <w:rPr>
          <w:sz w:val="20"/>
          <w:szCs w:val="20"/>
          <w:color w:val="auto"/>
        </w:rPr>
      </w:pPr>
      <w:r>
        <w:rPr>
          <w:rFonts w:ascii="Arial" w:cs="Arial" w:eastAsia="Arial" w:hAnsi="Arial"/>
          <w:sz w:val="20"/>
          <w:szCs w:val="20"/>
          <w:b w:val="1"/>
          <w:bCs w:val="1"/>
          <w:color w:val="auto"/>
        </w:rPr>
        <w:t>SIGNATURES</w:t>
      </w:r>
    </w:p>
    <w:p>
      <w:pPr>
        <w:spacing w:after="0" w:line="234" w:lineRule="exact"/>
        <w:rPr>
          <w:sz w:val="20"/>
          <w:szCs w:val="20"/>
          <w:color w:val="auto"/>
        </w:rPr>
      </w:pPr>
    </w:p>
    <w:p>
      <w:pPr>
        <w:ind w:left="100" w:right="519" w:firstLine="648"/>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98" w:lineRule="exact"/>
        <w:rPr>
          <w:sz w:val="20"/>
          <w:szCs w:val="20"/>
          <w:color w:val="auto"/>
        </w:rPr>
      </w:pPr>
    </w:p>
    <w:p>
      <w:pPr>
        <w:ind w:left="120"/>
        <w:spacing w:after="0"/>
        <w:tabs>
          <w:tab w:leader="none" w:pos="3880" w:val="left"/>
        </w:tabs>
        <w:rPr>
          <w:sz w:val="20"/>
          <w:szCs w:val="20"/>
          <w:color w:val="auto"/>
        </w:rPr>
      </w:pPr>
      <w:r>
        <w:rPr>
          <w:rFonts w:ascii="Arial" w:cs="Arial" w:eastAsia="Arial" w:hAnsi="Arial"/>
          <w:sz w:val="20"/>
          <w:szCs w:val="20"/>
          <w:color w:val="auto"/>
        </w:rPr>
        <w:t>Dated: April 8, 2019</w:t>
      </w:r>
      <w:r>
        <w:rPr>
          <w:sz w:val="20"/>
          <w:szCs w:val="20"/>
          <w:color w:val="auto"/>
        </w:rPr>
        <w:tab/>
      </w:r>
      <w:r>
        <w:rPr>
          <w:rFonts w:ascii="Arial" w:cs="Arial" w:eastAsia="Arial" w:hAnsi="Arial"/>
          <w:sz w:val="19"/>
          <w:szCs w:val="19"/>
          <w:b w:val="1"/>
          <w:bCs w:val="1"/>
          <w:color w:val="auto"/>
        </w:rPr>
        <w:t>LEVIN EASTERLY PARTNERS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Name:</w:t>
        <w:tab/>
        <w:t>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Chairman</w:t>
      </w: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LE PARTNERS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Name:</w:t>
        <w:tab/>
        <w:t>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LE PARTNERS HOLDINGS II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Name:</w:t>
        <w:tab/>
        <w:t>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LE PARTNERS HOLDINGS III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Name:</w:t>
        <w:tab/>
        <w:t>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77"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LE PARTNERS HOLDINGS IV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900"/>
        <w:spacing w:after="0"/>
        <w:tabs>
          <w:tab w:leader="none" w:pos="47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Name:</w:t>
        <w:tab/>
        <w:t>Darrell Crate</w:t>
      </w:r>
    </w:p>
    <w:p>
      <w:pPr>
        <w:spacing w:after="0" w:line="27" w:lineRule="exact"/>
        <w:rPr>
          <w:sz w:val="20"/>
          <w:szCs w:val="20"/>
          <w:color w:val="auto"/>
        </w:rPr>
      </w:pPr>
    </w:p>
    <w:p>
      <w:pPr>
        <w:ind w:left="3900"/>
        <w:spacing w:after="0"/>
        <w:tabs>
          <w:tab w:leader="none" w:pos="46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00" w:type="dxa"/>
        <w:tblCellMar>
          <w:top w:w="0" w:type="dxa"/>
          <w:left w:w="0" w:type="dxa"/>
          <w:bottom w:w="0" w:type="dxa"/>
          <w:right w:w="0" w:type="dxa"/>
        </w:tblCellMar>
      </w:tblPr>
      <w:tr>
        <w:trPr>
          <w:trHeight w:val="250"/>
        </w:trPr>
        <w:tc>
          <w:tcPr>
            <w:tcW w:w="4460" w:type="dxa"/>
            <w:vAlign w:val="bottom"/>
          </w:tcPr>
          <w:p>
            <w:pPr>
              <w:ind w:left="3800"/>
              <w:spacing w:after="0"/>
              <w:rPr>
                <w:sz w:val="20"/>
                <w:szCs w:val="20"/>
                <w:color w:val="auto"/>
              </w:rPr>
            </w:pPr>
            <w:r>
              <w:rPr>
                <w:rFonts w:ascii="Arial" w:cs="Arial" w:eastAsia="Arial" w:hAnsi="Arial"/>
                <w:sz w:val="20"/>
                <w:szCs w:val="20"/>
                <w:color w:val="auto"/>
              </w:rPr>
              <w:t>By:</w:t>
            </w:r>
          </w:p>
        </w:tc>
        <w:tc>
          <w:tcPr>
            <w:tcW w:w="3980" w:type="dxa"/>
            <w:vAlign w:val="bottom"/>
          </w:tcPr>
          <w:p>
            <w:pPr>
              <w:ind w:left="160"/>
              <w:spacing w:after="0"/>
              <w:rPr>
                <w:sz w:val="20"/>
                <w:szCs w:val="20"/>
                <w:color w:val="auto"/>
              </w:rPr>
            </w:pPr>
            <w:r>
              <w:rPr>
                <w:rFonts w:ascii="Arial" w:cs="Arial" w:eastAsia="Arial" w:hAnsi="Arial"/>
                <w:sz w:val="20"/>
                <w:szCs w:val="20"/>
                <w:color w:val="auto"/>
              </w:rPr>
              <w:t>/s/ Darrell Crate</w:t>
            </w:r>
          </w:p>
        </w:tc>
      </w:tr>
      <w:tr>
        <w:trPr>
          <w:trHeight w:val="257"/>
        </w:trPr>
        <w:tc>
          <w:tcPr>
            <w:tcW w:w="4460" w:type="dxa"/>
            <w:vAlign w:val="bottom"/>
          </w:tcPr>
          <w:p>
            <w:pPr>
              <w:ind w:left="3800"/>
              <w:spacing w:after="0"/>
              <w:rPr>
                <w:sz w:val="20"/>
                <w:szCs w:val="20"/>
                <w:color w:val="auto"/>
              </w:rPr>
            </w:pPr>
            <w:r>
              <w:rPr>
                <w:rFonts w:ascii="Arial" w:cs="Arial" w:eastAsia="Arial" w:hAnsi="Arial"/>
                <w:sz w:val="20"/>
                <w:szCs w:val="20"/>
                <w:color w:val="auto"/>
              </w:rPr>
              <w:t>Name:</w:t>
            </w:r>
          </w:p>
        </w:tc>
        <w:tc>
          <w:tcPr>
            <w:tcW w:w="3980" w:type="dxa"/>
            <w:vAlign w:val="bottom"/>
          </w:tcPr>
          <w:p>
            <w:pPr>
              <w:ind w:left="140"/>
              <w:spacing w:after="0"/>
              <w:rPr>
                <w:sz w:val="20"/>
                <w:szCs w:val="20"/>
                <w:color w:val="auto"/>
              </w:rPr>
            </w:pPr>
            <w:r>
              <w:rPr>
                <w:rFonts w:ascii="Arial" w:cs="Arial" w:eastAsia="Arial" w:hAnsi="Arial"/>
                <w:sz w:val="20"/>
                <w:szCs w:val="20"/>
                <w:color w:val="auto"/>
              </w:rPr>
              <w:t>Darrell Crate</w:t>
            </w:r>
          </w:p>
        </w:tc>
      </w:tr>
      <w:tr>
        <w:trPr>
          <w:trHeight w:val="624"/>
        </w:trPr>
        <w:tc>
          <w:tcPr>
            <w:tcW w:w="446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r>
    </w:tbl>
    <w:p>
      <w:pPr>
        <w:sectPr>
          <w:pgSz w:w="11900" w:h="16838" w:orient="portrait"/>
          <w:cols w:equalWidth="0" w:num="1">
            <w:col w:w="9019"/>
          </w:cols>
          <w:pgMar w:left="1440" w:top="118" w:right="1440" w:bottom="1440" w:gutter="0" w:footer="0" w:header="0"/>
        </w:sectPr>
      </w:pPr>
    </w:p>
    <w:bookmarkStart w:id="15" w:name="page16"/>
    <w:bookmarkEnd w:id="15"/>
    <w:p>
      <w:pPr>
        <w:ind w:left="3880"/>
        <w:spacing w:after="0"/>
        <w:tabs>
          <w:tab w:leader="none" w:pos="4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Avshalom Kalichstein</w:t>
      </w:r>
    </w:p>
    <w:p>
      <w:pPr>
        <w:spacing w:after="0" w:line="27" w:lineRule="exact"/>
        <w:rPr>
          <w:sz w:val="20"/>
          <w:szCs w:val="20"/>
          <w:color w:val="auto"/>
        </w:rPr>
      </w:pPr>
    </w:p>
    <w:p>
      <w:pPr>
        <w:ind w:left="3880"/>
        <w:spacing w:after="0"/>
        <w:tabs>
          <w:tab w:leader="none" w:pos="4660" w:val="left"/>
        </w:tabs>
        <w:rPr>
          <w:sz w:val="20"/>
          <w:szCs w:val="20"/>
          <w:color w:val="auto"/>
        </w:rPr>
      </w:pPr>
      <w:r>
        <w:rPr>
          <w:rFonts w:ascii="Arial" w:cs="Arial" w:eastAsia="Arial" w:hAnsi="Arial"/>
          <w:sz w:val="20"/>
          <w:szCs w:val="20"/>
          <w:color w:val="auto"/>
        </w:rPr>
        <w:t>Name:</w:t>
        <w:tab/>
        <w:t>Avshalom Kalichstein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880"/>
        <w:spacing w:after="0"/>
        <w:tabs>
          <w:tab w:leader="none" w:pos="46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John Murphy</w:t>
      </w:r>
    </w:p>
    <w:p>
      <w:pPr>
        <w:spacing w:after="0" w:line="27" w:lineRule="exact"/>
        <w:rPr>
          <w:sz w:val="20"/>
          <w:szCs w:val="20"/>
          <w:color w:val="auto"/>
        </w:rPr>
      </w:pPr>
    </w:p>
    <w:p>
      <w:pPr>
        <w:ind w:left="3880"/>
        <w:spacing w:after="0"/>
        <w:rPr>
          <w:sz w:val="20"/>
          <w:szCs w:val="20"/>
          <w:color w:val="auto"/>
        </w:rPr>
      </w:pPr>
      <w:r>
        <w:rPr>
          <w:rFonts w:ascii="Arial" w:cs="Arial" w:eastAsia="Arial" w:hAnsi="Arial"/>
          <w:sz w:val="20"/>
          <w:szCs w:val="20"/>
          <w:color w:val="auto"/>
        </w:rPr>
        <w:t>Name: John Murphy</w:t>
      </w:r>
    </w:p>
    <w:p>
      <w:pPr>
        <w:spacing w:after="0" w:line="277" w:lineRule="exact"/>
        <w:rPr>
          <w:sz w:val="20"/>
          <w:szCs w:val="20"/>
          <w:color w:val="auto"/>
        </w:rPr>
      </w:pPr>
    </w:p>
    <w:p>
      <w:pPr>
        <w:ind w:left="3880"/>
        <w:spacing w:after="0"/>
        <w:rPr>
          <w:sz w:val="20"/>
          <w:szCs w:val="20"/>
          <w:color w:val="auto"/>
        </w:rPr>
      </w:pPr>
      <w:r>
        <w:rPr>
          <w:rFonts w:ascii="Arial" w:cs="Arial" w:eastAsia="Arial" w:hAnsi="Arial"/>
          <w:sz w:val="20"/>
          <w:szCs w:val="20"/>
          <w:b w:val="1"/>
          <w:bCs w:val="1"/>
          <w:color w:val="auto"/>
        </w:rPr>
        <w:t>LEVIN CAPITAL STRATEGIES, 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880"/>
        <w:spacing w:after="0"/>
        <w:tabs>
          <w:tab w:leader="none" w:pos="4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John A. Levin</w:t>
      </w:r>
    </w:p>
    <w:p>
      <w:pPr>
        <w:spacing w:after="0" w:line="27" w:lineRule="exact"/>
        <w:rPr>
          <w:sz w:val="20"/>
          <w:szCs w:val="20"/>
          <w:color w:val="auto"/>
        </w:rPr>
      </w:pPr>
    </w:p>
    <w:p>
      <w:pPr>
        <w:ind w:left="3880"/>
        <w:spacing w:after="0"/>
        <w:tabs>
          <w:tab w:leader="none" w:pos="4660" w:val="left"/>
        </w:tabs>
        <w:rPr>
          <w:sz w:val="20"/>
          <w:szCs w:val="20"/>
          <w:color w:val="auto"/>
        </w:rPr>
      </w:pPr>
      <w:r>
        <w:rPr>
          <w:rFonts w:ascii="Arial" w:cs="Arial" w:eastAsia="Arial" w:hAnsi="Arial"/>
          <w:sz w:val="20"/>
          <w:szCs w:val="20"/>
          <w:color w:val="auto"/>
        </w:rPr>
        <w:t>Name:</w:t>
        <w:tab/>
        <w:t>John A. Levin</w:t>
      </w:r>
    </w:p>
    <w:p>
      <w:pPr>
        <w:spacing w:after="0" w:line="27" w:lineRule="exact"/>
        <w:rPr>
          <w:sz w:val="20"/>
          <w:szCs w:val="20"/>
          <w:color w:val="auto"/>
        </w:rPr>
      </w:pPr>
    </w:p>
    <w:p>
      <w:pPr>
        <w:ind w:left="3880"/>
        <w:spacing w:after="0"/>
        <w:tabs>
          <w:tab w:leader="none" w:pos="46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Chairman and Managing Member</w:t>
      </w:r>
    </w:p>
    <w:p>
      <w:pPr>
        <w:sectPr>
          <w:pgSz w:w="11900" w:h="16838" w:orient="portrait"/>
          <w:cols w:equalWidth="0" w:num="1">
            <w:col w:w="9019"/>
          </w:cols>
          <w:pgMar w:left="1440" w:top="649" w:right="1440" w:bottom="1440" w:gutter="0" w:footer="0" w:header="0"/>
        </w:sectPr>
      </w:pPr>
    </w:p>
    <w:bookmarkStart w:id="16" w:name="page17"/>
    <w:bookmarkEnd w:id="16"/>
    <w:p>
      <w:pPr>
        <w:jc w:val="right"/>
        <w:ind w:right="479"/>
        <w:spacing w:after="0"/>
        <w:rPr>
          <w:sz w:val="20"/>
          <w:szCs w:val="20"/>
          <w:color w:val="auto"/>
        </w:rPr>
      </w:pPr>
      <w:r>
        <w:rPr>
          <w:rFonts w:ascii="Arial" w:cs="Arial" w:eastAsia="Arial" w:hAnsi="Arial"/>
          <w:sz w:val="22"/>
          <w:szCs w:val="22"/>
          <w:b w:val="1"/>
          <w:bCs w:val="1"/>
          <w:u w:val="single" w:color="auto"/>
          <w:color w:val="auto"/>
        </w:rPr>
        <w:t>Exhibit 99.1</w:t>
      </w:r>
    </w:p>
    <w:p>
      <w:pPr>
        <w:spacing w:after="0" w:line="145" w:lineRule="exact"/>
        <w:rPr>
          <w:sz w:val="20"/>
          <w:szCs w:val="20"/>
          <w:color w:val="auto"/>
        </w:rPr>
      </w:pPr>
    </w:p>
    <w:p>
      <w:pPr>
        <w:ind w:left="2940"/>
        <w:spacing w:after="0"/>
        <w:rPr>
          <w:sz w:val="20"/>
          <w:szCs w:val="20"/>
          <w:color w:val="auto"/>
        </w:rPr>
      </w:pPr>
      <w:r>
        <w:rPr>
          <w:rFonts w:ascii="Arial" w:cs="Arial" w:eastAsia="Arial" w:hAnsi="Arial"/>
          <w:sz w:val="22"/>
          <w:szCs w:val="22"/>
          <w:u w:val="single" w:color="auto"/>
          <w:color w:val="auto"/>
        </w:rPr>
        <w:t>JOINT FILING AGREEMENT</w:t>
      </w:r>
    </w:p>
    <w:p>
      <w:pPr>
        <w:spacing w:after="0" w:line="125" w:lineRule="exact"/>
        <w:rPr>
          <w:sz w:val="20"/>
          <w:szCs w:val="20"/>
          <w:color w:val="auto"/>
        </w:rPr>
      </w:pPr>
    </w:p>
    <w:p>
      <w:pPr>
        <w:ind w:left="100" w:right="499" w:firstLine="648"/>
        <w:spacing w:after="0" w:line="245" w:lineRule="auto"/>
        <w:rPr>
          <w:sz w:val="20"/>
          <w:szCs w:val="20"/>
          <w:color w:val="auto"/>
        </w:rPr>
      </w:pPr>
      <w:r>
        <w:rPr>
          <w:rFonts w:ascii="Arial" w:cs="Arial" w:eastAsia="Arial" w:hAnsi="Arial"/>
          <w:sz w:val="21"/>
          <w:szCs w:val="21"/>
          <w:color w:val="auto"/>
        </w:rPr>
        <w:t>In accordance with Rule 13d-1(k)(1)(iii) under the Securities Exchange Act of 1934, as amended, the persons named below agree to the joint filing on behalf of each of them of a Statement on Schedule 13G dated April 8, 2019 (including amendments thereto) with respect to the Common Stock of Fluidigm Corporation. This Joint Filing Agreement shall be filed as an Exhibit to such Statement. The undersigned acknowledge that each shall be responsible for the timely filing of any amendments to such Statement, and for the completeness and accuracy of the information concerning him or her contained in such Statement and any amendments thereto, but shall not be responsible for the completeness and accuracy of the information concerning the other, except to the extent that he or she knows or has reason to believe that such information is inaccurate.</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Dated: April 8, 2019</w:t>
      </w:r>
    </w:p>
    <w:p>
      <w:pPr>
        <w:spacing w:after="0" w:line="139"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LEVIN EASTERLY PARTNERS LLC</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-635</wp:posOffset>
            </wp:positionV>
            <wp:extent cx="9175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-34925</wp:posOffset>
            </wp:positionV>
            <wp:extent cx="94361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4000"/>
        <w:spacing w:after="0" w:line="238" w:lineRule="auto"/>
        <w:rPr>
          <w:sz w:val="20"/>
          <w:szCs w:val="20"/>
          <w:color w:val="auto"/>
        </w:rPr>
      </w:pPr>
      <w:r>
        <w:rPr>
          <w:rFonts w:ascii="Arial" w:cs="Arial" w:eastAsia="Arial" w:hAnsi="Arial"/>
          <w:sz w:val="22"/>
          <w:szCs w:val="22"/>
          <w:color w:val="auto"/>
        </w:rPr>
        <w:t>Name: Darrell Crate</w:t>
      </w:r>
    </w:p>
    <w:p>
      <w:pPr>
        <w:ind w:left="400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Chairman</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LE PARTNERS HOLDINGS LLC</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-635</wp:posOffset>
            </wp:positionV>
            <wp:extent cx="9175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-34925</wp:posOffset>
            </wp:positionV>
            <wp:extent cx="94361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4000"/>
        <w:spacing w:after="0" w:line="238" w:lineRule="auto"/>
        <w:rPr>
          <w:sz w:val="20"/>
          <w:szCs w:val="20"/>
          <w:color w:val="auto"/>
        </w:rPr>
      </w:pPr>
      <w:r>
        <w:rPr>
          <w:rFonts w:ascii="Arial" w:cs="Arial" w:eastAsia="Arial" w:hAnsi="Arial"/>
          <w:sz w:val="22"/>
          <w:szCs w:val="22"/>
          <w:color w:val="auto"/>
        </w:rPr>
        <w:t>Name: Darrell Crate</w:t>
      </w:r>
    </w:p>
    <w:p>
      <w:pPr>
        <w:ind w:left="400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LE PARTNERS HOLDINGS II LLC</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-635</wp:posOffset>
            </wp:positionV>
            <wp:extent cx="9175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-34925</wp:posOffset>
            </wp:positionV>
            <wp:extent cx="9436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4000"/>
        <w:spacing w:after="0" w:line="238" w:lineRule="auto"/>
        <w:rPr>
          <w:sz w:val="20"/>
          <w:szCs w:val="20"/>
          <w:color w:val="auto"/>
        </w:rPr>
      </w:pPr>
      <w:r>
        <w:rPr>
          <w:rFonts w:ascii="Arial" w:cs="Arial" w:eastAsia="Arial" w:hAnsi="Arial"/>
          <w:sz w:val="22"/>
          <w:szCs w:val="22"/>
          <w:color w:val="auto"/>
        </w:rPr>
        <w:t>Name: Darrell Crate</w:t>
      </w:r>
    </w:p>
    <w:p>
      <w:pPr>
        <w:ind w:left="400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LE PARTNERS HOLDINGS III LLC</w:t>
      </w:r>
    </w:p>
    <w:p>
      <w:pPr>
        <w:spacing w:after="0" w:line="233"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-635</wp:posOffset>
            </wp:positionV>
            <wp:extent cx="9175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-34925</wp:posOffset>
            </wp:positionV>
            <wp:extent cx="94361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4000"/>
        <w:spacing w:after="0" w:line="238" w:lineRule="auto"/>
        <w:rPr>
          <w:sz w:val="20"/>
          <w:szCs w:val="20"/>
          <w:color w:val="auto"/>
        </w:rPr>
      </w:pPr>
      <w:r>
        <w:rPr>
          <w:rFonts w:ascii="Arial" w:cs="Arial" w:eastAsia="Arial" w:hAnsi="Arial"/>
          <w:sz w:val="22"/>
          <w:szCs w:val="22"/>
          <w:color w:val="auto"/>
        </w:rPr>
        <w:t>Name: Darrell Crate</w:t>
      </w:r>
    </w:p>
    <w:p>
      <w:pPr>
        <w:ind w:left="400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64770</wp:posOffset>
            </wp:positionV>
            <wp:extent cx="535114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51145" cy="34290"/>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17" w:name="page18"/>
    <w:bookmarkEnd w:id="17"/>
    <w:p>
      <w:pPr>
        <w:ind w:left="4000"/>
        <w:spacing w:after="0"/>
        <w:rPr>
          <w:sz w:val="20"/>
          <w:szCs w:val="20"/>
          <w:color w:val="auto"/>
        </w:rPr>
      </w:pPr>
      <w:r>
        <w:rPr>
          <w:rFonts w:ascii="Arial" w:cs="Arial" w:eastAsia="Arial" w:hAnsi="Arial"/>
          <w:sz w:val="22"/>
          <w:szCs w:val="22"/>
          <w:color w:val="auto"/>
        </w:rPr>
        <w:t>LE PARTNERS HOLDINGS IV LLC</w:t>
      </w:r>
    </w:p>
    <w:p>
      <w:pPr>
        <w:spacing w:after="0" w:line="234"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-635</wp:posOffset>
            </wp:positionV>
            <wp:extent cx="9175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1757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3651250</wp:posOffset>
            </wp:positionH>
            <wp:positionV relativeFrom="paragraph">
              <wp:posOffset>-34925</wp:posOffset>
            </wp:positionV>
            <wp:extent cx="9436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ind w:left="4000"/>
        <w:spacing w:after="0" w:line="238" w:lineRule="auto"/>
        <w:rPr>
          <w:sz w:val="20"/>
          <w:szCs w:val="20"/>
          <w:color w:val="auto"/>
        </w:rPr>
      </w:pPr>
      <w:r>
        <w:rPr>
          <w:rFonts w:ascii="Arial" w:cs="Arial" w:eastAsia="Arial" w:hAnsi="Arial"/>
          <w:sz w:val="22"/>
          <w:szCs w:val="22"/>
          <w:color w:val="auto"/>
        </w:rPr>
        <w:t>Name: Darrell Crate</w:t>
      </w:r>
    </w:p>
    <w:p>
      <w:pPr>
        <w:ind w:left="400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58"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-34925</wp:posOffset>
            </wp:positionV>
            <wp:extent cx="214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3830955</wp:posOffset>
            </wp:positionH>
            <wp:positionV relativeFrom="paragraph">
              <wp:posOffset>-34925</wp:posOffset>
            </wp:positionV>
            <wp:extent cx="7632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ind w:left="4000"/>
        <w:spacing w:after="0"/>
        <w:rPr>
          <w:sz w:val="20"/>
          <w:szCs w:val="20"/>
          <w:color w:val="auto"/>
        </w:rPr>
      </w:pPr>
      <w:r>
        <w:rPr>
          <w:rFonts w:ascii="Arial" w:cs="Arial" w:eastAsia="Arial" w:hAnsi="Arial"/>
          <w:sz w:val="22"/>
          <w:szCs w:val="22"/>
          <w:color w:val="auto"/>
        </w:rPr>
        <w:t>Name: Darrell Crate</w:t>
      </w:r>
    </w:p>
    <w:p>
      <w:pPr>
        <w:spacing w:after="0" w:line="200" w:lineRule="exact"/>
        <w:rPr>
          <w:sz w:val="20"/>
          <w:szCs w:val="20"/>
          <w:color w:val="auto"/>
        </w:rPr>
      </w:pPr>
    </w:p>
    <w:p>
      <w:pPr>
        <w:spacing w:after="0" w:line="258"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-34925</wp:posOffset>
            </wp:positionV>
            <wp:extent cx="2146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-34925</wp:posOffset>
            </wp:positionV>
            <wp:extent cx="2571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ind w:left="4000"/>
        <w:spacing w:after="0"/>
        <w:rPr>
          <w:sz w:val="20"/>
          <w:szCs w:val="20"/>
          <w:color w:val="auto"/>
        </w:rPr>
      </w:pPr>
      <w:r>
        <w:rPr>
          <w:rFonts w:ascii="Arial" w:cs="Arial" w:eastAsia="Arial" w:hAnsi="Arial"/>
          <w:sz w:val="22"/>
          <w:szCs w:val="22"/>
          <w:color w:val="auto"/>
        </w:rPr>
        <w:t>Name: Avshalom Kalichstein</w:t>
      </w:r>
    </w:p>
    <w:p>
      <w:pPr>
        <w:spacing w:after="0" w:line="200" w:lineRule="exact"/>
        <w:rPr>
          <w:sz w:val="20"/>
          <w:szCs w:val="20"/>
          <w:color w:val="auto"/>
        </w:rPr>
      </w:pPr>
    </w:p>
    <w:p>
      <w:pPr>
        <w:spacing w:after="0" w:line="258"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2733675</wp:posOffset>
            </wp:positionH>
            <wp:positionV relativeFrom="paragraph">
              <wp:posOffset>-34925</wp:posOffset>
            </wp:positionV>
            <wp:extent cx="214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-34925</wp:posOffset>
            </wp:positionV>
            <wp:extent cx="7461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ind w:left="4000"/>
        <w:spacing w:after="0"/>
        <w:rPr>
          <w:sz w:val="20"/>
          <w:szCs w:val="20"/>
          <w:color w:val="auto"/>
        </w:rPr>
      </w:pPr>
      <w:r>
        <w:rPr>
          <w:rFonts w:ascii="Arial" w:cs="Arial" w:eastAsia="Arial" w:hAnsi="Arial"/>
          <w:sz w:val="22"/>
          <w:szCs w:val="22"/>
          <w:color w:val="auto"/>
        </w:rPr>
        <w:t>Name: John Murphy</w:t>
      </w:r>
    </w:p>
    <w:p>
      <w:pPr>
        <w:spacing w:after="0" w:line="215"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LEVIN CAPITAL STRATEGIES, LP</w:t>
      </w:r>
    </w:p>
    <w:p>
      <w:pPr>
        <w:spacing w:after="0" w:line="200" w:lineRule="exact"/>
        <w:rPr>
          <w:sz w:val="20"/>
          <w:szCs w:val="20"/>
          <w:color w:val="auto"/>
        </w:rPr>
      </w:pPr>
    </w:p>
    <w:p>
      <w:pPr>
        <w:spacing w:after="0" w:line="276" w:lineRule="exact"/>
        <w:rPr>
          <w:sz w:val="20"/>
          <w:szCs w:val="20"/>
          <w:color w:val="auto"/>
        </w:rPr>
      </w:pPr>
    </w:p>
    <w:p>
      <w:pPr>
        <w:ind w:left="4000"/>
        <w:spacing w:after="0"/>
        <w:tabs>
          <w:tab w:leader="none" w:pos="46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John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-34925</wp:posOffset>
            </wp:positionV>
            <wp:extent cx="1803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3891280</wp:posOffset>
            </wp:positionH>
            <wp:positionV relativeFrom="paragraph">
              <wp:posOffset>-34925</wp:posOffset>
            </wp:positionV>
            <wp:extent cx="7029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ind w:left="4000"/>
        <w:spacing w:after="0" w:line="238" w:lineRule="auto"/>
        <w:rPr>
          <w:sz w:val="20"/>
          <w:szCs w:val="20"/>
          <w:color w:val="auto"/>
        </w:rPr>
      </w:pPr>
      <w:r>
        <w:rPr>
          <w:rFonts w:ascii="Arial" w:cs="Arial" w:eastAsia="Arial" w:hAnsi="Arial"/>
          <w:sz w:val="22"/>
          <w:szCs w:val="22"/>
          <w:color w:val="auto"/>
        </w:rPr>
        <w:t>Name: John A. Levin</w:t>
      </w:r>
    </w:p>
    <w:p>
      <w:pPr>
        <w:ind w:left="4000"/>
        <w:spacing w:after="0"/>
        <w:tabs>
          <w:tab w:leader="none" w:pos="46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Chairman and Managing Member</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decimal"/>
      <w:start w:val="2"/>
    </w:lvl>
  </w:abstractNum>
  <w:abstractNum w:abstractNumId="3">
    <w:nsid w:val="3A95F874"/>
    <w:multiLevelType w:val="hybridMultilevel"/>
    <w:lvl w:ilvl="0">
      <w:lvlJc w:val="left"/>
      <w:lvlText w:val="%1"/>
      <w:numFmt w:val="decimal"/>
      <w:start w:val="1"/>
    </w:lvl>
    <w:lvl w:ilvl="1">
      <w:lvlJc w:val="left"/>
      <w:lvlText w:val="%2."/>
      <w:numFmt w:val="decimal"/>
      <w:start w:val="7"/>
    </w:lvl>
  </w:abstractNum>
  <w:abstractNum w:abstractNumId="4">
    <w:nsid w:val="8138641"/>
    <w:multiLevelType w:val="hybridMultilevel"/>
    <w:lvl w:ilvl="0">
      <w:lvlJc w:val="left"/>
      <w:lvlText w:val="%1."/>
      <w:numFmt w:val="decimal"/>
      <w:start w:val="9"/>
    </w:lvl>
    <w:lvl w:ilvl="1">
      <w:lvlJc w:val="left"/>
      <w:lvlText w:val="%2"/>
      <w:numFmt w:val="decimal"/>
      <w:start w:val="1"/>
    </w:lvl>
  </w:abstractNum>
  <w:abstractNum w:abstractNumId="5">
    <w:nsid w:val="1E7FF521"/>
    <w:multiLevelType w:val="hybridMultilevel"/>
    <w:lvl w:ilvl="0">
      <w:lvlJc w:val="left"/>
      <w:lvlText w:val="%1."/>
      <w:numFmt w:val="decimal"/>
      <w:start w:val="11"/>
    </w:lvl>
  </w:abstractNum>
  <w:abstractNum w:abstractNumId="6">
    <w:nsid w:val="7C3DBD3D"/>
    <w:multiLevelType w:val="hybridMultilevel"/>
    <w:lvl w:ilvl="0">
      <w:lvlJc w:val="left"/>
      <w:lvlText w:val="%1."/>
      <w:numFmt w:val="decimal"/>
      <w:start w:val="2"/>
    </w:lvl>
  </w:abstractNum>
  <w:abstractNum w:abstractNumId="7">
    <w:nsid w:val="737B8DDC"/>
    <w:multiLevelType w:val="hybridMultilevel"/>
    <w:lvl w:ilvl="0">
      <w:lvlJc w:val="left"/>
      <w:lvlText w:val="%1"/>
      <w:numFmt w:val="decimal"/>
      <w:start w:val="1"/>
    </w:lvl>
    <w:lvl w:ilvl="1">
      <w:lvlJc w:val="left"/>
      <w:lvlText w:val="%2."/>
      <w:numFmt w:val="decimal"/>
      <w:start w:val="7"/>
    </w:lvl>
  </w:abstractNum>
  <w:abstractNum w:abstractNumId="8">
    <w:nsid w:val="6CEAF087"/>
    <w:multiLevelType w:val="hybridMultilevel"/>
    <w:lvl w:ilvl="0">
      <w:lvlJc w:val="left"/>
      <w:lvlText w:val="%1."/>
      <w:numFmt w:val="decimal"/>
      <w:start w:val="9"/>
    </w:lvl>
    <w:lvl w:ilvl="1">
      <w:lvlJc w:val="left"/>
      <w:lvlText w:val="%2"/>
      <w:numFmt w:val="decimal"/>
      <w:start w:val="1"/>
    </w:lvl>
  </w:abstractNum>
  <w:abstractNum w:abstractNumId="9">
    <w:nsid w:val="22221A70"/>
    <w:multiLevelType w:val="hybridMultilevel"/>
    <w:lvl w:ilvl="0">
      <w:lvlJc w:val="left"/>
      <w:lvlText w:val="%1."/>
      <w:numFmt w:val="decimal"/>
      <w:start w:val="11"/>
    </w:lvl>
  </w:abstractNum>
  <w:abstractNum w:abstractNumId="10">
    <w:nsid w:val="4516DDE9"/>
    <w:multiLevelType w:val="hybridMultilevel"/>
    <w:lvl w:ilvl="0">
      <w:lvlJc w:val="left"/>
      <w:lvlText w:val="%1."/>
      <w:numFmt w:val="decimal"/>
      <w:start w:val="2"/>
    </w:lvl>
  </w:abstractNum>
  <w:abstractNum w:abstractNumId="11">
    <w:nsid w:val="3006C83E"/>
    <w:multiLevelType w:val="hybridMultilevel"/>
    <w:lvl w:ilvl="0">
      <w:lvlJc w:val="left"/>
      <w:lvlText w:val="%1"/>
      <w:numFmt w:val="decimal"/>
      <w:start w:val="1"/>
    </w:lvl>
    <w:lvl w:ilvl="1">
      <w:lvlJc w:val="left"/>
      <w:lvlText w:val="%2."/>
      <w:numFmt w:val="decimal"/>
      <w:start w:val="7"/>
    </w:lvl>
  </w:abstractNum>
  <w:abstractNum w:abstractNumId="12">
    <w:nsid w:val="614FD4A1"/>
    <w:multiLevelType w:val="hybridMultilevel"/>
    <w:lvl w:ilvl="0">
      <w:lvlJc w:val="left"/>
      <w:lvlText w:val="%1."/>
      <w:numFmt w:val="decimal"/>
      <w:start w:val="9"/>
    </w:lvl>
    <w:lvl w:ilvl="1">
      <w:lvlJc w:val="left"/>
      <w:lvlText w:val="%2"/>
      <w:numFmt w:val="decimal"/>
      <w:start w:val="1"/>
    </w:lvl>
  </w:abstractNum>
  <w:abstractNum w:abstractNumId="13">
    <w:nsid w:val="419AC241"/>
    <w:multiLevelType w:val="hybridMultilevel"/>
    <w:lvl w:ilvl="0">
      <w:lvlJc w:val="left"/>
      <w:lvlText w:val="%1."/>
      <w:numFmt w:val="decimal"/>
      <w:start w:val="11"/>
    </w:lvl>
  </w:abstractNum>
  <w:abstractNum w:abstractNumId="14">
    <w:nsid w:val="5577F8E1"/>
    <w:multiLevelType w:val="hybridMultilevel"/>
    <w:lvl w:ilvl="0">
      <w:lvlJc w:val="left"/>
      <w:lvlText w:val="%1."/>
      <w:numFmt w:val="decimal"/>
      <w:start w:val="1"/>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1"/>
      <w:numFmt w:val="decimal"/>
      <w:start w:val="1"/>
    </w:lvl>
    <w:lvl w:ilvl="1">
      <w:lvlJc w:val="left"/>
      <w:lvlText w:val="%2."/>
      <w:numFmt w:val="decimal"/>
      <w:start w:val="7"/>
    </w:lvl>
  </w:abstractNum>
  <w:abstractNum w:abstractNumId="17">
    <w:nsid w:val="3804823E"/>
    <w:multiLevelType w:val="hybridMultilevel"/>
    <w:lvl w:ilvl="0">
      <w:lvlJc w:val="left"/>
      <w:lvlText w:val="%1."/>
      <w:numFmt w:val="decimal"/>
      <w:start w:val="9"/>
    </w:lvl>
    <w:lvl w:ilvl="1">
      <w:lvlJc w:val="left"/>
      <w:lvlText w:val="%2"/>
      <w:numFmt w:val="decimal"/>
      <w:start w:val="1"/>
    </w:lvl>
  </w:abstractNum>
  <w:abstractNum w:abstractNumId="18">
    <w:nsid w:val="77465F01"/>
    <w:multiLevelType w:val="hybridMultilevel"/>
    <w:lvl w:ilvl="0">
      <w:lvlJc w:val="left"/>
      <w:lvlText w:val="%1."/>
      <w:numFmt w:val="decimal"/>
      <w:start w:val="1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2"/>
    </w:lvl>
  </w:abstractNum>
  <w:abstractNum w:abstractNumId="21">
    <w:nsid w:val="2463B9EA"/>
    <w:multiLevelType w:val="hybridMultilevel"/>
    <w:lvl w:ilvl="0">
      <w:lvlJc w:val="left"/>
      <w:lvlText w:val="%1"/>
      <w:numFmt w:val="decimal"/>
      <w:start w:val="1"/>
    </w:lvl>
    <w:lvl w:ilvl="1">
      <w:lvlJc w:val="left"/>
      <w:lvlText w:val="%2."/>
      <w:numFmt w:val="decimal"/>
      <w:start w:val="7"/>
    </w:lvl>
  </w:abstractNum>
  <w:abstractNum w:abstractNumId="22">
    <w:nsid w:val="5E884ADC"/>
    <w:multiLevelType w:val="hybridMultilevel"/>
    <w:lvl w:ilvl="0">
      <w:lvlJc w:val="left"/>
      <w:lvlText w:val="%1."/>
      <w:numFmt w:val="decimal"/>
      <w:start w:val="9"/>
    </w:lvl>
    <w:lvl w:ilvl="1">
      <w:lvlJc w:val="left"/>
      <w:lvlText w:val="%2"/>
      <w:numFmt w:val="decimal"/>
      <w:start w:val="1"/>
    </w:lvl>
  </w:abstractNum>
  <w:abstractNum w:abstractNumId="23">
    <w:nsid w:val="51EAD36B"/>
    <w:multiLevelType w:val="hybridMultilevel"/>
    <w:lvl w:ilvl="0">
      <w:lvlJc w:val="left"/>
      <w:lvlText w:val="%1."/>
      <w:numFmt w:val="decimal"/>
      <w:start w:val="11"/>
    </w:lvl>
  </w:abstractNum>
  <w:abstractNum w:abstractNumId="24">
    <w:nsid w:val="2D517796"/>
    <w:multiLevelType w:val="hybridMultilevel"/>
    <w:lvl w:ilvl="0">
      <w:lvlJc w:val="left"/>
      <w:lvlText w:val="%1."/>
      <w:numFmt w:val="decimal"/>
      <w:start w:val="2"/>
    </w:lvl>
  </w:abstractNum>
  <w:abstractNum w:abstractNumId="25">
    <w:nsid w:val="580BD78F"/>
    <w:multiLevelType w:val="hybridMultilevel"/>
    <w:lvl w:ilvl="0">
      <w:lvlJc w:val="left"/>
      <w:lvlText w:val="%1"/>
      <w:numFmt w:val="decimal"/>
      <w:start w:val="1"/>
    </w:lvl>
    <w:lvl w:ilvl="1">
      <w:lvlJc w:val="left"/>
      <w:lvlText w:val="%2."/>
      <w:numFmt w:val="decimal"/>
      <w:start w:val="7"/>
    </w:lvl>
  </w:abstractNum>
  <w:abstractNum w:abstractNumId="26">
    <w:nsid w:val="153EA438"/>
    <w:multiLevelType w:val="hybridMultilevel"/>
    <w:lvl w:ilvl="0">
      <w:lvlJc w:val="left"/>
      <w:lvlText w:val="%1."/>
      <w:numFmt w:val="decimal"/>
      <w:start w:val="9"/>
    </w:lvl>
    <w:lvl w:ilvl="1">
      <w:lvlJc w:val="left"/>
      <w:lvlText w:val="%2"/>
      <w:numFmt w:val="decimal"/>
      <w:start w:val="1"/>
    </w:lvl>
  </w:abstractNum>
  <w:abstractNum w:abstractNumId="27">
    <w:nsid w:val="3855585C"/>
    <w:multiLevelType w:val="hybridMultilevel"/>
    <w:lvl w:ilvl="0">
      <w:lvlJc w:val="left"/>
      <w:lvlText w:val="%1."/>
      <w:numFmt w:val="decimal"/>
      <w:start w:val="11"/>
    </w:lvl>
  </w:abstractNum>
  <w:abstractNum w:abstractNumId="28">
    <w:nsid w:val="70A64E2A"/>
    <w:multiLevelType w:val="hybridMultilevel"/>
    <w:lvl w:ilvl="0">
      <w:lvlJc w:val="left"/>
      <w:lvlText w:val="%1."/>
      <w:numFmt w:val="decimal"/>
      <w:start w:val="2"/>
    </w:lvl>
  </w:abstractNum>
  <w:abstractNum w:abstractNumId="29">
    <w:nsid w:val="6A2342EC"/>
    <w:multiLevelType w:val="hybridMultilevel"/>
    <w:lvl w:ilvl="0">
      <w:lvlJc w:val="left"/>
      <w:lvlText w:val="%1"/>
      <w:numFmt w:val="decimal"/>
      <w:start w:val="1"/>
    </w:lvl>
    <w:lvl w:ilvl="1">
      <w:lvlJc w:val="left"/>
      <w:lvlText w:val="%2."/>
      <w:numFmt w:val="decimal"/>
      <w:start w:val="7"/>
    </w:lvl>
  </w:abstractNum>
  <w:abstractNum w:abstractNumId="30">
    <w:nsid w:val="2A487CB0"/>
    <w:multiLevelType w:val="hybridMultilevel"/>
    <w:lvl w:ilvl="0">
      <w:lvlJc w:val="left"/>
      <w:lvlText w:val="%1."/>
      <w:numFmt w:val="decimal"/>
      <w:start w:val="9"/>
    </w:lvl>
    <w:lvl w:ilvl="1">
      <w:lvlJc w:val="left"/>
      <w:lvlText w:val="%2"/>
      <w:numFmt w:val="decimal"/>
      <w:start w:val="1"/>
    </w:lvl>
  </w:abstractNum>
  <w:abstractNum w:abstractNumId="31">
    <w:nsid w:val="1D4ED43B"/>
    <w:multiLevelType w:val="hybridMultilevel"/>
    <w:lvl w:ilvl="0">
      <w:lvlJc w:val="left"/>
      <w:lvlText w:val="%1."/>
      <w:numFmt w:val="decimal"/>
      <w:start w:val="1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2"/>
    </w:lvl>
  </w:abstractNum>
  <w:abstractNum w:abstractNumId="34">
    <w:nsid w:val="57E4CCAF"/>
    <w:multiLevelType w:val="hybridMultilevel"/>
    <w:lvl w:ilvl="0">
      <w:lvlJc w:val="left"/>
      <w:lvlText w:val="%1"/>
      <w:numFmt w:val="decimal"/>
      <w:start w:val="1"/>
    </w:lvl>
    <w:lvl w:ilvl="1">
      <w:lvlJc w:val="left"/>
      <w:lvlText w:val="%2."/>
      <w:numFmt w:val="decimal"/>
      <w:start w:val="7"/>
    </w:lvl>
  </w:abstractNum>
  <w:abstractNum w:abstractNumId="35">
    <w:nsid w:val="7A6D8D3C"/>
    <w:multiLevelType w:val="hybridMultilevel"/>
    <w:lvl w:ilvl="0">
      <w:lvlJc w:val="left"/>
      <w:lvlText w:val="%1."/>
      <w:numFmt w:val="decimal"/>
      <w:start w:val="9"/>
    </w:lvl>
    <w:lvl w:ilvl="1">
      <w:lvlJc w:val="left"/>
      <w:lvlText w:val="%2"/>
      <w:numFmt w:val="decimal"/>
      <w:start w:val="1"/>
    </w:lvl>
  </w:abstractNum>
  <w:abstractNum w:abstractNumId="36">
    <w:nsid w:val="4B588F54"/>
    <w:multiLevelType w:val="hybridMultilevel"/>
    <w:lvl w:ilvl="0">
      <w:lvlJc w:val="left"/>
      <w:lvlText w:val="%1."/>
      <w:numFmt w:val="decimal"/>
      <w:start w:val="11"/>
    </w:lvl>
  </w:abstractNum>
  <w:abstractNum w:abstractNumId="37">
    <w:nsid w:val="542289EC"/>
    <w:multiLevelType w:val="hybridMultilevel"/>
    <w:lvl w:ilvl="0">
      <w:lvlJc w:val="left"/>
      <w:lvlText w:val="%1."/>
      <w:numFmt w:val="decimal"/>
      <w:start w:val="2"/>
    </w:lvl>
  </w:abstractNum>
  <w:abstractNum w:abstractNumId="38">
    <w:nsid w:val="6DE91B18"/>
    <w:multiLevelType w:val="hybridMultilevel"/>
    <w:lvl w:ilvl="0">
      <w:lvlJc w:val="left"/>
      <w:lvlText w:val="%1"/>
      <w:numFmt w:val="decimal"/>
      <w:start w:val="1"/>
    </w:lvl>
    <w:lvl w:ilvl="1">
      <w:lvlJc w:val="left"/>
      <w:lvlText w:val="%2."/>
      <w:numFmt w:val="decimal"/>
      <w:start w:val="7"/>
    </w:lvl>
  </w:abstractNum>
  <w:abstractNum w:abstractNumId="39">
    <w:nsid w:val="38437FDB"/>
    <w:multiLevelType w:val="hybridMultilevel"/>
    <w:lvl w:ilvl="0">
      <w:lvlJc w:val="left"/>
      <w:lvlText w:val="%1."/>
      <w:numFmt w:val="decimal"/>
      <w:start w:val="9"/>
    </w:lvl>
    <w:lvl w:ilvl="1">
      <w:lvlJc w:val="left"/>
      <w:lvlText w:val="%2"/>
      <w:numFmt w:val="decimal"/>
      <w:start w:val="1"/>
    </w:lvl>
  </w:abstractNum>
  <w:abstractNum w:abstractNumId="40">
    <w:nsid w:val="7644A45C"/>
    <w:multiLevelType w:val="hybridMultilevel"/>
    <w:lvl w:ilvl="0">
      <w:lvlJc w:val="left"/>
      <w:lvlText w:val="%1."/>
      <w:numFmt w:val="decimal"/>
      <w:start w:val="1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5"/>
    </w:lvl>
  </w:abstractNum>
  <w:abstractNum w:abstractNumId="44">
    <w:nsid w:val="749ABB43"/>
    <w:multiLevelType w:val="hybridMultilevel"/>
    <w:lvl w:ilvl="0">
      <w:lvlJc w:val="left"/>
      <w:lvlText w:val="(%1)"/>
      <w:numFmt w:val="lowerLetter"/>
      <w:start w:val="1"/>
    </w:lvl>
    <w:lvl w:ilvl="1">
      <w:lvlJc w:val="left"/>
      <w:lvlText w:val="(%2)"/>
      <w:numFmt w:val="lowerLetter"/>
      <w:start w:val="4"/>
    </w:lvl>
  </w:abstractNum>
  <w:abstractNum w:abstractNumId="45">
    <w:nsid w:val="3DC240FB"/>
    <w:multiLevelType w:val="hybridMultilevel"/>
    <w:lvl w:ilvl="0">
      <w:lvlJc w:val="left"/>
      <w:lvlText w:val="(%1)"/>
      <w:numFmt w:val="lowerLetter"/>
      <w:start w:val="6"/>
    </w:lvl>
    <w:lvl w:ilvl="1">
      <w:lvlJc w:val="left"/>
      <w:lvlText w:val="(%2)"/>
      <w:numFmt w:val="lowerLetter"/>
      <w:start w:val="8"/>
    </w:lvl>
  </w:abstractNum>
  <w:abstractNum w:abstractNumId="46">
    <w:nsid w:val="1BA026FA"/>
    <w:multiLevelType w:val="hybridMultilevel"/>
    <w:lvl w:ilvl="0">
      <w:lvlJc w:val="left"/>
      <w:lvlText w:val="(%1)"/>
      <w:numFmt w:val="lowerLetter"/>
      <w:start w:val="1"/>
    </w:lvl>
    <w:lvl w:ilvl="1">
      <w:lvlJc w:val="left"/>
      <w:lvlText w:val="(%2)"/>
      <w:numFmt w:val="lowerRoman"/>
      <w:start w:val="1"/>
    </w:lvl>
  </w:abstractNum>
  <w:abstractNum w:abstractNumId="47">
    <w:nsid w:val="79A1DEAA"/>
    <w:multiLevelType w:val="hybridMultilevel"/>
    <w:lvl w:ilvl="0">
      <w:lvlJc w:val="left"/>
      <w:lvlText w:val="(%1)"/>
      <w:numFmt w:val="lowerLetter"/>
      <w:start w:val="1"/>
    </w:lvl>
    <w:lvl w:ilvl="1">
      <w:lvlJc w:val="left"/>
      <w:lvlText w:val="(%2)"/>
      <w:numFmt w:val="lowerRoman"/>
      <w:start w:val="1"/>
    </w:lvl>
  </w:abstractNum>
  <w:abstractNum w:abstractNumId="48">
    <w:nsid w:val="75C6C33A"/>
    <w:multiLevelType w:val="hybridMultilevel"/>
    <w:lvl w:ilvl="0">
      <w:lvlJc w:val="left"/>
      <w:lvlText w:val="(%1)"/>
      <w:numFmt w:val="lowerLetter"/>
      <w:start w:val="1"/>
    </w:lvl>
    <w:lvl w:ilvl="1">
      <w:lvlJc w:val="left"/>
      <w:lvlText w:val="(%2)"/>
      <w:numFmt w:val="lowerRoman"/>
      <w:start w:val="1"/>
    </w:lvl>
  </w:abstractNum>
  <w:abstractNum w:abstractNumId="49">
    <w:nsid w:val="12E685FB"/>
    <w:multiLevelType w:val="hybridMultilevel"/>
    <w:lvl w:ilvl="0">
      <w:lvlJc w:val="left"/>
      <w:lvlText w:val="(%1)"/>
      <w:numFmt w:val="lowerLetter"/>
      <w:start w:val="1"/>
    </w:lvl>
    <w:lvl w:ilvl="1">
      <w:lvlJc w:val="left"/>
      <w:lvlText w:val="(%2)"/>
      <w:numFmt w:val="lowerRoman"/>
      <w:start w:val="1"/>
    </w:lvl>
  </w:abstractNum>
  <w:abstractNum w:abstractNumId="50">
    <w:nsid w:val="70C6A529"/>
    <w:multiLevelType w:val="hybridMultilevel"/>
    <w:lvl w:ilvl="0">
      <w:lvlJc w:val="left"/>
      <w:lvlText w:val="(%1)"/>
      <w:numFmt w:val="lowerLetter"/>
      <w:start w:val="1"/>
    </w:lvl>
    <w:lvl w:ilvl="1">
      <w:lvlJc w:val="left"/>
      <w:lvlText w:val="(%2)"/>
      <w:numFmt w:val="lowerRoman"/>
      <w:start w:val="1"/>
    </w:lvl>
  </w:abstractNum>
  <w:abstractNum w:abstractNumId="51">
    <w:nsid w:val="520EEDD1"/>
    <w:multiLevelType w:val="hybridMultilevel"/>
    <w:lvl w:ilvl="0">
      <w:lvlJc w:val="left"/>
      <w:lvlText w:val="(%1)"/>
      <w:numFmt w:val="lowerLetter"/>
      <w:start w:val="1"/>
    </w:lvl>
    <w:lvl w:ilvl="1">
      <w:lvlJc w:val="left"/>
      <w:lvlText w:val="(%2)"/>
      <w:numFmt w:val="lowerRoman"/>
      <w:start w:val="1"/>
    </w:lvl>
  </w:abstractNum>
  <w:abstractNum w:abstractNumId="52">
    <w:nsid w:val="374A3FE6"/>
    <w:multiLevelType w:val="hybridMultilevel"/>
    <w:lvl w:ilvl="0">
      <w:lvlJc w:val="left"/>
      <w:lvlText w:val="(%1)"/>
      <w:numFmt w:val="lowerLetter"/>
      <w:start w:val="1"/>
    </w:lvl>
    <w:lvl w:ilvl="1">
      <w:lvlJc w:val="left"/>
      <w:lvlText w:val="(%2)"/>
      <w:numFmt w:val="lowerRoman"/>
      <w:start w:val="1"/>
    </w:lvl>
  </w:abstractNum>
  <w:abstractNum w:abstractNumId="53">
    <w:nsid w:val="4F4EF005"/>
    <w:multiLevelType w:val="hybridMultilevel"/>
    <w:lvl w:ilvl="0">
      <w:lvlJc w:val="left"/>
      <w:lvlText w:val="(%1)"/>
      <w:numFmt w:val="lowerLetter"/>
      <w:start w:val="1"/>
    </w:lvl>
    <w:lvl w:ilvl="1">
      <w:lvlJc w:val="left"/>
      <w:lvlText w:val="(%2)"/>
      <w:numFmt w:val="lowerRoman"/>
      <w:start w:val="1"/>
    </w:lvl>
  </w:abstractNum>
  <w:abstractNum w:abstractNumId="54">
    <w:nsid w:val="23F9C13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2019-12-03T16:03:36Z</dcterms:created>
  <dcterms:modified xsi:type="dcterms:W3CDTF">2019-12-03T16:03:36Z</dcterms:modified>
</cp:coreProperties>
</file>