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9"/>
          <w:szCs w:val="19"/>
          <w:b w:val="1"/>
          <w:bCs w:val="1"/>
          <w:color w:val="auto"/>
        </w:rPr>
        <w:t>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4" w:lineRule="exact"/>
        <w:rPr>
          <w:sz w:val="24"/>
          <w:szCs w:val="24"/>
          <w:color w:val="auto"/>
        </w:rPr>
      </w:pPr>
    </w:p>
    <w:p>
      <w:pPr>
        <w:ind w:left="4780"/>
        <w:spacing w:after="0"/>
        <w:rPr>
          <w:sz w:val="20"/>
          <w:szCs w:val="20"/>
          <w:color w:val="auto"/>
        </w:rPr>
      </w:pPr>
      <w:r>
        <w:rPr>
          <w:rFonts w:ascii="Arial" w:cs="Arial" w:eastAsia="Arial" w:hAnsi="Arial"/>
          <w:sz w:val="19"/>
          <w:szCs w:val="19"/>
          <w:color w:val="auto"/>
        </w:rPr>
        <w:t>__________________________</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February 27, 2019</w:t>
      </w:r>
    </w:p>
    <w:p>
      <w:pPr>
        <w:spacing w:after="0" w:line="10" w:lineRule="exact"/>
        <w:rPr>
          <w:sz w:val="24"/>
          <w:szCs w:val="24"/>
          <w:color w:val="auto"/>
        </w:rPr>
      </w:pPr>
    </w:p>
    <w:p>
      <w:pPr>
        <w:ind w:left="4780"/>
        <w:spacing w:after="0"/>
        <w:rPr>
          <w:sz w:val="20"/>
          <w:szCs w:val="20"/>
          <w:color w:val="auto"/>
        </w:rPr>
      </w:pPr>
      <w:r>
        <w:rPr>
          <w:rFonts w:ascii="Arial" w:cs="Arial" w:eastAsia="Arial" w:hAnsi="Arial"/>
          <w:sz w:val="19"/>
          <w:szCs w:val="19"/>
          <w:color w:val="auto"/>
        </w:rPr>
        <w:t>__________________________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FLUIDIGM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7" w:lineRule="exact"/>
        <w:rPr>
          <w:sz w:val="24"/>
          <w:szCs w:val="24"/>
          <w:color w:val="auto"/>
        </w:rPr>
      </w:pPr>
    </w:p>
    <w:p>
      <w:pPr>
        <w:ind w:left="4780"/>
        <w:spacing w:after="0"/>
        <w:rPr>
          <w:sz w:val="20"/>
          <w:szCs w:val="20"/>
          <w:color w:val="auto"/>
        </w:rPr>
      </w:pPr>
      <w:r>
        <w:rPr>
          <w:rFonts w:ascii="Arial" w:cs="Arial" w:eastAsia="Arial" w:hAnsi="Arial"/>
          <w:sz w:val="19"/>
          <w:szCs w:val="19"/>
          <w:color w:val="auto"/>
        </w:rPr>
        <w:t>__________________________</w:t>
      </w:r>
    </w:p>
    <w:p>
      <w:pPr>
        <w:spacing w:after="0" w:line="219" w:lineRule="exact"/>
        <w:rPr>
          <w:sz w:val="24"/>
          <w:szCs w:val="24"/>
          <w:color w:val="auto"/>
        </w:rPr>
      </w:pPr>
    </w:p>
    <w:tbl>
      <w:tblPr>
        <w:tblLayout w:type="fixed"/>
        <w:tblInd w:w="840" w:type="dxa"/>
        <w:tblCellMar>
          <w:top w:w="0" w:type="dxa"/>
          <w:left w:w="0" w:type="dxa"/>
          <w:bottom w:w="0" w:type="dxa"/>
          <w:right w:w="0" w:type="dxa"/>
        </w:tblCellMar>
      </w:tblPr>
      <w:tr>
        <w:trPr>
          <w:trHeight w:val="228"/>
        </w:trPr>
        <w:tc>
          <w:tcPr>
            <w:tcW w:w="2400" w:type="dxa"/>
            <w:vAlign w:val="bottom"/>
          </w:tcPr>
          <w:p>
            <w:pPr>
              <w:jc w:val="center"/>
              <w:ind w:right="145"/>
              <w:spacing w:after="0"/>
              <w:rPr>
                <w:sz w:val="20"/>
                <w:szCs w:val="20"/>
                <w:color w:val="auto"/>
              </w:rPr>
            </w:pPr>
            <w:r>
              <w:rPr>
                <w:rFonts w:ascii="Arial" w:cs="Arial" w:eastAsia="Arial" w:hAnsi="Arial"/>
                <w:sz w:val="19"/>
                <w:szCs w:val="19"/>
                <w:b w:val="1"/>
                <w:bCs w:val="1"/>
                <w:color w:val="auto"/>
                <w:w w:val="91"/>
              </w:rPr>
              <w:t>Delaware</w:t>
            </w:r>
          </w:p>
        </w:tc>
        <w:tc>
          <w:tcPr>
            <w:tcW w:w="5680" w:type="dxa"/>
            <w:vAlign w:val="bottom"/>
          </w:tcPr>
          <w:p>
            <w:pPr>
              <w:jc w:val="center"/>
              <w:ind w:right="45"/>
              <w:spacing w:after="0"/>
              <w:rPr>
                <w:sz w:val="20"/>
                <w:szCs w:val="20"/>
                <w:color w:val="auto"/>
              </w:rPr>
            </w:pPr>
            <w:r>
              <w:rPr>
                <w:rFonts w:ascii="Arial" w:cs="Arial" w:eastAsia="Arial" w:hAnsi="Arial"/>
                <w:sz w:val="19"/>
                <w:szCs w:val="19"/>
                <w:b w:val="1"/>
                <w:bCs w:val="1"/>
                <w:color w:val="auto"/>
                <w:w w:val="90"/>
              </w:rPr>
              <w:t>001-34180</w:t>
            </w:r>
          </w:p>
        </w:tc>
        <w:tc>
          <w:tcPr>
            <w:tcW w:w="1900" w:type="dxa"/>
            <w:vAlign w:val="bottom"/>
          </w:tcPr>
          <w:p>
            <w:pPr>
              <w:jc w:val="center"/>
              <w:ind w:left="325"/>
              <w:spacing w:after="0"/>
              <w:rPr>
                <w:sz w:val="20"/>
                <w:szCs w:val="20"/>
                <w:color w:val="auto"/>
              </w:rPr>
            </w:pPr>
            <w:r>
              <w:rPr>
                <w:rFonts w:ascii="Arial" w:cs="Arial" w:eastAsia="Arial" w:hAnsi="Arial"/>
                <w:sz w:val="19"/>
                <w:szCs w:val="19"/>
                <w:b w:val="1"/>
                <w:bCs w:val="1"/>
                <w:color w:val="auto"/>
                <w:w w:val="90"/>
              </w:rPr>
              <w:t>77-0513190</w:t>
            </w:r>
          </w:p>
        </w:tc>
      </w:tr>
      <w:tr>
        <w:trPr>
          <w:trHeight w:val="228"/>
        </w:trPr>
        <w:tc>
          <w:tcPr>
            <w:tcW w:w="2400" w:type="dxa"/>
            <w:vAlign w:val="bottom"/>
          </w:tcPr>
          <w:p>
            <w:pPr>
              <w:jc w:val="center"/>
              <w:ind w:right="145"/>
              <w:spacing w:after="0"/>
              <w:rPr>
                <w:sz w:val="20"/>
                <w:szCs w:val="20"/>
                <w:color w:val="auto"/>
              </w:rPr>
            </w:pPr>
            <w:r>
              <w:rPr>
                <w:rFonts w:ascii="Arial" w:cs="Arial" w:eastAsia="Arial" w:hAnsi="Arial"/>
                <w:sz w:val="19"/>
                <w:szCs w:val="19"/>
                <w:b w:val="1"/>
                <w:bCs w:val="1"/>
                <w:color w:val="auto"/>
                <w:w w:val="90"/>
              </w:rPr>
              <w:t>(State or other jurisdiction</w:t>
            </w:r>
          </w:p>
        </w:tc>
        <w:tc>
          <w:tcPr>
            <w:tcW w:w="5680" w:type="dxa"/>
            <w:vAlign w:val="bottom"/>
          </w:tcPr>
          <w:p>
            <w:pPr>
              <w:jc w:val="center"/>
              <w:ind w:right="45"/>
              <w:spacing w:after="0"/>
              <w:rPr>
                <w:sz w:val="20"/>
                <w:szCs w:val="20"/>
                <w:color w:val="auto"/>
              </w:rPr>
            </w:pPr>
            <w:r>
              <w:rPr>
                <w:rFonts w:ascii="Arial" w:cs="Arial" w:eastAsia="Arial" w:hAnsi="Arial"/>
                <w:sz w:val="19"/>
                <w:szCs w:val="19"/>
                <w:b w:val="1"/>
                <w:bCs w:val="1"/>
                <w:color w:val="auto"/>
                <w:w w:val="88"/>
              </w:rPr>
              <w:t>(Commission</w:t>
            </w:r>
          </w:p>
        </w:tc>
        <w:tc>
          <w:tcPr>
            <w:tcW w:w="1900" w:type="dxa"/>
            <w:vAlign w:val="bottom"/>
          </w:tcPr>
          <w:p>
            <w:pPr>
              <w:jc w:val="center"/>
              <w:ind w:left="325"/>
              <w:spacing w:after="0"/>
              <w:rPr>
                <w:sz w:val="20"/>
                <w:szCs w:val="20"/>
                <w:color w:val="auto"/>
              </w:rPr>
            </w:pPr>
            <w:r>
              <w:rPr>
                <w:rFonts w:ascii="Arial" w:cs="Arial" w:eastAsia="Arial" w:hAnsi="Arial"/>
                <w:sz w:val="19"/>
                <w:szCs w:val="19"/>
                <w:b w:val="1"/>
                <w:bCs w:val="1"/>
                <w:color w:val="auto"/>
                <w:w w:val="95"/>
              </w:rPr>
              <w:t>(IRS Employer</w:t>
            </w:r>
          </w:p>
        </w:tc>
      </w:tr>
      <w:tr>
        <w:trPr>
          <w:trHeight w:val="247"/>
        </w:trPr>
        <w:tc>
          <w:tcPr>
            <w:tcW w:w="2400" w:type="dxa"/>
            <w:vAlign w:val="bottom"/>
          </w:tcPr>
          <w:p>
            <w:pPr>
              <w:jc w:val="center"/>
              <w:ind w:right="145"/>
              <w:spacing w:after="0"/>
              <w:rPr>
                <w:sz w:val="20"/>
                <w:szCs w:val="20"/>
                <w:color w:val="auto"/>
              </w:rPr>
            </w:pPr>
            <w:r>
              <w:rPr>
                <w:rFonts w:ascii="Arial" w:cs="Arial" w:eastAsia="Arial" w:hAnsi="Arial"/>
                <w:sz w:val="19"/>
                <w:szCs w:val="19"/>
                <w:b w:val="1"/>
                <w:bCs w:val="1"/>
                <w:color w:val="auto"/>
                <w:w w:val="92"/>
              </w:rPr>
              <w:t>of incorporation)</w:t>
            </w:r>
          </w:p>
        </w:tc>
        <w:tc>
          <w:tcPr>
            <w:tcW w:w="5680" w:type="dxa"/>
            <w:vAlign w:val="bottom"/>
          </w:tcPr>
          <w:p>
            <w:pPr>
              <w:jc w:val="center"/>
              <w:ind w:right="45"/>
              <w:spacing w:after="0"/>
              <w:rPr>
                <w:sz w:val="20"/>
                <w:szCs w:val="20"/>
                <w:color w:val="auto"/>
              </w:rPr>
            </w:pPr>
            <w:r>
              <w:rPr>
                <w:rFonts w:ascii="Arial" w:cs="Arial" w:eastAsia="Arial" w:hAnsi="Arial"/>
                <w:sz w:val="19"/>
                <w:szCs w:val="19"/>
                <w:b w:val="1"/>
                <w:bCs w:val="1"/>
                <w:color w:val="auto"/>
                <w:w w:val="94"/>
              </w:rPr>
              <w:t>File Number)</w:t>
            </w:r>
          </w:p>
        </w:tc>
        <w:tc>
          <w:tcPr>
            <w:tcW w:w="1900" w:type="dxa"/>
            <w:vAlign w:val="bottom"/>
          </w:tcPr>
          <w:p>
            <w:pPr>
              <w:jc w:val="center"/>
              <w:ind w:left="325"/>
              <w:spacing w:after="0"/>
              <w:rPr>
                <w:sz w:val="20"/>
                <w:szCs w:val="20"/>
                <w:color w:val="auto"/>
              </w:rPr>
            </w:pPr>
            <w:r>
              <w:rPr>
                <w:rFonts w:ascii="Arial" w:cs="Arial" w:eastAsia="Arial" w:hAnsi="Arial"/>
                <w:sz w:val="19"/>
                <w:szCs w:val="19"/>
                <w:b w:val="1"/>
                <w:bCs w:val="1"/>
                <w:color w:val="auto"/>
                <w:w w:val="92"/>
              </w:rPr>
              <w:t>Identification No.)</w:t>
            </w:r>
          </w:p>
        </w:tc>
      </w:tr>
      <w:tr>
        <w:trPr>
          <w:trHeight w:val="437"/>
        </w:trPr>
        <w:tc>
          <w:tcPr>
            <w:tcW w:w="2400" w:type="dxa"/>
            <w:vAlign w:val="bottom"/>
          </w:tcPr>
          <w:p>
            <w:pPr>
              <w:spacing w:after="0"/>
              <w:rPr>
                <w:sz w:val="24"/>
                <w:szCs w:val="24"/>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7000 Shoreline Court, Suite 100</w:t>
            </w:r>
          </w:p>
        </w:tc>
        <w:tc>
          <w:tcPr>
            <w:tcW w:w="1900" w:type="dxa"/>
            <w:vAlign w:val="bottom"/>
          </w:tcPr>
          <w:p>
            <w:pPr>
              <w:spacing w:after="0"/>
              <w:rPr>
                <w:sz w:val="24"/>
                <w:szCs w:val="24"/>
                <w:color w:val="auto"/>
              </w:rPr>
            </w:pPr>
          </w:p>
        </w:tc>
      </w:tr>
      <w:tr>
        <w:trPr>
          <w:trHeight w:val="228"/>
        </w:trPr>
        <w:tc>
          <w:tcPr>
            <w:tcW w:w="2400" w:type="dxa"/>
            <w:vAlign w:val="bottom"/>
          </w:tcPr>
          <w:p>
            <w:pPr>
              <w:spacing w:after="0"/>
              <w:rPr>
                <w:sz w:val="19"/>
                <w:szCs w:val="19"/>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South San Francisco, California 94080</w:t>
            </w:r>
          </w:p>
        </w:tc>
        <w:tc>
          <w:tcPr>
            <w:tcW w:w="1900" w:type="dxa"/>
            <w:vAlign w:val="bottom"/>
          </w:tcPr>
          <w:p>
            <w:pPr>
              <w:spacing w:after="0"/>
              <w:rPr>
                <w:sz w:val="19"/>
                <w:szCs w:val="19"/>
                <w:color w:val="auto"/>
              </w:rPr>
            </w:pPr>
          </w:p>
        </w:tc>
      </w:tr>
      <w:tr>
        <w:trPr>
          <w:trHeight w:val="247"/>
        </w:trPr>
        <w:tc>
          <w:tcPr>
            <w:tcW w:w="2400" w:type="dxa"/>
            <w:vAlign w:val="bottom"/>
          </w:tcPr>
          <w:p>
            <w:pPr>
              <w:spacing w:after="0"/>
              <w:rPr>
                <w:sz w:val="21"/>
                <w:szCs w:val="21"/>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88"/>
              </w:rPr>
              <w:t>(Address of principal executive offices, including zip code)</w:t>
            </w:r>
          </w:p>
        </w:tc>
        <w:tc>
          <w:tcPr>
            <w:tcW w:w="1900" w:type="dxa"/>
            <w:vAlign w:val="bottom"/>
          </w:tcPr>
          <w:p>
            <w:pPr>
              <w:spacing w:after="0"/>
              <w:rPr>
                <w:sz w:val="21"/>
                <w:szCs w:val="21"/>
                <w:color w:val="auto"/>
              </w:rPr>
            </w:pPr>
          </w:p>
        </w:tc>
      </w:tr>
      <w:tr>
        <w:trPr>
          <w:trHeight w:val="437"/>
        </w:trPr>
        <w:tc>
          <w:tcPr>
            <w:tcW w:w="2400" w:type="dxa"/>
            <w:vAlign w:val="bottom"/>
          </w:tcPr>
          <w:p>
            <w:pPr>
              <w:spacing w:after="0"/>
              <w:rPr>
                <w:sz w:val="24"/>
                <w:szCs w:val="24"/>
                <w:color w:val="auto"/>
              </w:rPr>
            </w:pPr>
          </w:p>
        </w:tc>
        <w:tc>
          <w:tcPr>
            <w:tcW w:w="5680" w:type="dxa"/>
            <w:vAlign w:val="bottom"/>
          </w:tcPr>
          <w:p>
            <w:pPr>
              <w:jc w:val="right"/>
              <w:ind w:right="2225"/>
              <w:spacing w:after="0"/>
              <w:rPr>
                <w:sz w:val="20"/>
                <w:szCs w:val="20"/>
                <w:color w:val="auto"/>
              </w:rPr>
            </w:pPr>
            <w:r>
              <w:rPr>
                <w:rFonts w:ascii="Arial" w:cs="Arial" w:eastAsia="Arial" w:hAnsi="Arial"/>
                <w:sz w:val="19"/>
                <w:szCs w:val="19"/>
                <w:b w:val="1"/>
                <w:bCs w:val="1"/>
                <w:color w:val="auto"/>
              </w:rPr>
              <w:t>(650) 266-6000</w:t>
            </w:r>
          </w:p>
        </w:tc>
        <w:tc>
          <w:tcPr>
            <w:tcW w:w="1900" w:type="dxa"/>
            <w:vAlign w:val="bottom"/>
          </w:tcPr>
          <w:p>
            <w:pPr>
              <w:spacing w:after="0"/>
              <w:rPr>
                <w:sz w:val="24"/>
                <w:szCs w:val="24"/>
                <w:color w:val="auto"/>
              </w:rPr>
            </w:pPr>
          </w:p>
        </w:tc>
      </w:tr>
      <w:tr>
        <w:trPr>
          <w:trHeight w:val="247"/>
        </w:trPr>
        <w:tc>
          <w:tcPr>
            <w:tcW w:w="2400" w:type="dxa"/>
            <w:vAlign w:val="bottom"/>
          </w:tcPr>
          <w:p>
            <w:pPr>
              <w:spacing w:after="0"/>
              <w:rPr>
                <w:sz w:val="21"/>
                <w:szCs w:val="21"/>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88"/>
              </w:rPr>
              <w:t>(Registrant’s telephone number, including area code)</w:t>
            </w:r>
          </w:p>
        </w:tc>
        <w:tc>
          <w:tcPr>
            <w:tcW w:w="1900" w:type="dxa"/>
            <w:vAlign w:val="bottom"/>
          </w:tcPr>
          <w:p>
            <w:pPr>
              <w:spacing w:after="0"/>
              <w:rPr>
                <w:sz w:val="21"/>
                <w:szCs w:val="21"/>
                <w:color w:val="auto"/>
              </w:rPr>
            </w:pPr>
          </w:p>
        </w:tc>
      </w:tr>
      <w:tr>
        <w:trPr>
          <w:trHeight w:val="443"/>
        </w:trPr>
        <w:tc>
          <w:tcPr>
            <w:tcW w:w="2400" w:type="dxa"/>
            <w:vAlign w:val="bottom"/>
          </w:tcPr>
          <w:p>
            <w:pPr>
              <w:spacing w:after="0"/>
              <w:rPr>
                <w:sz w:val="24"/>
                <w:szCs w:val="24"/>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(Former name or former address, if changed since last report)</w:t>
            </w:r>
          </w:p>
        </w:tc>
        <w:tc>
          <w:tcPr>
            <w:tcW w:w="1900" w:type="dxa"/>
            <w:vAlign w:val="bottom"/>
          </w:tcPr>
          <w:p>
            <w:pPr>
              <w:spacing w:after="0"/>
              <w:rPr>
                <w:sz w:val="24"/>
                <w:szCs w:val="24"/>
                <w:color w:val="auto"/>
              </w:rPr>
            </w:pPr>
          </w:p>
        </w:tc>
      </w:tr>
      <w:tr>
        <w:trPr>
          <w:trHeight w:val="241"/>
        </w:trPr>
        <w:tc>
          <w:tcPr>
            <w:tcW w:w="2400" w:type="dxa"/>
            <w:vAlign w:val="bottom"/>
          </w:tcPr>
          <w:p>
            <w:pPr>
              <w:spacing w:after="0"/>
              <w:rPr>
                <w:sz w:val="20"/>
                <w:szCs w:val="20"/>
                <w:color w:val="auto"/>
              </w:rPr>
            </w:pPr>
          </w:p>
        </w:tc>
        <w:tc>
          <w:tcPr>
            <w:tcW w:w="5680" w:type="dxa"/>
            <w:vAlign w:val="bottom"/>
          </w:tcPr>
          <w:p>
            <w:pPr>
              <w:jc w:val="right"/>
              <w:ind w:right="1585"/>
              <w:spacing w:after="0"/>
              <w:rPr>
                <w:sz w:val="20"/>
                <w:szCs w:val="20"/>
                <w:color w:val="auto"/>
              </w:rPr>
            </w:pPr>
            <w:r>
              <w:rPr>
                <w:rFonts w:ascii="Arial" w:cs="Arial" w:eastAsia="Arial" w:hAnsi="Arial"/>
                <w:sz w:val="19"/>
                <w:szCs w:val="19"/>
                <w:color w:val="auto"/>
              </w:rPr>
              <w:t>__________________________</w:t>
            </w:r>
          </w:p>
        </w:tc>
        <w:tc>
          <w:tcPr>
            <w:tcW w:w="1900" w:type="dxa"/>
            <w:vAlign w:val="bottom"/>
          </w:tcPr>
          <w:p>
            <w:pPr>
              <w:spacing w:after="0"/>
              <w:rPr>
                <w:sz w:val="20"/>
                <w:szCs w:val="20"/>
                <w:color w:val="auto"/>
              </w:rPr>
            </w:pPr>
          </w:p>
        </w:tc>
      </w:tr>
    </w:tbl>
    <w:p>
      <w:pPr>
        <w:spacing w:after="0" w:line="215" w:lineRule="exact"/>
        <w:rPr>
          <w:sz w:val="24"/>
          <w:szCs w:val="24"/>
          <w:color w:val="auto"/>
        </w:rPr>
      </w:pPr>
    </w:p>
    <w:p>
      <w:pPr>
        <w:ind w:right="8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720" w:hanging="448"/>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37" w:lineRule="exact"/>
        <w:rPr>
          <w:rFonts w:ascii="MS PGothic" w:cs="MS PGothic" w:eastAsia="MS PGothic" w:hAnsi="MS PGothic"/>
          <w:sz w:val="19"/>
          <w:szCs w:val="19"/>
          <w:color w:val="auto"/>
        </w:rPr>
      </w:pPr>
    </w:p>
    <w:p>
      <w:pPr>
        <w:ind w:left="720" w:hanging="448"/>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37" w:lineRule="exact"/>
        <w:rPr>
          <w:rFonts w:ascii="MS PGothic" w:cs="MS PGothic" w:eastAsia="MS PGothic" w:hAnsi="MS PGothic"/>
          <w:sz w:val="19"/>
          <w:szCs w:val="19"/>
          <w:color w:val="auto"/>
        </w:rPr>
      </w:pPr>
    </w:p>
    <w:p>
      <w:pPr>
        <w:ind w:left="720" w:hanging="448"/>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37" w:lineRule="exact"/>
        <w:rPr>
          <w:rFonts w:ascii="MS PGothic" w:cs="MS PGothic" w:eastAsia="MS PGothic" w:hAnsi="MS PGothic"/>
          <w:sz w:val="19"/>
          <w:szCs w:val="19"/>
          <w:color w:val="auto"/>
        </w:rPr>
      </w:pPr>
    </w:p>
    <w:p>
      <w:pPr>
        <w:ind w:left="720" w:hanging="448"/>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6" w:lineRule="exact"/>
        <w:rPr>
          <w:sz w:val="24"/>
          <w:szCs w:val="24"/>
          <w:color w:val="auto"/>
        </w:rPr>
      </w:pPr>
    </w:p>
    <w:p>
      <w:pPr>
        <w:ind w:right="60"/>
        <w:spacing w:after="0" w:line="25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64" w:lineRule="exact"/>
        <w:rPr>
          <w:sz w:val="24"/>
          <w:szCs w:val="24"/>
          <w:color w:val="auto"/>
        </w:rPr>
      </w:pPr>
    </w:p>
    <w:p>
      <w:pPr>
        <w:ind w:left="97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6" w:lineRule="exact"/>
        <w:rPr>
          <w:sz w:val="24"/>
          <w:szCs w:val="24"/>
          <w:color w:val="auto"/>
        </w:rPr>
      </w:pPr>
    </w:p>
    <w:p>
      <w:pPr>
        <w:ind w:right="10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440690</wp:posOffset>
            </wp:positionV>
            <wp:extent cx="7625080" cy="45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45085"/>
                    </a:xfrm>
                    <a:prstGeom prst="rect">
                      <a:avLst/>
                    </a:prstGeom>
                    <a:noFill/>
                  </pic:spPr>
                </pic:pic>
              </a:graphicData>
            </a:graphic>
          </wp:anchor>
        </w:drawing>
      </w:r>
    </w:p>
    <w:p>
      <w:pPr>
        <w:sectPr>
          <w:pgSz w:w="12240" w:h="15840" w:orient="portrait"/>
          <w:cols w:equalWidth="0" w:num="1">
            <w:col w:w="12000"/>
          </w:cols>
          <w:pgMar w:left="120" w:top="84" w:right="120"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9"/>
          <w:szCs w:val="19"/>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44" w:lineRule="exact"/>
        <w:rPr>
          <w:sz w:val="20"/>
          <w:szCs w:val="20"/>
          <w:color w:val="auto"/>
        </w:rPr>
      </w:pPr>
    </w:p>
    <w:p>
      <w:pPr>
        <w:ind w:right="20" w:firstLine="466"/>
        <w:spacing w:after="0" w:line="271" w:lineRule="auto"/>
        <w:rPr>
          <w:sz w:val="20"/>
          <w:szCs w:val="20"/>
          <w:color w:val="auto"/>
        </w:rPr>
      </w:pPr>
      <w:r>
        <w:rPr>
          <w:rFonts w:ascii="Arial" w:cs="Arial" w:eastAsia="Arial" w:hAnsi="Arial"/>
          <w:sz w:val="18"/>
          <w:szCs w:val="18"/>
          <w:color w:val="auto"/>
        </w:rPr>
        <w:t>From February 21, 2019 through February 27, 2019, Fluidigm Corporation (the “Company”) received notices from holders of its 2.75% Exchange Convertible Senior Notes due 2034 (the “Senior Convertible Notes”) electing to voluntarily convert approximately $21.9 million in aggregate principal amount of Senior Convertible Notes pursuant to the terms of the Second Supplemental Indenture dated March 6, 2018, between the Company and U.S. Bank National Association (the “Trustee”) to the Indenture dated as of February 14, 2014, by and between the Company and the Trustee. As a result of such voluntary conversions, the Company has elected to fully satisfy its conversion obligations by delivering 2,843,029 shares of the Company’s common stock to such holders voluntarily converting their Senior Convertible Notes and has retired $21,933,000 of Senior Convertible Notes, bringing the aggregate principal amount of Senior Convertible Notes retired as of February 27, 2019 to $138,082,000.</w:t>
      </w:r>
    </w:p>
    <w:p>
      <w:pPr>
        <w:spacing w:after="0" w:line="189" w:lineRule="exact"/>
        <w:rPr>
          <w:sz w:val="20"/>
          <w:szCs w:val="20"/>
          <w:color w:val="auto"/>
        </w:rPr>
      </w:pPr>
    </w:p>
    <w:p>
      <w:pPr>
        <w:ind w:firstLine="466"/>
        <w:spacing w:after="0" w:line="336" w:lineRule="auto"/>
        <w:rPr>
          <w:sz w:val="20"/>
          <w:szCs w:val="20"/>
          <w:color w:val="auto"/>
        </w:rPr>
      </w:pPr>
      <w:r>
        <w:rPr>
          <w:rFonts w:ascii="Arial" w:cs="Arial" w:eastAsia="Arial" w:hAnsi="Arial"/>
          <w:sz w:val="17"/>
          <w:szCs w:val="17"/>
          <w:color w:val="auto"/>
        </w:rPr>
        <w:t>On February 27, 2019, the Company notified the Trustee of the Company’s intention to exercise its Issuer’s Conversion Option pursuant to the terms of the Second Supplemental Indenture with respect to the remaining approximately $11.9 million in aggregate principal amount of Senior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1418590</wp:posOffset>
            </wp:positionV>
            <wp:extent cx="762508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45085"/>
                    </a:xfrm>
                    <a:prstGeom prst="rect">
                      <a:avLst/>
                    </a:prstGeom>
                    <a:noFill/>
                  </pic:spPr>
                </pic:pic>
              </a:graphicData>
            </a:graphic>
          </wp:anchor>
        </w:drawing>
      </w:r>
    </w:p>
    <w:p>
      <w:pPr>
        <w:sectPr>
          <w:pgSz w:w="12240" w:h="15840" w:orient="portrait"/>
          <w:cols w:equalWidth="0" w:num="1">
            <w:col w:w="11980"/>
          </w:cols>
          <w:pgMar w:left="120" w:top="578" w:right="14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firstLine="704"/>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9"/>
                <w:szCs w:val="19"/>
                <w:b w:val="1"/>
                <w:bCs w:val="1"/>
                <w:color w:val="auto"/>
              </w:rPr>
              <w:t>FLUIDIGM CORPORATION</w:t>
            </w:r>
          </w:p>
        </w:tc>
      </w:tr>
      <w:tr>
        <w:trPr>
          <w:trHeight w:val="457"/>
        </w:trPr>
        <w:tc>
          <w:tcPr>
            <w:tcW w:w="3940" w:type="dxa"/>
            <w:vAlign w:val="bottom"/>
          </w:tcPr>
          <w:p>
            <w:pPr>
              <w:spacing w:after="0"/>
              <w:rPr>
                <w:sz w:val="20"/>
                <w:szCs w:val="20"/>
                <w:color w:val="auto"/>
              </w:rPr>
            </w:pPr>
            <w:r>
              <w:rPr>
                <w:rFonts w:ascii="Arial" w:cs="Arial" w:eastAsia="Arial" w:hAnsi="Arial"/>
                <w:sz w:val="19"/>
                <w:szCs w:val="19"/>
                <w:color w:val="auto"/>
              </w:rPr>
              <w:t>Date: February 27, 2019</w:t>
            </w:r>
          </w:p>
        </w:tc>
        <w:tc>
          <w:tcPr>
            <w:tcW w:w="8060" w:type="dxa"/>
            <w:vAlign w:val="bottom"/>
            <w:gridSpan w:val="2"/>
          </w:tcPr>
          <w:p>
            <w:pPr>
              <w:ind w:left="2060"/>
              <w:spacing w:after="0"/>
              <w:rPr>
                <w:sz w:val="20"/>
                <w:szCs w:val="20"/>
                <w:color w:val="auto"/>
              </w:rPr>
            </w:pPr>
            <w:r>
              <w:rPr>
                <w:rFonts w:ascii="Arial" w:cs="Arial" w:eastAsia="Arial" w:hAnsi="Arial"/>
                <w:sz w:val="19"/>
                <w:szCs w:val="19"/>
                <w:color w:val="auto"/>
              </w:rPr>
              <w:t>By: /s/ Nicholas Khadder</w:t>
            </w:r>
          </w:p>
        </w:tc>
      </w:tr>
      <w:tr>
        <w:trPr>
          <w:trHeight w:val="209"/>
        </w:trPr>
        <w:tc>
          <w:tcPr>
            <w:tcW w:w="3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64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Nicholas Khadder</w:t>
            </w:r>
          </w:p>
        </w:tc>
      </w:tr>
      <w:tr>
        <w:trPr>
          <w:trHeight w:val="228"/>
        </w:trPr>
        <w:tc>
          <w:tcPr>
            <w:tcW w:w="39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9"/>
                <w:szCs w:val="19"/>
                <w:color w:val="auto"/>
              </w:rPr>
              <w:t>Senior Vice President, General Counsel,</w:t>
            </w:r>
          </w:p>
        </w:tc>
      </w:tr>
      <w:tr>
        <w:trPr>
          <w:trHeight w:val="241"/>
        </w:trPr>
        <w:tc>
          <w:tcPr>
            <w:tcW w:w="3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9"/>
                <w:szCs w:val="19"/>
                <w:color w:val="auto"/>
              </w:rPr>
              <w:t>and Corporate Secretary</w:t>
            </w:r>
          </w:p>
        </w:tc>
      </w:tr>
      <w:tr>
        <w:trPr>
          <w:trHeight w:val="2340"/>
        </w:trPr>
        <w:tc>
          <w:tcPr>
            <w:tcW w:w="3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71"/>
        </w:trPr>
        <w:tc>
          <w:tcPr>
            <w:tcW w:w="3940" w:type="dxa"/>
            <w:vAlign w:val="bottom"/>
            <w:shd w:val="clear" w:color="auto" w:fill="000000"/>
          </w:tcPr>
          <w:p>
            <w:pPr>
              <w:spacing w:after="0"/>
              <w:rPr>
                <w:sz w:val="6"/>
                <w:szCs w:val="6"/>
                <w:color w:val="auto"/>
              </w:rPr>
            </w:pPr>
          </w:p>
        </w:tc>
        <w:tc>
          <w:tcPr>
            <w:tcW w:w="2420" w:type="dxa"/>
            <w:vAlign w:val="bottom"/>
            <w:shd w:val="clear" w:color="auto" w:fill="000000"/>
          </w:tcPr>
          <w:p>
            <w:pPr>
              <w:spacing w:after="0"/>
              <w:rPr>
                <w:sz w:val="6"/>
                <w:szCs w:val="6"/>
                <w:color w:val="auto"/>
              </w:rPr>
            </w:pPr>
          </w:p>
        </w:tc>
        <w:tc>
          <w:tcPr>
            <w:tcW w:w="564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2240" w:h="15840" w:orient="portrait"/>
      <w:cols w:equalWidth="0" w:num="1">
        <w:col w:w="12000"/>
      </w:cols>
      <w:pgMar w:left="120" w:top="578"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2019-12-15T06:27:07Z</dcterms:created>
  <dcterms:modified xsi:type="dcterms:W3CDTF">2019-12-15T06:27:07Z</dcterms:modified>
</cp:coreProperties>
</file>