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4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427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741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4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215,609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223,422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230,304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220,513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7,917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54,691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68,820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-2772410</wp:posOffset>
            </wp:positionV>
            <wp:extent cx="7033260" cy="2814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4,613 shares purchased on May 31, 2020 under the Company's 2017 Employee Stock Purchase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76,000 Restricted Stock Units vesting as to 1/12th of the total number of shares on May 20, 2017,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71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4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0808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2020-08-24T18:21:36Z</dcterms:created>
  <dcterms:modified xsi:type="dcterms:W3CDTF">2020-08-24T18:21:36Z</dcterms:modified>
</cp:coreProperties>
</file>