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Fluidigm Corporation</w:t>
      </w:r>
    </w:p>
    <w:p>
      <w:pPr>
        <w:spacing w:after="0" w:line="7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61"/>
              <w:spacing w:after="0"/>
              <w:rPr>
                <w:sz w:val="20"/>
                <w:szCs w:val="20"/>
                <w:color w:val="auto"/>
              </w:rPr>
            </w:pPr>
            <w:r>
              <w:rPr>
                <w:rFonts w:ascii="Arial" w:cs="Arial" w:eastAsia="Arial" w:hAnsi="Arial"/>
                <w:sz w:val="18"/>
                <w:szCs w:val="18"/>
                <w:b w:val="1"/>
                <w:bCs w:val="1"/>
                <w:color w:val="auto"/>
                <w:w w:val="90"/>
              </w:rPr>
              <w:t>001-34180</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77-0513190</w:t>
            </w:r>
          </w:p>
        </w:tc>
      </w:tr>
      <w:tr>
        <w:trPr>
          <w:trHeight w:val="197"/>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5"/>
              </w:rPr>
              <w:t>(Commission</w:t>
            </w:r>
          </w:p>
        </w:tc>
        <w:tc>
          <w:tcPr>
            <w:tcW w:w="1440" w:type="dxa"/>
            <w:vAlign w:val="bottom"/>
          </w:tcPr>
          <w:p>
            <w:pPr>
              <w:jc w:val="center"/>
              <w:ind w:left="302"/>
              <w:spacing w:after="0"/>
              <w:rPr>
                <w:sz w:val="20"/>
                <w:szCs w:val="20"/>
                <w:color w:val="auto"/>
              </w:rPr>
            </w:pPr>
            <w:r>
              <w:rPr>
                <w:rFonts w:ascii="Arial" w:cs="Arial" w:eastAsia="Arial" w:hAnsi="Arial"/>
                <w:sz w:val="14"/>
                <w:szCs w:val="14"/>
                <w:color w:val="auto"/>
                <w:w w:val="95"/>
              </w:rPr>
              <w:t>(I.R.S. Employer</w:t>
            </w:r>
          </w:p>
        </w:tc>
      </w:tr>
      <w:tr>
        <w:trPr>
          <w:trHeight w:val="182"/>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6"/>
              </w:rPr>
              <w:t>of Incorporation)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6"/>
              </w:rPr>
              <w:t>File Number)</w:t>
            </w:r>
          </w:p>
        </w:tc>
        <w:tc>
          <w:tcPr>
            <w:tcW w:w="1440" w:type="dxa"/>
            <w:vAlign w:val="bottom"/>
          </w:tcPr>
          <w:p>
            <w:pPr>
              <w:jc w:val="center"/>
              <w:ind w:left="282"/>
              <w:spacing w:after="0"/>
              <w:rPr>
                <w:sz w:val="20"/>
                <w:szCs w:val="20"/>
                <w:color w:val="auto"/>
              </w:rPr>
            </w:pPr>
            <w:r>
              <w:rPr>
                <w:rFonts w:ascii="Arial" w:cs="Arial" w:eastAsia="Arial" w:hAnsi="Arial"/>
                <w:sz w:val="14"/>
                <w:szCs w:val="14"/>
                <w:color w:val="auto"/>
                <w:w w:val="99"/>
              </w:rPr>
              <w:t>Identification No.)</w:t>
            </w:r>
          </w:p>
        </w:tc>
      </w:tr>
      <w:tr>
        <w:trPr>
          <w:trHeight w:val="601"/>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 Tower Place, Suite 2000, South San Francisco, California 94080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5"/>
              </w:rPr>
              <w:t>(Address of Principal Executive Offices) (Zip Code)</w:t>
            </w:r>
          </w:p>
        </w:tc>
        <w:tc>
          <w:tcPr>
            <w:tcW w:w="1440" w:type="dxa"/>
            <w:vAlign w:val="bottom"/>
          </w:tcPr>
          <w:p>
            <w:pPr>
              <w:spacing w:after="0"/>
              <w:rPr>
                <w:sz w:val="15"/>
                <w:szCs w:val="15"/>
                <w:color w:val="auto"/>
              </w:rPr>
            </w:pPr>
          </w:p>
        </w:tc>
      </w:tr>
      <w:tr>
        <w:trPr>
          <w:trHeight w:val="452"/>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(650) 266-6000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3"/>
              </w:rPr>
              <w:t>Registrant’s Telephone Number, Including Area Code</w:t>
            </w:r>
          </w:p>
        </w:tc>
        <w:tc>
          <w:tcPr>
            <w:tcW w:w="1440" w:type="dxa"/>
            <w:vAlign w:val="bottom"/>
          </w:tcPr>
          <w:p>
            <w:pPr>
              <w:spacing w:after="0"/>
              <w:rPr>
                <w:sz w:val="15"/>
                <w:szCs w:val="15"/>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440" w:type="dxa"/>
            <w:vAlign w:val="bottom"/>
          </w:tcPr>
          <w:p>
            <w:pPr>
              <w:spacing w:after="0"/>
              <w:rPr>
                <w:sz w:val="24"/>
                <w:szCs w:val="24"/>
                <w:color w:val="auto"/>
              </w:rPr>
            </w:pPr>
          </w:p>
        </w:tc>
      </w:tr>
    </w:tbl>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34"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2" w:right="319" w:bottom="1130" w:gutter="0" w:footer="0" w:header="0"/>
        </w:sectPr>
      </w:pPr>
    </w:p>
    <w:bookmarkStart w:id="1" w:name="page2"/>
    <w:bookmarkEnd w:id="1"/>
    <w:p>
      <w:pPr>
        <w:ind w:right="14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Principal Officers; Compensatory Arrangements of Certain Officers.</w:t>
      </w:r>
    </w:p>
    <w:p>
      <w:pPr>
        <w:spacing w:after="0" w:line="194"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As described under Item 5.07 below, on May 25, 2021, our stockholders approved the amendment of the Fluidigm Corporation 2011 Equity Incentive Plan (the “2011 Plan”) to increase the number of shares reserved for issuance thereunder by 4,075,000 shares. A description of the material terms of the 2011 Plan is set forth on pages 21 – 26 of our definitive proxy statement on Schedule 14A filed with the Securities and Exchange Commission on April 14, 2021, and is incorporated herein by reference. The description of the 2011 Plan is qualified, in its entirety, by reference to the full text of the 2011 Plan, a copy of which is attached to this Current Report on Form 8-K as Exhibit 10.1.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We held our 2021 Annual Meeting of Stockholders on May 25, 2021. Of the 74,962,847 shares of our common stock outstanding as of the record date of March 31, 2021, 57,372,547 shares were represented at the Annual Meeting, either in person or by proxy, constituting approximately 76.53% of the outstanding shares of common stock. The four matters voted on at the Annual Meeting and the voting results with respect to each such matter are set forth below:</w:t>
      </w:r>
    </w:p>
    <w:p>
      <w:pPr>
        <w:spacing w:after="0" w:line="208" w:lineRule="exact"/>
        <w:rPr>
          <w:sz w:val="20"/>
          <w:szCs w:val="20"/>
          <w:color w:val="auto"/>
        </w:rPr>
      </w:pPr>
    </w:p>
    <w:p>
      <w:pPr>
        <w:ind w:right="20" w:firstLine="332"/>
        <w:spacing w:after="0" w:line="329" w:lineRule="auto"/>
        <w:tabs>
          <w:tab w:leader="none" w:pos="63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II Directors. </w:t>
      </w:r>
      <w:r>
        <w:rPr>
          <w:rFonts w:ascii="Arial" w:cs="Arial" w:eastAsia="Arial" w:hAnsi="Arial"/>
          <w:sz w:val="17"/>
          <w:szCs w:val="17"/>
          <w:color w:val="auto"/>
        </w:rPr>
        <w:t>The following nominees were elected to serve as Class II directors, to hold office until our 2024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or until their respective successors have been duly elected and qualified or their earlier resignation or removal:</w:t>
      </w:r>
    </w:p>
    <w:p>
      <w:pPr>
        <w:spacing w:after="0" w:line="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740"/>
              <w:spacing w:after="0"/>
              <w:rPr>
                <w:sz w:val="20"/>
                <w:szCs w:val="20"/>
                <w:color w:val="auto"/>
              </w:rPr>
            </w:pPr>
            <w:r>
              <w:rPr>
                <w:rFonts w:ascii="Arial" w:cs="Arial" w:eastAsia="Arial" w:hAnsi="Arial"/>
                <w:sz w:val="16"/>
                <w:szCs w:val="16"/>
                <w:b w:val="1"/>
                <w:bCs w:val="1"/>
                <w:color w:val="auto"/>
              </w:rPr>
              <w:t>Votes</w:t>
            </w:r>
          </w:p>
        </w:tc>
        <w:tc>
          <w:tcPr>
            <w:tcW w:w="1680" w:type="dxa"/>
            <w:vAlign w:val="bottom"/>
          </w:tcPr>
          <w:p>
            <w:pPr>
              <w:spacing w:after="0"/>
              <w:rPr>
                <w:sz w:val="17"/>
                <w:szCs w:val="17"/>
                <w:color w:val="auto"/>
              </w:rPr>
            </w:pPr>
          </w:p>
        </w:tc>
      </w:tr>
      <w:tr>
        <w:trPr>
          <w:trHeight w:val="210"/>
        </w:trPr>
        <w:tc>
          <w:tcPr>
            <w:tcW w:w="3640" w:type="dxa"/>
            <w:vAlign w:val="bottom"/>
            <w:gridSpan w:val="2"/>
          </w:tcPr>
          <w:p>
            <w:pPr>
              <w:ind w:left="400"/>
              <w:spacing w:after="0"/>
              <w:rPr>
                <w:sz w:val="20"/>
                <w:szCs w:val="20"/>
                <w:color w:val="auto"/>
              </w:rPr>
            </w:pPr>
            <w:r>
              <w:rPr>
                <w:rFonts w:ascii="Arial" w:cs="Arial" w:eastAsia="Arial" w:hAnsi="Arial"/>
                <w:sz w:val="16"/>
                <w:szCs w:val="16"/>
                <w:b w:val="1"/>
                <w:bCs w:val="1"/>
                <w:color w:val="auto"/>
              </w:rPr>
              <w:t>Nominee</w:t>
            </w:r>
          </w:p>
        </w:tc>
        <w:tc>
          <w:tcPr>
            <w:tcW w:w="1440" w:type="dxa"/>
            <w:vAlign w:val="bottom"/>
            <w:gridSpan w:val="2"/>
          </w:tcPr>
          <w:p>
            <w:pPr>
              <w:jc w:val="center"/>
              <w:ind w:left="192"/>
              <w:spacing w:after="0"/>
              <w:rPr>
                <w:sz w:val="20"/>
                <w:szCs w:val="20"/>
                <w:color w:val="auto"/>
              </w:rPr>
            </w:pPr>
            <w:r>
              <w:rPr>
                <w:rFonts w:ascii="Arial" w:cs="Arial" w:eastAsia="Arial" w:hAnsi="Arial"/>
                <w:sz w:val="16"/>
                <w:szCs w:val="16"/>
                <w:b w:val="1"/>
                <w:bCs w:val="1"/>
                <w:color w:val="auto"/>
                <w:w w:val="92"/>
              </w:rPr>
              <w:t>Votes For</w:t>
            </w: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Withheld</w:t>
            </w:r>
          </w:p>
        </w:tc>
        <w:tc>
          <w:tcPr>
            <w:tcW w:w="1680" w:type="dxa"/>
            <w:vAlign w:val="bottom"/>
          </w:tcPr>
          <w:p>
            <w:pPr>
              <w:jc w:val="center"/>
              <w:ind w:left="312"/>
              <w:spacing w:after="0"/>
              <w:rPr>
                <w:sz w:val="20"/>
                <w:szCs w:val="20"/>
                <w:color w:val="auto"/>
              </w:rPr>
            </w:pPr>
            <w:r>
              <w:rPr>
                <w:rFonts w:ascii="Arial" w:cs="Arial" w:eastAsia="Arial" w:hAnsi="Arial"/>
                <w:sz w:val="16"/>
                <w:szCs w:val="16"/>
                <w:b w:val="1"/>
                <w:bCs w:val="1"/>
                <w:color w:val="auto"/>
                <w:w w:val="91"/>
              </w:rPr>
              <w:t>Broker Non-Votes</w:t>
            </w:r>
          </w:p>
        </w:tc>
      </w:tr>
      <w:tr>
        <w:trPr>
          <w:trHeight w:val="33"/>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3640" w:type="dxa"/>
            <w:vAlign w:val="bottom"/>
            <w:gridSpan w:val="2"/>
          </w:tcPr>
          <w:p>
            <w:pPr>
              <w:ind w:left="400"/>
              <w:spacing w:after="0"/>
              <w:rPr>
                <w:sz w:val="20"/>
                <w:szCs w:val="20"/>
                <w:color w:val="auto"/>
              </w:rPr>
            </w:pPr>
            <w:r>
              <w:rPr>
                <w:rFonts w:ascii="Arial" w:cs="Arial" w:eastAsia="Arial" w:hAnsi="Arial"/>
                <w:sz w:val="18"/>
                <w:szCs w:val="18"/>
                <w:color w:val="auto"/>
              </w:rPr>
              <w:t>Gerhard F. Burbach</w:t>
            </w:r>
          </w:p>
        </w:tc>
        <w:tc>
          <w:tcPr>
            <w:tcW w:w="1320" w:type="dxa"/>
            <w:vAlign w:val="bottom"/>
          </w:tcPr>
          <w:p>
            <w:pPr>
              <w:jc w:val="center"/>
              <w:ind w:left="312"/>
              <w:spacing w:after="0"/>
              <w:rPr>
                <w:sz w:val="20"/>
                <w:szCs w:val="20"/>
                <w:color w:val="auto"/>
              </w:rPr>
            </w:pPr>
            <w:r>
              <w:rPr>
                <w:rFonts w:ascii="Arial" w:cs="Arial" w:eastAsia="Arial" w:hAnsi="Arial"/>
                <w:sz w:val="18"/>
                <w:szCs w:val="18"/>
                <w:color w:val="auto"/>
                <w:w w:val="88"/>
              </w:rPr>
              <w:t>39,716,446</w:t>
            </w:r>
          </w:p>
        </w:tc>
        <w:tc>
          <w:tcPr>
            <w:tcW w:w="120" w:type="dxa"/>
            <w:vAlign w:val="bottom"/>
          </w:tcPr>
          <w:p>
            <w:pPr>
              <w:spacing w:after="0"/>
              <w:rPr>
                <w:sz w:val="21"/>
                <w:szCs w:val="21"/>
                <w:color w:val="auto"/>
              </w:rPr>
            </w:pPr>
          </w:p>
        </w:tc>
        <w:tc>
          <w:tcPr>
            <w:tcW w:w="1460" w:type="dxa"/>
            <w:vAlign w:val="bottom"/>
          </w:tcPr>
          <w:p>
            <w:pPr>
              <w:jc w:val="right"/>
              <w:ind w:right="514"/>
              <w:spacing w:after="0"/>
              <w:rPr>
                <w:sz w:val="20"/>
                <w:szCs w:val="20"/>
                <w:color w:val="auto"/>
              </w:rPr>
            </w:pPr>
            <w:r>
              <w:rPr>
                <w:rFonts w:ascii="Arial" w:cs="Arial" w:eastAsia="Arial" w:hAnsi="Arial"/>
                <w:sz w:val="18"/>
                <w:szCs w:val="18"/>
                <w:color w:val="auto"/>
              </w:rPr>
              <w:t>749,347</w:t>
            </w:r>
          </w:p>
        </w:tc>
        <w:tc>
          <w:tcPr>
            <w:tcW w:w="100" w:type="dxa"/>
            <w:vAlign w:val="bottom"/>
          </w:tcPr>
          <w:p>
            <w:pPr>
              <w:spacing w:after="0"/>
              <w:rPr>
                <w:sz w:val="21"/>
                <w:szCs w:val="21"/>
                <w:color w:val="auto"/>
              </w:rPr>
            </w:pPr>
          </w:p>
        </w:tc>
        <w:tc>
          <w:tcPr>
            <w:tcW w:w="1680" w:type="dxa"/>
            <w:vAlign w:val="bottom"/>
          </w:tcPr>
          <w:p>
            <w:pPr>
              <w:jc w:val="center"/>
              <w:ind w:left="312"/>
              <w:spacing w:after="0"/>
              <w:rPr>
                <w:sz w:val="20"/>
                <w:szCs w:val="20"/>
                <w:color w:val="auto"/>
              </w:rPr>
            </w:pPr>
            <w:r>
              <w:rPr>
                <w:rFonts w:ascii="Arial" w:cs="Arial" w:eastAsia="Arial" w:hAnsi="Arial"/>
                <w:sz w:val="18"/>
                <w:szCs w:val="18"/>
                <w:color w:val="auto"/>
                <w:w w:val="88"/>
              </w:rPr>
              <w:t>16,906,754</w:t>
            </w:r>
          </w:p>
        </w:tc>
      </w:tr>
      <w:tr>
        <w:trPr>
          <w:trHeight w:val="283"/>
        </w:trPr>
        <w:tc>
          <w:tcPr>
            <w:tcW w:w="3640" w:type="dxa"/>
            <w:vAlign w:val="bottom"/>
            <w:gridSpan w:val="2"/>
          </w:tcPr>
          <w:p>
            <w:pPr>
              <w:ind w:left="400"/>
              <w:spacing w:after="0"/>
              <w:rPr>
                <w:sz w:val="20"/>
                <w:szCs w:val="20"/>
                <w:color w:val="auto"/>
              </w:rPr>
            </w:pPr>
            <w:r>
              <w:rPr>
                <w:rFonts w:ascii="Arial" w:cs="Arial" w:eastAsia="Arial" w:hAnsi="Arial"/>
                <w:sz w:val="18"/>
                <w:szCs w:val="18"/>
                <w:color w:val="auto"/>
              </w:rPr>
              <w:t>Carlos Paya, M.D., Ph.D.</w:t>
            </w:r>
          </w:p>
        </w:tc>
        <w:tc>
          <w:tcPr>
            <w:tcW w:w="1320" w:type="dxa"/>
            <w:vAlign w:val="bottom"/>
          </w:tcPr>
          <w:p>
            <w:pPr>
              <w:jc w:val="center"/>
              <w:ind w:left="312"/>
              <w:spacing w:after="0"/>
              <w:rPr>
                <w:sz w:val="20"/>
                <w:szCs w:val="20"/>
                <w:color w:val="auto"/>
              </w:rPr>
            </w:pPr>
            <w:r>
              <w:rPr>
                <w:rFonts w:ascii="Arial" w:cs="Arial" w:eastAsia="Arial" w:hAnsi="Arial"/>
                <w:sz w:val="18"/>
                <w:szCs w:val="18"/>
                <w:color w:val="auto"/>
                <w:w w:val="88"/>
              </w:rPr>
              <w:t>38,512,280</w:t>
            </w:r>
          </w:p>
        </w:tc>
        <w:tc>
          <w:tcPr>
            <w:tcW w:w="120" w:type="dxa"/>
            <w:vAlign w:val="bottom"/>
          </w:tcPr>
          <w:p>
            <w:pPr>
              <w:spacing w:after="0"/>
              <w:rPr>
                <w:sz w:val="24"/>
                <w:szCs w:val="24"/>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1,953,513</w:t>
            </w:r>
          </w:p>
        </w:tc>
        <w:tc>
          <w:tcPr>
            <w:tcW w:w="100" w:type="dxa"/>
            <w:vAlign w:val="bottom"/>
          </w:tcPr>
          <w:p>
            <w:pPr>
              <w:spacing w:after="0"/>
              <w:rPr>
                <w:sz w:val="24"/>
                <w:szCs w:val="24"/>
                <w:color w:val="auto"/>
              </w:rPr>
            </w:pPr>
          </w:p>
        </w:tc>
        <w:tc>
          <w:tcPr>
            <w:tcW w:w="1680" w:type="dxa"/>
            <w:vAlign w:val="bottom"/>
          </w:tcPr>
          <w:p>
            <w:pPr>
              <w:jc w:val="center"/>
              <w:ind w:left="312"/>
              <w:spacing w:after="0"/>
              <w:rPr>
                <w:sz w:val="20"/>
                <w:szCs w:val="20"/>
                <w:color w:val="auto"/>
              </w:rPr>
            </w:pPr>
            <w:r>
              <w:rPr>
                <w:rFonts w:ascii="Arial" w:cs="Arial" w:eastAsia="Arial" w:hAnsi="Arial"/>
                <w:sz w:val="18"/>
                <w:szCs w:val="18"/>
                <w:color w:val="auto"/>
                <w:w w:val="88"/>
              </w:rPr>
              <w:t>16,906,754</w:t>
            </w:r>
          </w:p>
        </w:tc>
      </w:tr>
      <w:tr>
        <w:trPr>
          <w:trHeight w:val="283"/>
        </w:trPr>
        <w:tc>
          <w:tcPr>
            <w:tcW w:w="3640" w:type="dxa"/>
            <w:vAlign w:val="bottom"/>
            <w:gridSpan w:val="2"/>
          </w:tcPr>
          <w:p>
            <w:pPr>
              <w:ind w:left="400"/>
              <w:spacing w:after="0"/>
              <w:rPr>
                <w:sz w:val="20"/>
                <w:szCs w:val="20"/>
                <w:color w:val="auto"/>
              </w:rPr>
            </w:pPr>
            <w:r>
              <w:rPr>
                <w:rFonts w:ascii="Arial" w:cs="Arial" w:eastAsia="Arial" w:hAnsi="Arial"/>
                <w:sz w:val="18"/>
                <w:szCs w:val="18"/>
                <w:color w:val="auto"/>
              </w:rPr>
              <w:t>Ana K. Stankovic, M.D., Ph.D., MSPH</w:t>
            </w:r>
          </w:p>
        </w:tc>
        <w:tc>
          <w:tcPr>
            <w:tcW w:w="1320" w:type="dxa"/>
            <w:vAlign w:val="bottom"/>
          </w:tcPr>
          <w:p>
            <w:pPr>
              <w:jc w:val="center"/>
              <w:ind w:left="312"/>
              <w:spacing w:after="0"/>
              <w:rPr>
                <w:sz w:val="20"/>
                <w:szCs w:val="20"/>
                <w:color w:val="auto"/>
              </w:rPr>
            </w:pPr>
            <w:r>
              <w:rPr>
                <w:rFonts w:ascii="Arial" w:cs="Arial" w:eastAsia="Arial" w:hAnsi="Arial"/>
                <w:sz w:val="18"/>
                <w:szCs w:val="18"/>
                <w:color w:val="auto"/>
                <w:w w:val="88"/>
              </w:rPr>
              <w:t>39,923,453</w:t>
            </w:r>
          </w:p>
        </w:tc>
        <w:tc>
          <w:tcPr>
            <w:tcW w:w="120" w:type="dxa"/>
            <w:vAlign w:val="bottom"/>
          </w:tcPr>
          <w:p>
            <w:pPr>
              <w:spacing w:after="0"/>
              <w:rPr>
                <w:sz w:val="24"/>
                <w:szCs w:val="24"/>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542,340</w:t>
            </w:r>
          </w:p>
        </w:tc>
        <w:tc>
          <w:tcPr>
            <w:tcW w:w="100" w:type="dxa"/>
            <w:vAlign w:val="bottom"/>
          </w:tcPr>
          <w:p>
            <w:pPr>
              <w:spacing w:after="0"/>
              <w:rPr>
                <w:sz w:val="24"/>
                <w:szCs w:val="24"/>
                <w:color w:val="auto"/>
              </w:rPr>
            </w:pPr>
          </w:p>
        </w:tc>
        <w:tc>
          <w:tcPr>
            <w:tcW w:w="1680" w:type="dxa"/>
            <w:vAlign w:val="bottom"/>
          </w:tcPr>
          <w:p>
            <w:pPr>
              <w:jc w:val="center"/>
              <w:ind w:left="312"/>
              <w:spacing w:after="0"/>
              <w:rPr>
                <w:sz w:val="20"/>
                <w:szCs w:val="20"/>
                <w:color w:val="auto"/>
              </w:rPr>
            </w:pPr>
            <w:r>
              <w:rPr>
                <w:rFonts w:ascii="Arial" w:cs="Arial" w:eastAsia="Arial" w:hAnsi="Arial"/>
                <w:sz w:val="18"/>
                <w:szCs w:val="18"/>
                <w:color w:val="auto"/>
                <w:w w:val="88"/>
              </w:rPr>
              <w:t>16,906,754</w:t>
            </w:r>
          </w:p>
        </w:tc>
      </w:tr>
    </w:tbl>
    <w:p>
      <w:pPr>
        <w:spacing w:after="0" w:line="346" w:lineRule="exact"/>
        <w:rPr>
          <w:sz w:val="20"/>
          <w:szCs w:val="20"/>
          <w:color w:val="auto"/>
        </w:rPr>
      </w:pPr>
    </w:p>
    <w:p>
      <w:pPr>
        <w:ind w:right="600" w:firstLine="332"/>
        <w:spacing w:after="0" w:line="282" w:lineRule="auto"/>
        <w:tabs>
          <w:tab w:leader="none" w:pos="62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Approval of Executive Compensation. </w:t>
      </w:r>
      <w:r>
        <w:rPr>
          <w:rFonts w:ascii="Arial" w:cs="Arial" w:eastAsia="Arial" w:hAnsi="Arial"/>
          <w:sz w:val="18"/>
          <w:szCs w:val="18"/>
          <w:color w:val="auto"/>
        </w:rPr>
        <w:t>The proposal to approve, on an advisory basis, the compensation of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for the year ended December 31, 2020, was approved by the following vote:</w:t>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left="196"/>
              <w:spacing w:after="0"/>
              <w:rPr>
                <w:sz w:val="20"/>
                <w:szCs w:val="20"/>
                <w:color w:val="auto"/>
              </w:rPr>
            </w:pPr>
            <w:r>
              <w:rPr>
                <w:rFonts w:ascii="Arial" w:cs="Arial" w:eastAsia="Arial" w:hAnsi="Arial"/>
                <w:sz w:val="16"/>
                <w:szCs w:val="16"/>
                <w:b w:val="1"/>
                <w:bCs w:val="1"/>
                <w:color w:val="auto"/>
                <w:w w:val="87"/>
              </w:rPr>
              <w:t>Votes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96"/>
              <w:spacing w:after="0"/>
              <w:rPr>
                <w:sz w:val="20"/>
                <w:szCs w:val="20"/>
                <w:color w:val="auto"/>
              </w:rPr>
            </w:pPr>
            <w:r>
              <w:rPr>
                <w:rFonts w:ascii="Arial" w:cs="Arial" w:eastAsia="Arial" w:hAnsi="Arial"/>
                <w:sz w:val="16"/>
                <w:szCs w:val="16"/>
                <w:b w:val="1"/>
                <w:bCs w:val="1"/>
                <w:color w:val="auto"/>
                <w:w w:val="95"/>
              </w:rPr>
              <w:t>Broker Non-</w:t>
            </w:r>
          </w:p>
        </w:tc>
      </w:tr>
      <w:tr>
        <w:trPr>
          <w:trHeight w:val="210"/>
        </w:trPr>
        <w:tc>
          <w:tcPr>
            <w:tcW w:w="1340" w:type="dxa"/>
            <w:vAlign w:val="bottom"/>
            <w:gridSpan w:val="2"/>
          </w:tcPr>
          <w:p>
            <w:pPr>
              <w:jc w:val="center"/>
              <w:ind w:left="215"/>
              <w:spacing w:after="0"/>
              <w:rPr>
                <w:sz w:val="20"/>
                <w:szCs w:val="20"/>
                <w:color w:val="auto"/>
              </w:rPr>
            </w:pPr>
            <w:r>
              <w:rPr>
                <w:rFonts w:ascii="Arial" w:cs="Arial" w:eastAsia="Arial" w:hAnsi="Arial"/>
                <w:sz w:val="16"/>
                <w:szCs w:val="16"/>
                <w:b w:val="1"/>
                <w:bCs w:val="1"/>
                <w:color w:val="auto"/>
                <w:w w:val="92"/>
              </w:rPr>
              <w:t>Votes For</w:t>
            </w:r>
          </w:p>
        </w:tc>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360" w:type="dxa"/>
            <w:vAlign w:val="bottom"/>
            <w:gridSpan w:val="2"/>
          </w:tcPr>
          <w:p>
            <w:pPr>
              <w:jc w:val="center"/>
              <w:ind w:left="175"/>
              <w:spacing w:after="0"/>
              <w:rPr>
                <w:sz w:val="20"/>
                <w:szCs w:val="20"/>
                <w:color w:val="auto"/>
              </w:rPr>
            </w:pPr>
            <w:r>
              <w:rPr>
                <w:rFonts w:ascii="Arial" w:cs="Arial" w:eastAsia="Arial" w:hAnsi="Arial"/>
                <w:sz w:val="16"/>
                <w:szCs w:val="16"/>
                <w:b w:val="1"/>
                <w:bCs w:val="1"/>
                <w:color w:val="auto"/>
                <w:w w:val="88"/>
              </w:rPr>
              <w:t>Abstentions</w:t>
            </w:r>
          </w:p>
        </w:tc>
        <w:tc>
          <w:tcPr>
            <w:tcW w:w="1540" w:type="dxa"/>
            <w:vAlign w:val="bottom"/>
          </w:tcPr>
          <w:p>
            <w:pPr>
              <w:ind w:left="580"/>
              <w:spacing w:after="0"/>
              <w:rPr>
                <w:sz w:val="20"/>
                <w:szCs w:val="20"/>
                <w:color w:val="auto"/>
              </w:rPr>
            </w:pPr>
            <w:r>
              <w:rPr>
                <w:rFonts w:ascii="Arial" w:cs="Arial" w:eastAsia="Arial" w:hAnsi="Arial"/>
                <w:sz w:val="16"/>
                <w:szCs w:val="16"/>
                <w:b w:val="1"/>
                <w:bCs w:val="1"/>
                <w:color w:val="auto"/>
              </w:rPr>
              <w:t>Votes</w:t>
            </w:r>
          </w:p>
        </w:tc>
      </w:tr>
      <w:tr>
        <w:trPr>
          <w:trHeight w:val="33"/>
        </w:trPr>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1260" w:type="dxa"/>
            <w:vAlign w:val="bottom"/>
          </w:tcPr>
          <w:p>
            <w:pPr>
              <w:jc w:val="right"/>
              <w:spacing w:after="0"/>
              <w:rPr>
                <w:sz w:val="20"/>
                <w:szCs w:val="20"/>
                <w:color w:val="auto"/>
              </w:rPr>
            </w:pPr>
            <w:r>
              <w:rPr>
                <w:rFonts w:ascii="Arial" w:cs="Arial" w:eastAsia="Arial" w:hAnsi="Arial"/>
                <w:sz w:val="18"/>
                <w:szCs w:val="18"/>
                <w:color w:val="auto"/>
              </w:rPr>
              <w:t>39,039,957</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1,090,600</w:t>
            </w:r>
          </w:p>
        </w:tc>
        <w:tc>
          <w:tcPr>
            <w:tcW w:w="12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335,236</w:t>
            </w:r>
          </w:p>
        </w:tc>
        <w:tc>
          <w:tcPr>
            <w:tcW w:w="12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16,906,754</w:t>
            </w:r>
          </w:p>
        </w:tc>
      </w:tr>
    </w:tbl>
    <w:p>
      <w:pPr>
        <w:spacing w:after="0" w:line="200" w:lineRule="exact"/>
        <w:rPr>
          <w:sz w:val="20"/>
          <w:szCs w:val="20"/>
          <w:color w:val="auto"/>
        </w:rPr>
      </w:pPr>
    </w:p>
    <w:p>
      <w:pPr>
        <w:spacing w:after="0" w:line="214" w:lineRule="exact"/>
        <w:rPr>
          <w:sz w:val="20"/>
          <w:szCs w:val="20"/>
          <w:color w:val="auto"/>
        </w:rPr>
      </w:pPr>
    </w:p>
    <w:p>
      <w:pPr>
        <w:ind w:right="40" w:firstLine="332"/>
        <w:spacing w:after="0" w:line="282" w:lineRule="auto"/>
        <w:tabs>
          <w:tab w:leader="none" w:pos="62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Amendment of the 2011 Equity Incentive Plan. </w:t>
      </w:r>
      <w:r>
        <w:rPr>
          <w:rFonts w:ascii="Arial" w:cs="Arial" w:eastAsia="Arial" w:hAnsi="Arial"/>
          <w:sz w:val="18"/>
          <w:szCs w:val="18"/>
          <w:color w:val="auto"/>
        </w:rPr>
        <w:t>The proposal to approve the amendment of the 2011 Equity Incentive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following vote:</w:t>
      </w:r>
    </w:p>
    <w:p>
      <w:pPr>
        <w:spacing w:after="0" w:line="8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left="176"/>
              <w:spacing w:after="0"/>
              <w:rPr>
                <w:sz w:val="20"/>
                <w:szCs w:val="20"/>
                <w:color w:val="auto"/>
              </w:rPr>
            </w:pPr>
            <w:r>
              <w:rPr>
                <w:rFonts w:ascii="Arial" w:cs="Arial" w:eastAsia="Arial" w:hAnsi="Arial"/>
                <w:sz w:val="16"/>
                <w:szCs w:val="16"/>
                <w:b w:val="1"/>
                <w:bCs w:val="1"/>
                <w:color w:val="auto"/>
                <w:w w:val="82"/>
              </w:rPr>
              <w:t>Votes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96"/>
              <w:spacing w:after="0"/>
              <w:rPr>
                <w:sz w:val="20"/>
                <w:szCs w:val="20"/>
                <w:color w:val="auto"/>
              </w:rPr>
            </w:pPr>
            <w:r>
              <w:rPr>
                <w:rFonts w:ascii="Arial" w:cs="Arial" w:eastAsia="Arial" w:hAnsi="Arial"/>
                <w:sz w:val="16"/>
                <w:szCs w:val="16"/>
                <w:b w:val="1"/>
                <w:bCs w:val="1"/>
                <w:color w:val="auto"/>
                <w:w w:val="95"/>
              </w:rPr>
              <w:t>Broker Non-</w:t>
            </w:r>
          </w:p>
        </w:tc>
      </w:tr>
      <w:tr>
        <w:trPr>
          <w:trHeight w:val="210"/>
        </w:trPr>
        <w:tc>
          <w:tcPr>
            <w:tcW w:w="1380" w:type="dxa"/>
            <w:vAlign w:val="bottom"/>
            <w:gridSpan w:val="2"/>
          </w:tcPr>
          <w:p>
            <w:pPr>
              <w:jc w:val="center"/>
              <w:ind w:left="195"/>
              <w:spacing w:after="0"/>
              <w:rPr>
                <w:sz w:val="20"/>
                <w:szCs w:val="20"/>
                <w:color w:val="auto"/>
              </w:rPr>
            </w:pPr>
            <w:r>
              <w:rPr>
                <w:rFonts w:ascii="Arial" w:cs="Arial" w:eastAsia="Arial" w:hAnsi="Arial"/>
                <w:sz w:val="16"/>
                <w:szCs w:val="16"/>
                <w:b w:val="1"/>
                <w:bCs w:val="1"/>
                <w:color w:val="auto"/>
                <w:w w:val="89"/>
              </w:rPr>
              <w:t>Votes For</w:t>
            </w:r>
          </w:p>
        </w:tc>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360" w:type="dxa"/>
            <w:vAlign w:val="bottom"/>
            <w:gridSpan w:val="2"/>
          </w:tcPr>
          <w:p>
            <w:pPr>
              <w:jc w:val="center"/>
              <w:ind w:left="175"/>
              <w:spacing w:after="0"/>
              <w:rPr>
                <w:sz w:val="20"/>
                <w:szCs w:val="20"/>
                <w:color w:val="auto"/>
              </w:rPr>
            </w:pPr>
            <w:r>
              <w:rPr>
                <w:rFonts w:ascii="Arial" w:cs="Arial" w:eastAsia="Arial" w:hAnsi="Arial"/>
                <w:sz w:val="16"/>
                <w:szCs w:val="16"/>
                <w:b w:val="1"/>
                <w:bCs w:val="1"/>
                <w:color w:val="auto"/>
                <w:w w:val="88"/>
              </w:rPr>
              <w:t>Abstentions</w:t>
            </w:r>
          </w:p>
        </w:tc>
        <w:tc>
          <w:tcPr>
            <w:tcW w:w="1540" w:type="dxa"/>
            <w:vAlign w:val="bottom"/>
          </w:tcPr>
          <w:p>
            <w:pPr>
              <w:ind w:left="580"/>
              <w:spacing w:after="0"/>
              <w:rPr>
                <w:sz w:val="20"/>
                <w:szCs w:val="20"/>
                <w:color w:val="auto"/>
              </w:rPr>
            </w:pPr>
            <w:r>
              <w:rPr>
                <w:rFonts w:ascii="Arial" w:cs="Arial" w:eastAsia="Arial" w:hAnsi="Arial"/>
                <w:sz w:val="16"/>
                <w:szCs w:val="16"/>
                <w:b w:val="1"/>
                <w:bCs w:val="1"/>
                <w:color w:val="auto"/>
              </w:rPr>
              <w:t>Votes</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1260" w:type="dxa"/>
            <w:vAlign w:val="bottom"/>
          </w:tcPr>
          <w:p>
            <w:pPr>
              <w:jc w:val="right"/>
              <w:spacing w:after="0"/>
              <w:rPr>
                <w:sz w:val="20"/>
                <w:szCs w:val="20"/>
                <w:color w:val="auto"/>
              </w:rPr>
            </w:pPr>
            <w:r>
              <w:rPr>
                <w:rFonts w:ascii="Arial" w:cs="Arial" w:eastAsia="Arial" w:hAnsi="Arial"/>
                <w:sz w:val="18"/>
                <w:szCs w:val="18"/>
                <w:color w:val="auto"/>
              </w:rPr>
              <w:t>39,194,206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1,147,903</w:t>
            </w:r>
          </w:p>
        </w:tc>
        <w:tc>
          <w:tcPr>
            <w:tcW w:w="12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123,684</w:t>
            </w:r>
          </w:p>
        </w:tc>
        <w:tc>
          <w:tcPr>
            <w:tcW w:w="12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16,906,754</w:t>
            </w:r>
          </w:p>
        </w:tc>
      </w:tr>
    </w:tbl>
    <w:p>
      <w:pPr>
        <w:spacing w:after="0" w:line="333" w:lineRule="exact"/>
        <w:rPr>
          <w:sz w:val="20"/>
          <w:szCs w:val="20"/>
          <w:color w:val="auto"/>
        </w:rPr>
      </w:pPr>
    </w:p>
    <w:p>
      <w:pPr>
        <w:ind w:right="100" w:firstLine="332"/>
        <w:spacing w:after="0" w:line="266" w:lineRule="auto"/>
        <w:tabs>
          <w:tab w:leader="none" w:pos="63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Appointment of Independent Registered Public Accounting Firm. </w:t>
      </w:r>
      <w:r>
        <w:rPr>
          <w:rFonts w:ascii="Arial" w:cs="Arial" w:eastAsia="Arial" w:hAnsi="Arial"/>
          <w:sz w:val="18"/>
          <w:szCs w:val="18"/>
          <w:color w:val="auto"/>
        </w:rPr>
        <w:t>The proposal to ratify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LLP as our independent registered public accounting firm for the year ending December 31, 2021 was approved by the following vote: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left="196"/>
              <w:spacing w:after="0"/>
              <w:rPr>
                <w:sz w:val="20"/>
                <w:szCs w:val="20"/>
                <w:color w:val="auto"/>
              </w:rPr>
            </w:pPr>
            <w:r>
              <w:rPr>
                <w:rFonts w:ascii="Arial" w:cs="Arial" w:eastAsia="Arial" w:hAnsi="Arial"/>
                <w:sz w:val="16"/>
                <w:szCs w:val="16"/>
                <w:b w:val="1"/>
                <w:bCs w:val="1"/>
                <w:color w:val="auto"/>
                <w:w w:val="87"/>
              </w:rPr>
              <w:t>Votes</w:t>
            </w:r>
          </w:p>
        </w:tc>
        <w:tc>
          <w:tcPr>
            <w:tcW w:w="1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0"/>
        </w:trPr>
        <w:tc>
          <w:tcPr>
            <w:tcW w:w="400" w:type="dxa"/>
            <w:vAlign w:val="bottom"/>
          </w:tcPr>
          <w:p>
            <w:pPr>
              <w:spacing w:after="0"/>
              <w:rPr>
                <w:sz w:val="18"/>
                <w:szCs w:val="18"/>
                <w:color w:val="auto"/>
              </w:rPr>
            </w:pPr>
          </w:p>
        </w:tc>
        <w:tc>
          <w:tcPr>
            <w:tcW w:w="1380" w:type="dxa"/>
            <w:vAlign w:val="bottom"/>
            <w:gridSpan w:val="5"/>
          </w:tcPr>
          <w:p>
            <w:pPr>
              <w:ind w:left="480"/>
              <w:spacing w:after="0"/>
              <w:rPr>
                <w:sz w:val="20"/>
                <w:szCs w:val="20"/>
                <w:color w:val="auto"/>
              </w:rPr>
            </w:pPr>
            <w:r>
              <w:rPr>
                <w:rFonts w:ascii="Arial" w:cs="Arial" w:eastAsia="Arial" w:hAnsi="Arial"/>
                <w:sz w:val="16"/>
                <w:szCs w:val="16"/>
                <w:b w:val="1"/>
                <w:bCs w:val="1"/>
                <w:color w:val="auto"/>
              </w:rPr>
              <w:t>Votes For</w:t>
            </w: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Against</w:t>
            </w:r>
          </w:p>
        </w:tc>
        <w:tc>
          <w:tcPr>
            <w:tcW w:w="8200" w:type="dxa"/>
            <w:vAlign w:val="bottom"/>
            <w:gridSpan w:val="4"/>
          </w:tcPr>
          <w:p>
            <w:pPr>
              <w:jc w:val="center"/>
              <w:ind w:right="6540"/>
              <w:spacing w:after="0"/>
              <w:rPr>
                <w:sz w:val="20"/>
                <w:szCs w:val="20"/>
                <w:color w:val="auto"/>
              </w:rPr>
            </w:pPr>
            <w:r>
              <w:rPr>
                <w:rFonts w:ascii="Arial" w:cs="Arial" w:eastAsia="Arial" w:hAnsi="Arial"/>
                <w:sz w:val="16"/>
                <w:szCs w:val="16"/>
                <w:b w:val="1"/>
                <w:bCs w:val="1"/>
                <w:color w:val="auto"/>
                <w:w w:val="88"/>
              </w:rPr>
              <w:t>Abstentions</w:t>
            </w:r>
          </w:p>
        </w:tc>
      </w:tr>
      <w:tr>
        <w:trPr>
          <w:trHeight w:val="33"/>
        </w:trPr>
        <w:tc>
          <w:tcPr>
            <w:tcW w:w="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660" w:type="dxa"/>
            <w:vAlign w:val="bottom"/>
            <w:gridSpan w:val="5"/>
          </w:tcPr>
          <w:p>
            <w:pPr>
              <w:ind w:left="820"/>
              <w:spacing w:after="0"/>
              <w:rPr>
                <w:sz w:val="20"/>
                <w:szCs w:val="20"/>
                <w:color w:val="auto"/>
              </w:rPr>
            </w:pPr>
            <w:r>
              <w:rPr>
                <w:rFonts w:ascii="Arial" w:cs="Arial" w:eastAsia="Arial" w:hAnsi="Arial"/>
                <w:sz w:val="18"/>
                <w:szCs w:val="18"/>
                <w:color w:val="auto"/>
                <w:w w:val="90"/>
              </w:rPr>
              <w:t>57,223,930</w:t>
            </w:r>
          </w:p>
        </w:tc>
        <w:tc>
          <w:tcPr>
            <w:tcW w:w="12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59,807</w:t>
            </w:r>
          </w:p>
        </w:tc>
        <w:tc>
          <w:tcPr>
            <w:tcW w:w="100" w:type="dxa"/>
            <w:vAlign w:val="bottom"/>
          </w:tcPr>
          <w:p>
            <w:pPr>
              <w:spacing w:after="0"/>
              <w:rPr>
                <w:sz w:val="21"/>
                <w:szCs w:val="21"/>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88,810</w:t>
            </w:r>
          </w:p>
        </w:tc>
        <w:tc>
          <w:tcPr>
            <w:tcW w:w="3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580"/>
        </w:trPr>
        <w:tc>
          <w:tcPr>
            <w:tcW w:w="11240" w:type="dxa"/>
            <w:vAlign w:val="bottom"/>
            <w:gridSpan w:val="12"/>
          </w:tcPr>
          <w:p>
            <w:pPr>
              <w:spacing w:after="0"/>
              <w:rPr>
                <w:sz w:val="20"/>
                <w:szCs w:val="20"/>
                <w:color w:val="auto"/>
              </w:rPr>
            </w:pPr>
            <w:r>
              <w:rPr>
                <w:rFonts w:ascii="Arial" w:cs="Arial" w:eastAsia="Arial" w:hAnsi="Arial"/>
                <w:sz w:val="18"/>
                <w:szCs w:val="18"/>
                <w:b w:val="1"/>
                <w:bCs w:val="1"/>
                <w:color w:val="auto"/>
              </w:rPr>
              <w:t>Item 9.01. Financial Statements and Exhibits.</w:t>
            </w:r>
          </w:p>
        </w:tc>
      </w:tr>
      <w:tr>
        <w:trPr>
          <w:trHeight w:val="473"/>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3"/>
        </w:trPr>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80" w:type="dxa"/>
            <w:vAlign w:val="bottom"/>
            <w:tcBorders>
              <w:bottom w:val="single" w:sz="8" w:color="auto"/>
            </w:tcBorders>
            <w:gridSpan w:val="6"/>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10"/>
        </w:trPr>
        <w:tc>
          <w:tcPr>
            <w:tcW w:w="400" w:type="dxa"/>
            <w:vAlign w:val="bottom"/>
          </w:tcPr>
          <w:p>
            <w:pPr>
              <w:ind w:left="20"/>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Fluidigm Corporation 2011 Equity Incentive Plan, as amended effective May 25, 2021.</w:t>
              </w:r>
            </w:hyperlink>
          </w:p>
        </w:tc>
      </w:tr>
      <w:tr>
        <w:trPr>
          <w:trHeight w:val="1364"/>
        </w:trPr>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80" w:type="dxa"/>
            <w:vAlign w:val="bottom"/>
            <w:tcBorders>
              <w:top w:val="single" w:sz="8" w:color="0000FF"/>
              <w:bottom w:val="single" w:sz="8" w:color="9A9A9A"/>
            </w:tcBorders>
          </w:tcPr>
          <w:p>
            <w:pPr>
              <w:spacing w:after="0"/>
              <w:rPr>
                <w:sz w:val="24"/>
                <w:szCs w:val="24"/>
                <w:color w:val="auto"/>
              </w:rPr>
            </w:pPr>
          </w:p>
        </w:tc>
        <w:tc>
          <w:tcPr>
            <w:tcW w:w="3360" w:type="dxa"/>
            <w:vAlign w:val="bottom"/>
            <w:tcBorders>
              <w:top w:val="single" w:sz="8" w:color="0000FF"/>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364" w:lineRule="exact"/>
        <w:rPr>
          <w:sz w:val="20"/>
          <w:szCs w:val="20"/>
          <w:color w:val="auto"/>
        </w:rPr>
      </w:pPr>
    </w:p>
    <w:p>
      <w:pPr>
        <w:ind w:left="20"/>
        <w:spacing w:after="0"/>
        <w:tabs>
          <w:tab w:leader="none" w:pos="4320" w:val="left"/>
          <w:tab w:leader="none" w:pos="506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600"/>
          </w:cols>
          <w:pgMar w:left="320" w:top="1093"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72"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FLUIDIGM CORPORATION</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2011 EQUITY INCENTIVE PLAN</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(as amended and restated effective June 3, 2019,</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and as further amended effective June 23, 2020 and May 25, 2021)</w:t>
      </w:r>
    </w:p>
    <w:p>
      <w:pPr>
        <w:spacing w:after="0" w:line="238" w:lineRule="exact"/>
        <w:rPr>
          <w:sz w:val="20"/>
          <w:szCs w:val="20"/>
          <w:color w:val="auto"/>
        </w:rPr>
      </w:pPr>
    </w:p>
    <w:p>
      <w:pPr>
        <w:jc w:val="both"/>
        <w:ind w:firstLine="656"/>
        <w:spacing w:after="0" w:line="259"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7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98" w:lineRule="exact"/>
        <w:rPr>
          <w:rFonts w:ascii="Arial" w:cs="Arial" w:eastAsia="Arial" w:hAnsi="Arial"/>
          <w:sz w:val="18"/>
          <w:szCs w:val="18"/>
          <w:color w:val="auto"/>
        </w:rPr>
      </w:pPr>
    </w:p>
    <w:p>
      <w:pPr>
        <w:ind w:left="1680" w:hanging="376"/>
        <w:spacing w:after="0"/>
        <w:tabs>
          <w:tab w:leader="none" w:pos="1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may administer the Plan in accordance with Section 4 hereof.</w:t>
      </w:r>
    </w:p>
    <w:p>
      <w:pPr>
        <w:spacing w:after="0" w:line="223" w:lineRule="exact"/>
        <w:rPr>
          <w:rFonts w:ascii="Arial" w:cs="Arial" w:eastAsia="Arial" w:hAnsi="Arial"/>
          <w:sz w:val="17"/>
          <w:szCs w:val="17"/>
          <w:color w:val="auto"/>
        </w:rPr>
      </w:pPr>
    </w:p>
    <w:p>
      <w:pPr>
        <w:ind w:left="1700" w:hanging="396"/>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means May 25, 2021.</w:t>
      </w:r>
    </w:p>
    <w:p>
      <w:pPr>
        <w:spacing w:after="0" w:line="211" w:lineRule="exact"/>
        <w:rPr>
          <w:rFonts w:ascii="Arial" w:cs="Arial" w:eastAsia="Arial" w:hAnsi="Arial"/>
          <w:sz w:val="18"/>
          <w:szCs w:val="18"/>
          <w:color w:val="auto"/>
        </w:rPr>
      </w:pPr>
    </w:p>
    <w:p>
      <w:pPr>
        <w:jc w:val="both"/>
        <w:ind w:left="660" w:firstLine="644"/>
        <w:spacing w:after="0" w:line="286" w:lineRule="auto"/>
        <w:tabs>
          <w:tab w:leader="none" w:pos="1728"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38" w:lineRule="exact"/>
        <w:rPr>
          <w:rFonts w:ascii="Arial" w:cs="Arial" w:eastAsia="Arial" w:hAnsi="Arial"/>
          <w:sz w:val="17"/>
          <w:szCs w:val="17"/>
          <w:color w:val="auto"/>
        </w:rPr>
      </w:pPr>
    </w:p>
    <w:p>
      <w:pPr>
        <w:ind w:left="660" w:firstLine="644"/>
        <w:spacing w:after="0" w:line="277" w:lineRule="auto"/>
        <w:tabs>
          <w:tab w:leader="none" w:pos="1806"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56" w:lineRule="exact"/>
        <w:rPr>
          <w:rFonts w:ascii="Arial" w:cs="Arial" w:eastAsia="Arial" w:hAnsi="Arial"/>
          <w:sz w:val="18"/>
          <w:szCs w:val="18"/>
          <w:color w:val="auto"/>
        </w:rPr>
      </w:pPr>
    </w:p>
    <w:p>
      <w:pPr>
        <w:ind w:left="660" w:firstLine="644"/>
        <w:spacing w:after="0" w:line="277" w:lineRule="auto"/>
        <w:tabs>
          <w:tab w:leader="none" w:pos="1755"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6" w:lineRule="exact"/>
        <w:rPr>
          <w:rFonts w:ascii="Arial" w:cs="Arial" w:eastAsia="Arial" w:hAnsi="Arial"/>
          <w:sz w:val="18"/>
          <w:szCs w:val="18"/>
          <w:color w:val="auto"/>
        </w:rPr>
      </w:pPr>
    </w:p>
    <w:p>
      <w:pPr>
        <w:ind w:left="1660" w:hanging="356"/>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98" w:lineRule="exact"/>
        <w:rPr>
          <w:rFonts w:ascii="Arial" w:cs="Arial" w:eastAsia="Arial" w:hAnsi="Arial"/>
          <w:sz w:val="18"/>
          <w:szCs w:val="18"/>
          <w:color w:val="auto"/>
        </w:rPr>
      </w:pPr>
    </w:p>
    <w:p>
      <w:pPr>
        <w:ind w:left="1700" w:hanging="396"/>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11" w:lineRule="exact"/>
        <w:rPr>
          <w:rFonts w:ascii="Arial" w:cs="Arial" w:eastAsia="Arial" w:hAnsi="Arial"/>
          <w:sz w:val="18"/>
          <w:szCs w:val="18"/>
          <w:color w:val="auto"/>
        </w:rPr>
      </w:pPr>
    </w:p>
    <w:p>
      <w:pPr>
        <w:jc w:val="both"/>
        <w:ind w:left="1300" w:firstLine="652"/>
        <w:spacing w:after="0" w:line="257" w:lineRule="auto"/>
        <w:tabs>
          <w:tab w:leader="none" w:pos="2290" w:val="left"/>
        </w:tabs>
        <w:numPr>
          <w:ilvl w:val="2"/>
          <w:numId w:val="6"/>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74" w:lineRule="exact"/>
        <w:rPr>
          <w:rFonts w:ascii="Arial" w:cs="Arial" w:eastAsia="Arial" w:hAnsi="Arial"/>
          <w:sz w:val="18"/>
          <w:szCs w:val="18"/>
          <w:color w:val="auto"/>
        </w:rPr>
      </w:pPr>
    </w:p>
    <w:p>
      <w:pPr>
        <w:jc w:val="both"/>
        <w:ind w:left="1300" w:firstLine="652"/>
        <w:spacing w:after="0" w:line="257" w:lineRule="auto"/>
        <w:tabs>
          <w:tab w:leader="none" w:pos="2398" w:val="left"/>
        </w:tabs>
        <w:numPr>
          <w:ilvl w:val="2"/>
          <w:numId w:val="6"/>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60" w:lineRule="exact"/>
        <w:rPr>
          <w:rFonts w:ascii="Arial" w:cs="Arial" w:eastAsia="Arial" w:hAnsi="Arial"/>
          <w:sz w:val="18"/>
          <w:szCs w:val="18"/>
          <w:color w:val="auto"/>
        </w:rPr>
      </w:pPr>
    </w:p>
    <w:p>
      <w:pPr>
        <w:jc w:val="both"/>
        <w:ind w:left="1300" w:firstLine="652"/>
        <w:spacing w:after="0" w:line="254" w:lineRule="auto"/>
        <w:tabs>
          <w:tab w:leader="none" w:pos="2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w:t>
      </w:r>
    </w:p>
    <w:p>
      <w:pPr>
        <w:sectPr>
          <w:pgSz w:w="11900" w:h="16838" w:orient="portrait"/>
          <w:cols w:equalWidth="0" w:num="1">
            <w:col w:w="11240"/>
          </w:cols>
          <w:pgMar w:left="320" w:top="630" w:right="339" w:bottom="1440" w:gutter="0" w:footer="0" w:header="0"/>
        </w:sectPr>
      </w:pPr>
    </w:p>
    <w:bookmarkStart w:id="4" w:name="page5"/>
    <w:bookmarkEnd w:id="4"/>
    <w:p>
      <w:pPr>
        <w:jc w:val="both"/>
        <w:ind w:left="640"/>
        <w:spacing w:after="0" w:line="255" w:lineRule="auto"/>
        <w:rPr>
          <w:sz w:val="20"/>
          <w:szCs w:val="20"/>
          <w:color w:val="auto"/>
        </w:rPr>
      </w:pPr>
      <w:r>
        <w:rPr>
          <w:rFonts w:ascii="Arial" w:cs="Arial" w:eastAsia="Arial" w:hAnsi="Arial"/>
          <w:sz w:val="18"/>
          <w:szCs w:val="18"/>
          <w:color w:val="auto"/>
        </w:rPr>
        <w:t>(immediately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0" w:lineRule="exact"/>
        <w:rPr>
          <w:sz w:val="20"/>
          <w:szCs w:val="20"/>
          <w:color w:val="auto"/>
        </w:rPr>
      </w:pPr>
    </w:p>
    <w:p>
      <w:pPr>
        <w:jc w:val="both"/>
        <w:ind w:firstLine="644"/>
        <w:spacing w:after="0" w:line="263" w:lineRule="auto"/>
        <w:tabs>
          <w:tab w:leader="none" w:pos="103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56" w:lineRule="exact"/>
        <w:rPr>
          <w:rFonts w:ascii="Arial" w:cs="Arial" w:eastAsia="Arial" w:hAnsi="Arial"/>
          <w:sz w:val="18"/>
          <w:szCs w:val="18"/>
          <w:color w:val="auto"/>
        </w:rPr>
      </w:pPr>
    </w:p>
    <w:p>
      <w:pPr>
        <w:ind w:firstLine="644"/>
        <w:spacing w:after="0" w:line="277" w:lineRule="auto"/>
        <w:tabs>
          <w:tab w:leader="none" w:pos="111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156" w:lineRule="exact"/>
        <w:rPr>
          <w:rFonts w:ascii="Arial" w:cs="Arial" w:eastAsia="Arial" w:hAnsi="Arial"/>
          <w:sz w:val="18"/>
          <w:szCs w:val="18"/>
          <w:color w:val="auto"/>
        </w:rPr>
      </w:pPr>
    </w:p>
    <w:p>
      <w:pPr>
        <w:ind w:left="1000" w:hanging="356"/>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1" w:lineRule="exact"/>
        <w:rPr>
          <w:rFonts w:ascii="Arial" w:cs="Arial" w:eastAsia="Arial" w:hAnsi="Arial"/>
          <w:sz w:val="18"/>
          <w:szCs w:val="18"/>
          <w:color w:val="auto"/>
        </w:rPr>
      </w:pPr>
    </w:p>
    <w:p>
      <w:pPr>
        <w:ind w:left="1040" w:hanging="396"/>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198" w:lineRule="exact"/>
        <w:rPr>
          <w:rFonts w:ascii="Arial" w:cs="Arial" w:eastAsia="Arial" w:hAnsi="Arial"/>
          <w:sz w:val="18"/>
          <w:szCs w:val="18"/>
          <w:color w:val="auto"/>
        </w:rPr>
      </w:pPr>
    </w:p>
    <w:p>
      <w:pPr>
        <w:ind w:left="1000" w:hanging="356"/>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197" w:lineRule="exact"/>
        <w:rPr>
          <w:rFonts w:ascii="Arial" w:cs="Arial" w:eastAsia="Arial" w:hAnsi="Arial"/>
          <w:sz w:val="16"/>
          <w:szCs w:val="16"/>
          <w:color w:val="auto"/>
        </w:rPr>
      </w:pPr>
    </w:p>
    <w:p>
      <w:pPr>
        <w:ind w:left="1080" w:hanging="43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color w:val="auto"/>
        </w:rPr>
      </w:pPr>
    </w:p>
    <w:p>
      <w:pPr>
        <w:jc w:val="both"/>
        <w:ind w:firstLine="644"/>
        <w:spacing w:after="0" w:line="263" w:lineRule="auto"/>
        <w:tabs>
          <w:tab w:leader="none" w:pos="107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56" w:lineRule="exact"/>
        <w:rPr>
          <w:rFonts w:ascii="Arial" w:cs="Arial" w:eastAsia="Arial" w:hAnsi="Arial"/>
          <w:sz w:val="18"/>
          <w:szCs w:val="18"/>
          <w:color w:val="auto"/>
        </w:rPr>
      </w:pPr>
    </w:p>
    <w:p>
      <w:pPr>
        <w:jc w:val="both"/>
        <w:ind w:firstLine="644"/>
        <w:spacing w:after="0" w:line="263" w:lineRule="auto"/>
        <w:tabs>
          <w:tab w:leader="none" w:pos="1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0" w:lineRule="exact"/>
        <w:rPr>
          <w:rFonts w:ascii="Arial" w:cs="Arial" w:eastAsia="Arial" w:hAnsi="Arial"/>
          <w:sz w:val="18"/>
          <w:szCs w:val="18"/>
          <w:color w:val="auto"/>
        </w:rPr>
      </w:pPr>
    </w:p>
    <w:p>
      <w:pPr>
        <w:ind w:left="1040" w:hanging="396"/>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jc w:val="both"/>
        <w:ind w:firstLine="644"/>
        <w:spacing w:after="0" w:line="257" w:lineRule="auto"/>
        <w:tabs>
          <w:tab w:leader="none" w:pos="1051"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895" w:right="339" w:bottom="1440" w:gutter="0" w:footer="0" w:header="0"/>
        </w:sectPr>
      </w:pPr>
    </w:p>
    <w:bookmarkStart w:id="5" w:name="page6"/>
    <w:bookmarkEnd w:id="5"/>
    <w:p>
      <w:pPr>
        <w:ind w:left="1000" w:hanging="356"/>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11" w:lineRule="exact"/>
        <w:rPr>
          <w:rFonts w:ascii="Arial" w:cs="Arial" w:eastAsia="Arial" w:hAnsi="Arial"/>
          <w:sz w:val="18"/>
          <w:szCs w:val="18"/>
          <w:color w:val="auto"/>
        </w:rPr>
      </w:pPr>
    </w:p>
    <w:p>
      <w:pPr>
        <w:jc w:val="both"/>
        <w:ind w:left="640" w:firstLine="652"/>
        <w:spacing w:after="0" w:line="296" w:lineRule="auto"/>
        <w:tabs>
          <w:tab w:leader="none" w:pos="1657"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134" w:lineRule="exact"/>
        <w:rPr>
          <w:rFonts w:ascii="Arial" w:cs="Arial" w:eastAsia="Arial" w:hAnsi="Arial"/>
          <w:sz w:val="16"/>
          <w:szCs w:val="16"/>
          <w:color w:val="auto"/>
        </w:rPr>
      </w:pPr>
    </w:p>
    <w:p>
      <w:pPr>
        <w:jc w:val="both"/>
        <w:ind w:left="640" w:firstLine="652"/>
        <w:spacing w:after="0" w:line="263" w:lineRule="auto"/>
        <w:tabs>
          <w:tab w:leader="none" w:pos="176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70" w:lineRule="exact"/>
        <w:rPr>
          <w:rFonts w:ascii="Arial" w:cs="Arial" w:eastAsia="Arial" w:hAnsi="Arial"/>
          <w:sz w:val="18"/>
          <w:szCs w:val="18"/>
          <w:color w:val="auto"/>
        </w:rPr>
      </w:pPr>
    </w:p>
    <w:p>
      <w:pPr>
        <w:ind w:left="640" w:firstLine="652"/>
        <w:spacing w:after="0" w:line="277" w:lineRule="auto"/>
        <w:tabs>
          <w:tab w:leader="none" w:pos="1749"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56" w:lineRule="exact"/>
        <w:rPr>
          <w:rFonts w:ascii="Arial" w:cs="Arial" w:eastAsia="Arial" w:hAnsi="Arial"/>
          <w:sz w:val="18"/>
          <w:szCs w:val="18"/>
          <w:color w:val="auto"/>
        </w:rPr>
      </w:pPr>
    </w:p>
    <w:p>
      <w:pPr>
        <w:ind w:left="1020" w:hanging="376"/>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98" w:lineRule="exact"/>
        <w:rPr>
          <w:rFonts w:ascii="Arial" w:cs="Arial" w:eastAsia="Arial" w:hAnsi="Arial"/>
          <w:sz w:val="18"/>
          <w:szCs w:val="18"/>
          <w:color w:val="auto"/>
        </w:rPr>
      </w:pPr>
    </w:p>
    <w:p>
      <w:pPr>
        <w:ind w:firstLine="644"/>
        <w:spacing w:after="0" w:line="277" w:lineRule="auto"/>
        <w:tabs>
          <w:tab w:leader="none" w:pos="998"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56" w:lineRule="exact"/>
        <w:rPr>
          <w:rFonts w:ascii="Arial" w:cs="Arial" w:eastAsia="Arial" w:hAnsi="Arial"/>
          <w:sz w:val="18"/>
          <w:szCs w:val="18"/>
          <w:color w:val="auto"/>
        </w:rPr>
      </w:pPr>
    </w:p>
    <w:p>
      <w:pPr>
        <w:ind w:left="1040" w:hanging="39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11" w:lineRule="exact"/>
        <w:rPr>
          <w:rFonts w:ascii="Arial" w:cs="Arial" w:eastAsia="Arial" w:hAnsi="Arial"/>
          <w:sz w:val="18"/>
          <w:szCs w:val="18"/>
          <w:color w:val="auto"/>
        </w:rPr>
      </w:pPr>
    </w:p>
    <w:p>
      <w:pPr>
        <w:ind w:left="1040" w:hanging="396"/>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183" w:lineRule="exact"/>
        <w:rPr>
          <w:rFonts w:ascii="Arial" w:cs="Arial" w:eastAsia="Arial" w:hAnsi="Arial"/>
          <w:sz w:val="16"/>
          <w:szCs w:val="16"/>
          <w:color w:val="auto"/>
        </w:rPr>
      </w:pPr>
    </w:p>
    <w:p>
      <w:pPr>
        <w:ind w:right="20" w:firstLine="644"/>
        <w:spacing w:after="0" w:line="27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56" w:lineRule="exact"/>
        <w:rPr>
          <w:rFonts w:ascii="Arial" w:cs="Arial" w:eastAsia="Arial" w:hAnsi="Arial"/>
          <w:sz w:val="18"/>
          <w:szCs w:val="18"/>
          <w:color w:val="auto"/>
        </w:rPr>
      </w:pPr>
    </w:p>
    <w:p>
      <w:pPr>
        <w:ind w:left="1040" w:hanging="39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11" w:lineRule="exact"/>
        <w:rPr>
          <w:rFonts w:ascii="Arial" w:cs="Arial" w:eastAsia="Arial" w:hAnsi="Arial"/>
          <w:sz w:val="18"/>
          <w:szCs w:val="18"/>
          <w:color w:val="auto"/>
        </w:rPr>
      </w:pPr>
    </w:p>
    <w:p>
      <w:pPr>
        <w:ind w:left="1040" w:hanging="39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98" w:lineRule="exact"/>
        <w:rPr>
          <w:rFonts w:ascii="Arial" w:cs="Arial" w:eastAsia="Arial" w:hAnsi="Arial"/>
          <w:sz w:val="18"/>
          <w:szCs w:val="18"/>
          <w:color w:val="auto"/>
        </w:rPr>
      </w:pPr>
    </w:p>
    <w:p>
      <w:pPr>
        <w:ind w:left="1020" w:hanging="376"/>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12" w:lineRule="exact"/>
        <w:rPr>
          <w:sz w:val="20"/>
          <w:szCs w:val="20"/>
          <w:color w:val="auto"/>
        </w:rPr>
      </w:pPr>
    </w:p>
    <w:p>
      <w:pPr>
        <w:ind w:left="1100" w:hanging="456"/>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11" w:lineRule="exact"/>
        <w:rPr>
          <w:rFonts w:ascii="Arial" w:cs="Arial" w:eastAsia="Arial" w:hAnsi="Arial"/>
          <w:sz w:val="18"/>
          <w:szCs w:val="18"/>
          <w:color w:val="auto"/>
        </w:rPr>
      </w:pPr>
    </w:p>
    <w:p>
      <w:pPr>
        <w:ind w:right="20" w:firstLine="644"/>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43" w:lineRule="exact"/>
        <w:rPr>
          <w:rFonts w:ascii="Arial" w:cs="Arial" w:eastAsia="Arial" w:hAnsi="Arial"/>
          <w:sz w:val="18"/>
          <w:szCs w:val="18"/>
          <w:color w:val="auto"/>
        </w:rPr>
      </w:pPr>
    </w:p>
    <w:p>
      <w:pPr>
        <w:jc w:val="both"/>
        <w:ind w:firstLine="644"/>
        <w:spacing w:after="0" w:line="263" w:lineRule="auto"/>
        <w:tabs>
          <w:tab w:leader="none" w:pos="1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0" w:lineRule="exact"/>
        <w:rPr>
          <w:rFonts w:ascii="Arial" w:cs="Arial" w:eastAsia="Arial" w:hAnsi="Arial"/>
          <w:sz w:val="18"/>
          <w:szCs w:val="18"/>
          <w:color w:val="auto"/>
        </w:rPr>
      </w:pPr>
    </w:p>
    <w:p>
      <w:pPr>
        <w:ind w:right="20" w:firstLine="644"/>
        <w:spacing w:after="0" w:line="277" w:lineRule="auto"/>
        <w:tabs>
          <w:tab w:leader="none" w:pos="112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2011 Equity Incentive Plan, as amended and restated effective June 3, 2019, and as further amended at the 2020 Annual Meeting of Stockholders and at the 2021 Annual Meeting of Stockholders.</w:t>
      </w:r>
    </w:p>
    <w:p>
      <w:pPr>
        <w:spacing w:after="0" w:line="143" w:lineRule="exact"/>
        <w:rPr>
          <w:rFonts w:ascii="Arial" w:cs="Arial" w:eastAsia="Arial" w:hAnsi="Arial"/>
          <w:sz w:val="18"/>
          <w:szCs w:val="18"/>
          <w:color w:val="auto"/>
        </w:rPr>
      </w:pPr>
    </w:p>
    <w:p>
      <w:pPr>
        <w:ind w:firstLine="644"/>
        <w:spacing w:after="0" w:line="277" w:lineRule="auto"/>
        <w:tabs>
          <w:tab w:leader="none" w:pos="107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895" w:right="339" w:bottom="1440" w:gutter="0" w:footer="0" w:header="0"/>
        </w:sectPr>
      </w:pPr>
    </w:p>
    <w:bookmarkStart w:id="6" w:name="page7"/>
    <w:bookmarkEnd w:id="6"/>
    <w:p>
      <w:pPr>
        <w:ind w:left="4" w:right="20" w:firstLine="644"/>
        <w:spacing w:after="0" w:line="308" w:lineRule="auto"/>
        <w:tabs>
          <w:tab w:leader="none" w:pos="1159"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132" w:lineRule="exact"/>
        <w:rPr>
          <w:rFonts w:ascii="Arial" w:cs="Arial" w:eastAsia="Arial" w:hAnsi="Arial"/>
          <w:sz w:val="17"/>
          <w:szCs w:val="17"/>
          <w:color w:val="auto"/>
        </w:rPr>
      </w:pPr>
    </w:p>
    <w:p>
      <w:pPr>
        <w:ind w:left="4" w:firstLine="644"/>
        <w:spacing w:after="0" w:line="277" w:lineRule="auto"/>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43" w:lineRule="exact"/>
        <w:rPr>
          <w:rFonts w:ascii="Arial" w:cs="Arial" w:eastAsia="Arial" w:hAnsi="Arial"/>
          <w:sz w:val="18"/>
          <w:szCs w:val="18"/>
          <w:color w:val="auto"/>
        </w:rPr>
      </w:pPr>
    </w:p>
    <w:p>
      <w:pPr>
        <w:ind w:left="1044" w:hanging="396"/>
        <w:spacing w:after="0"/>
        <w:tabs>
          <w:tab w:leader="none" w:pos="10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11" w:lineRule="exact"/>
        <w:rPr>
          <w:rFonts w:ascii="Arial" w:cs="Arial" w:eastAsia="Arial" w:hAnsi="Arial"/>
          <w:sz w:val="18"/>
          <w:szCs w:val="18"/>
          <w:color w:val="auto"/>
        </w:rPr>
      </w:pPr>
    </w:p>
    <w:p>
      <w:pPr>
        <w:ind w:left="1044" w:hanging="396"/>
        <w:spacing w:after="0"/>
        <w:tabs>
          <w:tab w:leader="none" w:pos="10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11" w:lineRule="exact"/>
        <w:rPr>
          <w:rFonts w:ascii="Arial" w:cs="Arial" w:eastAsia="Arial" w:hAnsi="Arial"/>
          <w:sz w:val="18"/>
          <w:szCs w:val="18"/>
          <w:color w:val="auto"/>
        </w:rPr>
      </w:pPr>
    </w:p>
    <w:p>
      <w:pPr>
        <w:ind w:left="1124" w:hanging="476"/>
        <w:spacing w:after="0"/>
        <w:tabs>
          <w:tab w:leader="none" w:pos="11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98" w:lineRule="exact"/>
        <w:rPr>
          <w:rFonts w:ascii="Arial" w:cs="Arial" w:eastAsia="Arial" w:hAnsi="Arial"/>
          <w:sz w:val="18"/>
          <w:szCs w:val="18"/>
          <w:color w:val="auto"/>
        </w:rPr>
      </w:pPr>
    </w:p>
    <w:p>
      <w:pPr>
        <w:ind w:left="4" w:firstLine="644"/>
        <w:spacing w:after="0" w:line="277" w:lineRule="auto"/>
        <w:tabs>
          <w:tab w:leader="none" w:pos="11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56" w:lineRule="exact"/>
        <w:rPr>
          <w:rFonts w:ascii="Arial" w:cs="Arial" w:eastAsia="Arial" w:hAnsi="Arial"/>
          <w:sz w:val="18"/>
          <w:szCs w:val="18"/>
          <w:color w:val="auto"/>
        </w:rPr>
      </w:pPr>
    </w:p>
    <w:p>
      <w:pPr>
        <w:ind w:left="1224" w:hanging="576"/>
        <w:spacing w:after="0"/>
        <w:tabs>
          <w:tab w:leader="none" w:pos="1224"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23" w:lineRule="exact"/>
        <w:rPr>
          <w:rFonts w:ascii="Arial" w:cs="Arial" w:eastAsia="Arial" w:hAnsi="Arial"/>
          <w:sz w:val="17"/>
          <w:szCs w:val="17"/>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57" w:lineRule="auto"/>
        <w:tabs>
          <w:tab w:leader="none" w:pos="103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as of the Amendment Effective Date is (i) 4,075,000 Shares, plus (ii) any Shares that, as of immediately prior to the Amendment Effective Date, were available for grant under the pre-existing version of the 2011 Equity Incentive Plan prior to this amendment (the “</w:t>
      </w:r>
      <w:r>
        <w:rPr>
          <w:rFonts w:ascii="Arial" w:cs="Arial" w:eastAsia="Arial" w:hAnsi="Arial"/>
          <w:sz w:val="18"/>
          <w:szCs w:val="18"/>
          <w:u w:val="single" w:color="auto"/>
          <w:color w:val="auto"/>
        </w:rPr>
        <w:t>Existing Plan</w:t>
      </w:r>
      <w:r>
        <w:rPr>
          <w:rFonts w:ascii="Arial" w:cs="Arial" w:eastAsia="Arial" w:hAnsi="Arial"/>
          <w:sz w:val="18"/>
          <w:szCs w:val="18"/>
          <w:color w:val="auto"/>
        </w:rPr>
        <w:t>”), with the maximum number of Shares to be added to the Plan pursuant to clause (ii) equal to 2,517,055 Shares. The Shares may be authorized, but unissued, or reacquired Common Stock.</w:t>
      </w:r>
    </w:p>
    <w:p>
      <w:pPr>
        <w:spacing w:after="0" w:line="174" w:lineRule="exact"/>
        <w:rPr>
          <w:rFonts w:ascii="Arial" w:cs="Arial" w:eastAsia="Arial" w:hAnsi="Arial"/>
          <w:sz w:val="18"/>
          <w:szCs w:val="18"/>
          <w:color w:val="auto"/>
        </w:rPr>
      </w:pPr>
    </w:p>
    <w:p>
      <w:pPr>
        <w:jc w:val="both"/>
        <w:ind w:left="4" w:firstLine="644"/>
        <w:spacing w:after="0" w:line="286" w:lineRule="auto"/>
        <w:tabs>
          <w:tab w:leader="none" w:pos="106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53" w:lineRule="exact"/>
        <w:rPr>
          <w:rFonts w:ascii="Arial" w:cs="Arial" w:eastAsia="Arial" w:hAnsi="Arial"/>
          <w:sz w:val="16"/>
          <w:szCs w:val="16"/>
          <w:color w:val="auto"/>
        </w:rPr>
      </w:pPr>
    </w:p>
    <w:p>
      <w:pPr>
        <w:ind w:left="4" w:firstLine="644"/>
        <w:spacing w:after="0" w:line="277" w:lineRule="auto"/>
        <w:tabs>
          <w:tab w:leader="none" w:pos="1072"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43"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4" w:hanging="376"/>
        <w:spacing w:after="0"/>
        <w:tabs>
          <w:tab w:leader="none" w:pos="1024"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664" w:hanging="368"/>
        <w:spacing w:after="0"/>
        <w:tabs>
          <w:tab w:leader="none" w:pos="1664"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may administer the Plan with respect to different groups of Service</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Providers.</w:t>
      </w:r>
    </w:p>
    <w:p>
      <w:pPr>
        <w:spacing w:after="0" w:line="183" w:lineRule="exact"/>
        <w:rPr>
          <w:rFonts w:ascii="Arial" w:cs="Arial" w:eastAsia="Arial" w:hAnsi="Arial"/>
          <w:sz w:val="16"/>
          <w:szCs w:val="16"/>
          <w:color w:val="auto"/>
        </w:rPr>
      </w:pPr>
    </w:p>
    <w:p>
      <w:pPr>
        <w:ind w:left="644" w:firstLine="652"/>
        <w:spacing w:after="0" w:line="277" w:lineRule="auto"/>
        <w:tabs>
          <w:tab w:leader="none" w:pos="1692"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such transactions will be structured to satisfy the requirements for exemption under Rule 16b-3.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895" w:right="339" w:bottom="1440" w:gutter="0" w:footer="0" w:header="0"/>
        </w:sectPr>
      </w:pPr>
    </w:p>
    <w:bookmarkStart w:id="7" w:name="page8"/>
    <w:bookmarkEnd w:id="7"/>
    <w:p>
      <w:pPr>
        <w:ind w:left="640" w:firstLine="652"/>
        <w:spacing w:after="0" w:line="277" w:lineRule="auto"/>
        <w:tabs>
          <w:tab w:leader="none" w:pos="176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constituted to satisfy Applicable Laws.</w:t>
      </w:r>
    </w:p>
    <w:p>
      <w:pPr>
        <w:spacing w:after="0" w:line="156" w:lineRule="exact"/>
        <w:rPr>
          <w:rFonts w:ascii="Arial" w:cs="Arial" w:eastAsia="Arial" w:hAnsi="Arial"/>
          <w:sz w:val="18"/>
          <w:szCs w:val="18"/>
          <w:color w:val="auto"/>
        </w:rPr>
      </w:pPr>
    </w:p>
    <w:p>
      <w:pPr>
        <w:ind w:firstLine="644"/>
        <w:spacing w:after="0" w:line="277" w:lineRule="auto"/>
        <w:tabs>
          <w:tab w:leader="none" w:pos="109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43" w:lineRule="exact"/>
        <w:rPr>
          <w:rFonts w:ascii="Arial" w:cs="Arial" w:eastAsia="Arial" w:hAnsi="Arial"/>
          <w:sz w:val="18"/>
          <w:szCs w:val="18"/>
          <w:color w:val="auto"/>
        </w:rPr>
      </w:pPr>
    </w:p>
    <w:p>
      <w:pPr>
        <w:ind w:left="1640" w:hanging="348"/>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12" w:lineRule="exact"/>
        <w:rPr>
          <w:sz w:val="20"/>
          <w:szCs w:val="20"/>
          <w:color w:val="auto"/>
        </w:rPr>
      </w:pPr>
    </w:p>
    <w:p>
      <w:pPr>
        <w:ind w:left="1700" w:hanging="408"/>
        <w:spacing w:after="0"/>
        <w:tabs>
          <w:tab w:leader="none" w:pos="1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11" w:lineRule="exact"/>
        <w:rPr>
          <w:rFonts w:ascii="Arial" w:cs="Arial" w:eastAsia="Arial" w:hAnsi="Arial"/>
          <w:sz w:val="18"/>
          <w:szCs w:val="18"/>
          <w:color w:val="auto"/>
        </w:rPr>
      </w:pPr>
    </w:p>
    <w:p>
      <w:pPr>
        <w:ind w:left="1740" w:hanging="448"/>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98" w:lineRule="exact"/>
        <w:rPr>
          <w:rFonts w:ascii="Arial" w:cs="Arial" w:eastAsia="Arial" w:hAnsi="Arial"/>
          <w:sz w:val="18"/>
          <w:szCs w:val="18"/>
          <w:color w:val="auto"/>
        </w:rPr>
      </w:pPr>
    </w:p>
    <w:p>
      <w:pPr>
        <w:ind w:left="1740" w:hanging="448"/>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11" w:lineRule="exact"/>
        <w:rPr>
          <w:rFonts w:ascii="Arial" w:cs="Arial" w:eastAsia="Arial" w:hAnsi="Arial"/>
          <w:sz w:val="18"/>
          <w:szCs w:val="18"/>
          <w:color w:val="auto"/>
        </w:rPr>
      </w:pPr>
    </w:p>
    <w:p>
      <w:pPr>
        <w:jc w:val="both"/>
        <w:ind w:left="640" w:firstLine="652"/>
        <w:spacing w:after="0" w:line="301" w:lineRule="auto"/>
        <w:tabs>
          <w:tab w:leader="none" w:pos="1713"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3" w:lineRule="exact"/>
        <w:rPr>
          <w:rFonts w:ascii="Arial" w:cs="Arial" w:eastAsia="Arial" w:hAnsi="Arial"/>
          <w:sz w:val="16"/>
          <w:szCs w:val="16"/>
          <w:color w:val="auto"/>
        </w:rPr>
      </w:pPr>
    </w:p>
    <w:p>
      <w:pPr>
        <w:ind w:left="1740" w:hanging="448"/>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98" w:lineRule="exact"/>
        <w:rPr>
          <w:rFonts w:ascii="Arial" w:cs="Arial" w:eastAsia="Arial" w:hAnsi="Arial"/>
          <w:sz w:val="18"/>
          <w:szCs w:val="18"/>
          <w:color w:val="auto"/>
        </w:rPr>
      </w:pPr>
    </w:p>
    <w:p>
      <w:pPr>
        <w:jc w:val="both"/>
        <w:ind w:left="640" w:firstLine="652"/>
        <w:spacing w:after="0" w:line="263" w:lineRule="auto"/>
        <w:tabs>
          <w:tab w:leader="none" w:pos="17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0" w:lineRule="exact"/>
        <w:rPr>
          <w:rFonts w:ascii="Arial" w:cs="Arial" w:eastAsia="Arial" w:hAnsi="Arial"/>
          <w:sz w:val="18"/>
          <w:szCs w:val="18"/>
          <w:color w:val="auto"/>
        </w:rPr>
      </w:pPr>
    </w:p>
    <w:p>
      <w:pPr>
        <w:jc w:val="both"/>
        <w:ind w:left="640" w:firstLine="652"/>
        <w:spacing w:after="0" w:line="263" w:lineRule="auto"/>
        <w:tabs>
          <w:tab w:leader="none" w:pos="193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70" w:lineRule="exact"/>
        <w:rPr>
          <w:rFonts w:ascii="Arial" w:cs="Arial" w:eastAsia="Arial" w:hAnsi="Arial"/>
          <w:sz w:val="18"/>
          <w:szCs w:val="18"/>
          <w:color w:val="auto"/>
        </w:rPr>
      </w:pPr>
    </w:p>
    <w:p>
      <w:pPr>
        <w:ind w:left="1740" w:hanging="448"/>
        <w:spacing w:after="0"/>
        <w:tabs>
          <w:tab w:leader="none" w:pos="17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allow Participants to satisfy tax withholding obligations in such manner as prescribed in Section 14 of the Plan;</w:t>
      </w:r>
    </w:p>
    <w:p>
      <w:pPr>
        <w:spacing w:after="0" w:line="209" w:lineRule="exact"/>
        <w:rPr>
          <w:rFonts w:ascii="Arial" w:cs="Arial" w:eastAsia="Arial" w:hAnsi="Arial"/>
          <w:sz w:val="17"/>
          <w:szCs w:val="17"/>
          <w:color w:val="auto"/>
        </w:rPr>
      </w:pPr>
    </w:p>
    <w:p>
      <w:pPr>
        <w:ind w:left="640" w:firstLine="652"/>
        <w:spacing w:after="0" w:line="277" w:lineRule="auto"/>
        <w:tabs>
          <w:tab w:leader="none" w:pos="17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56" w:lineRule="exact"/>
        <w:rPr>
          <w:rFonts w:ascii="Arial" w:cs="Arial" w:eastAsia="Arial" w:hAnsi="Arial"/>
          <w:sz w:val="18"/>
          <w:szCs w:val="18"/>
          <w:color w:val="auto"/>
        </w:rPr>
      </w:pPr>
    </w:p>
    <w:p>
      <w:pPr>
        <w:ind w:left="640" w:right="20" w:firstLine="652"/>
        <w:spacing w:after="0" w:line="277" w:lineRule="auto"/>
        <w:tabs>
          <w:tab w:leader="none" w:pos="17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56" w:lineRule="exact"/>
        <w:rPr>
          <w:rFonts w:ascii="Arial" w:cs="Arial" w:eastAsia="Arial" w:hAnsi="Arial"/>
          <w:sz w:val="18"/>
          <w:szCs w:val="18"/>
          <w:color w:val="auto"/>
        </w:rPr>
      </w:pPr>
    </w:p>
    <w:p>
      <w:pPr>
        <w:ind w:left="1780" w:hanging="488"/>
        <w:spacing w:after="0"/>
        <w:tabs>
          <w:tab w:leader="none" w:pos="1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98" w:lineRule="exact"/>
        <w:rPr>
          <w:rFonts w:ascii="Arial" w:cs="Arial" w:eastAsia="Arial" w:hAnsi="Arial"/>
          <w:sz w:val="18"/>
          <w:szCs w:val="18"/>
          <w:color w:val="auto"/>
        </w:rPr>
      </w:pPr>
    </w:p>
    <w:p>
      <w:pPr>
        <w:ind w:firstLine="644"/>
        <w:spacing w:after="0" w:line="277" w:lineRule="auto"/>
        <w:tabs>
          <w:tab w:leader="none" w:pos="102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decisions, determinations, and interpretations of the Administrator will be final and binding on all Participants and any other holders of Awards.</w:t>
      </w:r>
    </w:p>
    <w:p>
      <w:pPr>
        <w:spacing w:after="0" w:line="156" w:lineRule="exact"/>
        <w:rPr>
          <w:rFonts w:ascii="Arial" w:cs="Arial" w:eastAsia="Arial" w:hAnsi="Arial"/>
          <w:sz w:val="18"/>
          <w:szCs w:val="18"/>
          <w:color w:val="auto"/>
        </w:rPr>
      </w:pPr>
    </w:p>
    <w:p>
      <w:pPr>
        <w:ind w:left="1100" w:hanging="456"/>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Limitations on Administrative Authority</w:t>
      </w:r>
      <w:r>
        <w:rPr>
          <w:rFonts w:ascii="Arial" w:cs="Arial" w:eastAsia="Arial" w:hAnsi="Arial"/>
          <w:sz w:val="17"/>
          <w:szCs w:val="17"/>
          <w:color w:val="auto"/>
        </w:rPr>
        <w:t>. Notwithstanding anything herein to the contrary, the Administrator shall be limited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97" w:lineRule="exact"/>
        <w:rPr>
          <w:rFonts w:ascii="Arial" w:cs="Arial" w:eastAsia="Arial" w:hAnsi="Arial"/>
          <w:sz w:val="17"/>
          <w:szCs w:val="17"/>
          <w:color w:val="auto"/>
        </w:rPr>
      </w:pPr>
    </w:p>
    <w:p>
      <w:pPr>
        <w:ind w:left="1640" w:hanging="348"/>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Exchange Program</w:t>
      </w:r>
      <w:r>
        <w:rPr>
          <w:rFonts w:ascii="Arial" w:cs="Arial" w:eastAsia="Arial" w:hAnsi="Arial"/>
          <w:sz w:val="18"/>
          <w:szCs w:val="18"/>
          <w:color w:val="auto"/>
        </w:rPr>
        <w:t>. The Administrator may not implement an Exchange Program.</w:t>
      </w:r>
    </w:p>
    <w:p>
      <w:pPr>
        <w:spacing w:after="0" w:line="198" w:lineRule="exact"/>
        <w:rPr>
          <w:rFonts w:ascii="Arial" w:cs="Arial" w:eastAsia="Arial" w:hAnsi="Arial"/>
          <w:sz w:val="18"/>
          <w:szCs w:val="18"/>
          <w:color w:val="auto"/>
        </w:rPr>
      </w:pPr>
    </w:p>
    <w:p>
      <w:pPr>
        <w:jc w:val="both"/>
        <w:ind w:left="640" w:firstLine="652"/>
        <w:spacing w:after="0" w:line="263" w:lineRule="auto"/>
        <w:tabs>
          <w:tab w:leader="none" w:pos="171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 Dividends or Dividend Equivalents Paid on Unvested Awards</w:t>
      </w:r>
      <w:r>
        <w:rPr>
          <w:rFonts w:ascii="Arial" w:cs="Arial" w:eastAsia="Arial" w:hAnsi="Arial"/>
          <w:sz w:val="18"/>
          <w:szCs w:val="18"/>
          <w:color w:val="auto"/>
        </w:rPr>
        <w:t>. No dividends or dividend equivalents shall be paid on any unvested Awards. Any dividends or dividend equivalents may be declared or accrue on unvested Awards, but shall not be paid until the vesting of such Awards.</w:t>
      </w:r>
    </w:p>
    <w:p>
      <w:pPr>
        <w:spacing w:after="0" w:line="170" w:lineRule="exact"/>
        <w:rPr>
          <w:rFonts w:ascii="Arial" w:cs="Arial" w:eastAsia="Arial" w:hAnsi="Arial"/>
          <w:sz w:val="18"/>
          <w:szCs w:val="18"/>
          <w:color w:val="auto"/>
        </w:rPr>
      </w:pPr>
    </w:p>
    <w:p>
      <w:pPr>
        <w:jc w:val="both"/>
        <w:ind w:left="640" w:firstLine="652"/>
        <w:spacing w:after="0" w:line="279" w:lineRule="auto"/>
        <w:tabs>
          <w:tab w:leader="none" w:pos="1792"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Outside Director Limitations</w:t>
      </w:r>
      <w:r>
        <w:rPr>
          <w:rFonts w:ascii="Arial" w:cs="Arial" w:eastAsia="Arial" w:hAnsi="Arial"/>
          <w:sz w:val="17"/>
          <w:szCs w:val="17"/>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895" w:right="339" w:bottom="1440" w:gutter="0" w:footer="0" w:header="0"/>
        </w:sectPr>
      </w:pPr>
    </w:p>
    <w:bookmarkStart w:id="8" w:name="page9"/>
    <w:bookmarkEnd w:id="8"/>
    <w:p>
      <w:pPr>
        <w:ind w:left="1300"/>
        <w:spacing w:after="0"/>
        <w:rPr>
          <w:sz w:val="20"/>
          <w:szCs w:val="20"/>
          <w:color w:val="auto"/>
        </w:rPr>
      </w:pPr>
      <w:r>
        <w:rPr>
          <w:rFonts w:ascii="Arial" w:cs="Arial" w:eastAsia="Arial" w:hAnsi="Arial"/>
          <w:sz w:val="16"/>
          <w:szCs w:val="16"/>
          <w:color w:val="auto"/>
        </w:rPr>
        <w:t>her services as a Consultant (other than as an Outside Director), will not count for purposes of the limitation under this Section 4(d)(iii).</w:t>
      </w:r>
    </w:p>
    <w:p>
      <w:pPr>
        <w:spacing w:after="0" w:line="235" w:lineRule="exact"/>
        <w:rPr>
          <w:sz w:val="20"/>
          <w:szCs w:val="20"/>
          <w:color w:val="auto"/>
        </w:rPr>
      </w:pPr>
    </w:p>
    <w:p>
      <w:pPr>
        <w:ind w:right="20" w:firstLine="656"/>
        <w:spacing w:after="0" w:line="277" w:lineRule="auto"/>
        <w:tabs>
          <w:tab w:leader="none" w:pos="109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73" w:lineRule="auto"/>
        <w:tabs>
          <w:tab w:leader="none" w:pos="171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64" w:lineRule="exact"/>
        <w:rPr>
          <w:rFonts w:ascii="Arial" w:cs="Arial" w:eastAsia="Arial" w:hAnsi="Arial"/>
          <w:sz w:val="17"/>
          <w:szCs w:val="17"/>
          <w:color w:val="auto"/>
        </w:rPr>
      </w:pPr>
    </w:p>
    <w:p>
      <w:pPr>
        <w:jc w:val="both"/>
        <w:ind w:left="660" w:firstLine="644"/>
        <w:spacing w:after="0" w:line="255" w:lineRule="auto"/>
        <w:tabs>
          <w:tab w:leader="none" w:pos="176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5" w:lineRule="exact"/>
        <w:rPr>
          <w:rFonts w:ascii="Arial" w:cs="Arial" w:eastAsia="Arial" w:hAnsi="Arial"/>
          <w:sz w:val="18"/>
          <w:szCs w:val="18"/>
          <w:color w:val="auto"/>
        </w:rPr>
      </w:pPr>
    </w:p>
    <w:p>
      <w:pPr>
        <w:ind w:left="1680" w:hanging="376"/>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00" w:right="20" w:firstLine="652"/>
        <w:spacing w:after="0" w:line="277" w:lineRule="auto"/>
        <w:tabs>
          <w:tab w:leader="none" w:pos="2298"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56" w:lineRule="exact"/>
        <w:rPr>
          <w:rFonts w:ascii="Arial" w:cs="Arial" w:eastAsia="Arial" w:hAnsi="Arial"/>
          <w:sz w:val="18"/>
          <w:szCs w:val="18"/>
          <w:color w:val="auto"/>
        </w:rPr>
      </w:pPr>
    </w:p>
    <w:p>
      <w:pPr>
        <w:ind w:left="2980" w:hanging="380"/>
        <w:spacing w:after="0"/>
        <w:tabs>
          <w:tab w:leader="none" w:pos="2980" w:val="left"/>
        </w:tabs>
        <w:numPr>
          <w:ilvl w:val="3"/>
          <w:numId w:val="16"/>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98" w:lineRule="exact"/>
        <w:rPr>
          <w:rFonts w:ascii="Arial" w:cs="Arial" w:eastAsia="Arial" w:hAnsi="Arial"/>
          <w:sz w:val="18"/>
          <w:szCs w:val="18"/>
          <w:color w:val="auto"/>
        </w:rPr>
      </w:pPr>
    </w:p>
    <w:p>
      <w:pPr>
        <w:jc w:val="both"/>
        <w:ind w:left="2600" w:firstLine="648"/>
        <w:spacing w:after="0" w:line="259" w:lineRule="auto"/>
        <w:tabs>
          <w:tab w:leader="none" w:pos="3606" w:val="left"/>
        </w:tabs>
        <w:numPr>
          <w:ilvl w:val="4"/>
          <w:numId w:val="16"/>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3" w:lineRule="exact"/>
        <w:rPr>
          <w:rFonts w:ascii="Arial" w:cs="Arial" w:eastAsia="Arial" w:hAnsi="Arial"/>
          <w:sz w:val="18"/>
          <w:szCs w:val="18"/>
          <w:color w:val="auto"/>
        </w:rPr>
      </w:pPr>
    </w:p>
    <w:p>
      <w:pPr>
        <w:jc w:val="both"/>
        <w:ind w:left="2600" w:firstLine="648"/>
        <w:spacing w:after="0" w:line="263" w:lineRule="auto"/>
        <w:tabs>
          <w:tab w:leader="none" w:pos="3601" w:val="left"/>
        </w:tabs>
        <w:numPr>
          <w:ilvl w:val="4"/>
          <w:numId w:val="16"/>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0" w:lineRule="exact"/>
        <w:rPr>
          <w:rFonts w:ascii="Arial" w:cs="Arial" w:eastAsia="Arial" w:hAnsi="Arial"/>
          <w:sz w:val="18"/>
          <w:szCs w:val="18"/>
          <w:color w:val="auto"/>
        </w:rPr>
      </w:pPr>
    </w:p>
    <w:p>
      <w:pPr>
        <w:ind w:left="1960" w:firstLine="640"/>
        <w:spacing w:after="0" w:line="277" w:lineRule="auto"/>
        <w:tabs>
          <w:tab w:leader="none" w:pos="3022" w:val="left"/>
        </w:tabs>
        <w:numPr>
          <w:ilvl w:val="3"/>
          <w:numId w:val="16"/>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43" w:lineRule="exact"/>
        <w:rPr>
          <w:rFonts w:ascii="Arial" w:cs="Arial" w:eastAsia="Arial" w:hAnsi="Arial"/>
          <w:sz w:val="18"/>
          <w:szCs w:val="18"/>
          <w:color w:val="auto"/>
        </w:rPr>
      </w:pPr>
    </w:p>
    <w:p>
      <w:pPr>
        <w:jc w:val="both"/>
        <w:ind w:left="1960" w:firstLine="640"/>
        <w:spacing w:after="0" w:line="263" w:lineRule="auto"/>
        <w:tabs>
          <w:tab w:leader="none" w:pos="3029" w:val="left"/>
        </w:tabs>
        <w:numPr>
          <w:ilvl w:val="3"/>
          <w:numId w:val="16"/>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0" w:lineRule="exact"/>
        <w:rPr>
          <w:rFonts w:ascii="Arial" w:cs="Arial" w:eastAsia="Arial" w:hAnsi="Arial"/>
          <w:sz w:val="18"/>
          <w:szCs w:val="18"/>
          <w:color w:val="auto"/>
        </w:rPr>
      </w:pPr>
    </w:p>
    <w:p>
      <w:pPr>
        <w:ind w:left="1300" w:firstLine="652"/>
        <w:spacing w:after="0" w:line="308" w:lineRule="auto"/>
        <w:tabs>
          <w:tab w:leader="none" w:pos="2348"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32" w:lineRule="exact"/>
        <w:rPr>
          <w:rFonts w:ascii="Arial" w:cs="Arial" w:eastAsia="Arial" w:hAnsi="Arial"/>
          <w:sz w:val="17"/>
          <w:szCs w:val="17"/>
          <w:color w:val="auto"/>
        </w:rPr>
      </w:pPr>
    </w:p>
    <w:p>
      <w:pPr>
        <w:jc w:val="both"/>
        <w:ind w:left="1300" w:firstLine="652"/>
        <w:spacing w:after="0" w:line="275" w:lineRule="auto"/>
        <w:tabs>
          <w:tab w:leader="none" w:pos="2425"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both"/>
        <w:ind w:left="180"/>
        <w:spacing w:after="0" w:line="279" w:lineRule="auto"/>
        <w:rPr>
          <w:sz w:val="20"/>
          <w:szCs w:val="20"/>
          <w:color w:val="auto"/>
        </w:rPr>
      </w:pPr>
      <w:r>
        <w:rPr>
          <w:rFonts w:ascii="Arial" w:cs="Arial" w:eastAsia="Arial" w:hAnsi="Arial"/>
          <w:sz w:val="17"/>
          <w:szCs w:val="17"/>
          <w:color w:val="auto"/>
        </w:rPr>
        <w:t>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58" w:lineRule="exact"/>
        <w:rPr>
          <w:sz w:val="20"/>
          <w:szCs w:val="20"/>
          <w:color w:val="auto"/>
        </w:rPr>
      </w:pPr>
    </w:p>
    <w:p>
      <w:pPr>
        <w:ind w:left="580" w:hanging="39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80" w:firstLine="652"/>
        <w:spacing w:after="0" w:line="263" w:lineRule="auto"/>
        <w:tabs>
          <w:tab w:leader="none" w:pos="120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0"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72"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43" w:lineRule="exact"/>
        <w:rPr>
          <w:sz w:val="20"/>
          <w:szCs w:val="20"/>
          <w:color w:val="auto"/>
        </w:rPr>
      </w:pPr>
    </w:p>
    <w:p>
      <w:pPr>
        <w:jc w:val="both"/>
        <w:ind w:left="180" w:firstLine="652"/>
        <w:spacing w:after="0" w:line="290" w:lineRule="auto"/>
        <w:tabs>
          <w:tab w:leader="none" w:pos="128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51" w:lineRule="exact"/>
        <w:rPr>
          <w:rFonts w:ascii="Arial" w:cs="Arial" w:eastAsia="Arial" w:hAnsi="Arial"/>
          <w:sz w:val="16"/>
          <w:szCs w:val="16"/>
          <w:color w:val="auto"/>
        </w:rPr>
      </w:pPr>
    </w:p>
    <w:p>
      <w:pPr>
        <w:jc w:val="both"/>
        <w:ind w:left="180" w:firstLine="652"/>
        <w:spacing w:after="0" w:line="254" w:lineRule="auto"/>
        <w:tabs>
          <w:tab w:leader="none" w:pos="134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rFonts w:ascii="Arial" w:cs="Arial" w:eastAsia="Arial" w:hAnsi="Arial"/>
          <w:sz w:val="18"/>
          <w:szCs w:val="18"/>
          <w:color w:val="auto"/>
        </w:rPr>
      </w:pPr>
    </w:p>
    <w:p>
      <w:pPr>
        <w:jc w:val="both"/>
        <w:ind w:left="180" w:firstLine="652"/>
        <w:spacing w:after="0" w:line="273" w:lineRule="auto"/>
        <w:tabs>
          <w:tab w:leader="none" w:pos="144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895" w:right="339" w:bottom="1440" w:gutter="0" w:footer="0" w:header="0"/>
        </w:sectPr>
      </w:pPr>
    </w:p>
    <w:bookmarkStart w:id="10" w:name="page11"/>
    <w:bookmarkEnd w:id="10"/>
    <w:p>
      <w:pPr>
        <w:jc w:val="both"/>
        <w:ind w:left="644"/>
        <w:spacing w:after="0" w:line="275" w:lineRule="auto"/>
        <w:rPr>
          <w:sz w:val="20"/>
          <w:szCs w:val="20"/>
          <w:color w:val="auto"/>
        </w:rPr>
      </w:pPr>
      <w:r>
        <w:rPr>
          <w:rFonts w:ascii="Arial" w:cs="Arial" w:eastAsia="Arial" w:hAnsi="Arial"/>
          <w:sz w:val="17"/>
          <w:szCs w:val="17"/>
          <w:color w:val="auto"/>
        </w:rPr>
        <w:t>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63" w:lineRule="exact"/>
        <w:rPr>
          <w:sz w:val="20"/>
          <w:szCs w:val="20"/>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 w:firstLine="644"/>
        <w:spacing w:after="0" w:line="308" w:lineRule="auto"/>
        <w:tabs>
          <w:tab w:leader="none" w:pos="1031"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2" w:lineRule="exact"/>
        <w:rPr>
          <w:rFonts w:ascii="Arial" w:cs="Arial" w:eastAsia="Arial" w:hAnsi="Arial"/>
          <w:sz w:val="17"/>
          <w:szCs w:val="17"/>
          <w:color w:val="auto"/>
        </w:rPr>
      </w:pPr>
    </w:p>
    <w:p>
      <w:pPr>
        <w:jc w:val="both"/>
        <w:ind w:left="4" w:firstLine="644"/>
        <w:spacing w:after="0" w:line="259" w:lineRule="auto"/>
        <w:tabs>
          <w:tab w:leader="none" w:pos="104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3" w:lineRule="exact"/>
        <w:rPr>
          <w:rFonts w:ascii="Arial" w:cs="Arial" w:eastAsia="Arial" w:hAnsi="Arial"/>
          <w:sz w:val="18"/>
          <w:szCs w:val="18"/>
          <w:color w:val="auto"/>
        </w:rPr>
      </w:pPr>
    </w:p>
    <w:p>
      <w:pPr>
        <w:ind w:left="4" w:right="20" w:firstLine="644"/>
        <w:spacing w:after="0" w:line="277" w:lineRule="auto"/>
        <w:tabs>
          <w:tab w:leader="none" w:pos="112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43" w:lineRule="exact"/>
        <w:rPr>
          <w:rFonts w:ascii="Arial" w:cs="Arial" w:eastAsia="Arial" w:hAnsi="Arial"/>
          <w:sz w:val="18"/>
          <w:szCs w:val="18"/>
          <w:color w:val="auto"/>
        </w:rPr>
      </w:pPr>
    </w:p>
    <w:p>
      <w:pPr>
        <w:ind w:left="4" w:firstLine="644"/>
        <w:spacing w:after="0" w:line="277" w:lineRule="auto"/>
        <w:tabs>
          <w:tab w:leader="none" w:pos="106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6" w:lineRule="exact"/>
        <w:rPr>
          <w:rFonts w:ascii="Arial" w:cs="Arial" w:eastAsia="Arial" w:hAnsi="Arial"/>
          <w:sz w:val="18"/>
          <w:szCs w:val="18"/>
          <w:color w:val="auto"/>
        </w:rPr>
      </w:pPr>
    </w:p>
    <w:p>
      <w:pPr>
        <w:jc w:val="both"/>
        <w:ind w:left="4" w:firstLine="644"/>
        <w:spacing w:after="0" w:line="259" w:lineRule="auto"/>
        <w:tabs>
          <w:tab w:leader="none" w:pos="109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3" w:lineRule="exact"/>
        <w:rPr>
          <w:rFonts w:ascii="Arial" w:cs="Arial" w:eastAsia="Arial" w:hAnsi="Arial"/>
          <w:sz w:val="18"/>
          <w:szCs w:val="18"/>
          <w:color w:val="auto"/>
        </w:rPr>
      </w:pPr>
    </w:p>
    <w:p>
      <w:pPr>
        <w:ind w:left="4" w:right="20" w:firstLine="644"/>
        <w:spacing w:after="0" w:line="277"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43" w:lineRule="exact"/>
        <w:rPr>
          <w:rFonts w:ascii="Arial" w:cs="Arial" w:eastAsia="Arial" w:hAnsi="Arial"/>
          <w:sz w:val="18"/>
          <w:szCs w:val="18"/>
          <w:color w:val="auto"/>
        </w:rPr>
      </w:pPr>
    </w:p>
    <w:p>
      <w:pPr>
        <w:jc w:val="both"/>
        <w:ind w:left="4" w:firstLine="644"/>
        <w:spacing w:after="0" w:line="259" w:lineRule="auto"/>
        <w:tabs>
          <w:tab w:leader="none" w:pos="106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73" w:lineRule="exact"/>
        <w:rPr>
          <w:rFonts w:ascii="Arial" w:cs="Arial" w:eastAsia="Arial" w:hAnsi="Arial"/>
          <w:sz w:val="18"/>
          <w:szCs w:val="18"/>
          <w:color w:val="auto"/>
        </w:rPr>
      </w:pPr>
    </w:p>
    <w:p>
      <w:pPr>
        <w:ind w:left="4" w:firstLine="644"/>
        <w:spacing w:after="0" w:line="277" w:lineRule="auto"/>
        <w:tabs>
          <w:tab w:leader="none" w:pos="106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56"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63" w:lineRule="auto"/>
        <w:tabs>
          <w:tab w:leader="none" w:pos="111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0" w:lineRule="exact"/>
        <w:rPr>
          <w:rFonts w:ascii="Arial" w:cs="Arial" w:eastAsia="Arial" w:hAnsi="Arial"/>
          <w:sz w:val="18"/>
          <w:szCs w:val="18"/>
          <w:color w:val="auto"/>
        </w:rPr>
      </w:pPr>
    </w:p>
    <w:p>
      <w:pPr>
        <w:jc w:val="both"/>
        <w:ind w:left="4" w:firstLine="644"/>
        <w:spacing w:after="0" w:line="259" w:lineRule="auto"/>
        <w:tabs>
          <w:tab w:leader="none" w:pos="109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73" w:lineRule="exact"/>
        <w:rPr>
          <w:rFonts w:ascii="Arial" w:cs="Arial" w:eastAsia="Arial" w:hAnsi="Arial"/>
          <w:sz w:val="18"/>
          <w:szCs w:val="18"/>
          <w:color w:val="auto"/>
        </w:rPr>
      </w:pPr>
    </w:p>
    <w:p>
      <w:pPr>
        <w:ind w:left="4" w:firstLine="644"/>
        <w:spacing w:after="0" w:line="277" w:lineRule="auto"/>
        <w:tabs>
          <w:tab w:leader="none" w:pos="105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895" w:right="339" w:bottom="1440" w:gutter="0" w:footer="0" w:header="0"/>
        </w:sectPr>
      </w:pPr>
    </w:p>
    <w:bookmarkStart w:id="11" w:name="page12"/>
    <w:bookmarkEnd w:id="11"/>
    <w:p>
      <w:pPr>
        <w:ind w:left="4"/>
        <w:spacing w:after="0" w:line="277" w:lineRule="auto"/>
        <w:rPr>
          <w:sz w:val="20"/>
          <w:szCs w:val="20"/>
          <w:color w:val="auto"/>
        </w:rPr>
      </w:pPr>
      <w:r>
        <w:rPr>
          <w:rFonts w:ascii="Arial" w:cs="Arial" w:eastAsia="Arial" w:hAnsi="Arial"/>
          <w:sz w:val="18"/>
          <w:szCs w:val="18"/>
          <w:color w:val="auto"/>
        </w:rPr>
        <w:t>grant of Restricted Stock Units, the Administrator, in its sole discretion, may reduce or waive any vesting criteria that must be met to receive a payout.</w:t>
      </w:r>
    </w:p>
    <w:p>
      <w:pPr>
        <w:spacing w:after="0" w:line="157" w:lineRule="exact"/>
        <w:rPr>
          <w:sz w:val="20"/>
          <w:szCs w:val="20"/>
          <w:color w:val="auto"/>
        </w:rPr>
      </w:pPr>
    </w:p>
    <w:p>
      <w:pPr>
        <w:jc w:val="both"/>
        <w:ind w:left="4" w:firstLine="644"/>
        <w:spacing w:after="0" w:line="263" w:lineRule="auto"/>
        <w:tabs>
          <w:tab w:leader="none" w:pos="1123"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56" w:lineRule="exact"/>
        <w:rPr>
          <w:rFonts w:ascii="Arial" w:cs="Arial" w:eastAsia="Arial" w:hAnsi="Arial"/>
          <w:sz w:val="18"/>
          <w:szCs w:val="18"/>
          <w:color w:val="auto"/>
        </w:rPr>
      </w:pPr>
    </w:p>
    <w:p>
      <w:pPr>
        <w:ind w:left="1024" w:hanging="376"/>
        <w:spacing w:after="0"/>
        <w:tabs>
          <w:tab w:leader="none" w:pos="102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34" w:lineRule="exact"/>
        <w:rPr>
          <w:rFonts w:ascii="Arial" w:cs="Arial" w:eastAsia="Arial" w:hAnsi="Arial"/>
          <w:sz w:val="16"/>
          <w:szCs w:val="16"/>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firstLine="644"/>
        <w:spacing w:after="0" w:line="277" w:lineRule="auto"/>
        <w:tabs>
          <w:tab w:leader="none" w:pos="1045"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43" w:lineRule="exact"/>
        <w:rPr>
          <w:rFonts w:ascii="Arial" w:cs="Arial" w:eastAsia="Arial" w:hAnsi="Arial"/>
          <w:sz w:val="18"/>
          <w:szCs w:val="18"/>
          <w:color w:val="auto"/>
        </w:rPr>
      </w:pPr>
    </w:p>
    <w:p>
      <w:pPr>
        <w:ind w:left="4" w:firstLine="644"/>
        <w:spacing w:after="0" w:line="277" w:lineRule="auto"/>
        <w:tabs>
          <w:tab w:leader="none" w:pos="1055"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6" w:lineRule="exact"/>
        <w:rPr>
          <w:rFonts w:ascii="Arial" w:cs="Arial" w:eastAsia="Arial" w:hAnsi="Arial"/>
          <w:sz w:val="18"/>
          <w:szCs w:val="18"/>
          <w:color w:val="auto"/>
        </w:rPr>
      </w:pPr>
    </w:p>
    <w:p>
      <w:pPr>
        <w:jc w:val="both"/>
        <w:ind w:left="4" w:firstLine="644"/>
        <w:spacing w:after="0" w:line="257" w:lineRule="auto"/>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74" w:lineRule="exact"/>
        <w:rPr>
          <w:rFonts w:ascii="Arial" w:cs="Arial" w:eastAsia="Arial" w:hAnsi="Arial"/>
          <w:sz w:val="18"/>
          <w:szCs w:val="18"/>
          <w:color w:val="auto"/>
        </w:rPr>
      </w:pPr>
    </w:p>
    <w:p>
      <w:pPr>
        <w:jc w:val="both"/>
        <w:ind w:left="4" w:firstLine="644"/>
        <w:spacing w:after="0" w:line="263" w:lineRule="auto"/>
        <w:tabs>
          <w:tab w:leader="none" w:pos="110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56" w:lineRule="exact"/>
        <w:rPr>
          <w:rFonts w:ascii="Arial" w:cs="Arial" w:eastAsia="Arial" w:hAnsi="Arial"/>
          <w:sz w:val="18"/>
          <w:szCs w:val="18"/>
          <w:color w:val="auto"/>
        </w:rPr>
      </w:pPr>
    </w:p>
    <w:p>
      <w:pPr>
        <w:jc w:val="both"/>
        <w:ind w:left="4" w:firstLine="644"/>
        <w:spacing w:after="0" w:line="263" w:lineRule="auto"/>
        <w:tabs>
          <w:tab w:leader="none" w:pos="1058"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0" w:lineRule="exact"/>
        <w:rPr>
          <w:rFonts w:ascii="Arial" w:cs="Arial" w:eastAsia="Arial" w:hAnsi="Arial"/>
          <w:sz w:val="18"/>
          <w:szCs w:val="18"/>
          <w:color w:val="auto"/>
        </w:rPr>
      </w:pPr>
    </w:p>
    <w:p>
      <w:pPr>
        <w:jc w:val="both"/>
        <w:ind w:left="4" w:firstLine="644"/>
        <w:spacing w:after="0" w:line="257" w:lineRule="auto"/>
        <w:tabs>
          <w:tab w:leader="none" w:pos="101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74" w:lineRule="exact"/>
        <w:rPr>
          <w:rFonts w:ascii="Arial" w:cs="Arial" w:eastAsia="Arial" w:hAnsi="Arial"/>
          <w:sz w:val="18"/>
          <w:szCs w:val="18"/>
          <w:color w:val="auto"/>
        </w:rPr>
      </w:pPr>
    </w:p>
    <w:p>
      <w:pPr>
        <w:ind w:left="404" w:hanging="404"/>
        <w:spacing w:after="0"/>
        <w:tabs>
          <w:tab w:leader="none" w:pos="40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63" w:lineRule="auto"/>
        <w:tabs>
          <w:tab w:leader="none" w:pos="107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0" w:lineRule="exact"/>
        <w:rPr>
          <w:rFonts w:ascii="Arial" w:cs="Arial" w:eastAsia="Arial" w:hAnsi="Arial"/>
          <w:sz w:val="18"/>
          <w:szCs w:val="18"/>
          <w:color w:val="auto"/>
        </w:rPr>
      </w:pPr>
    </w:p>
    <w:p>
      <w:pPr>
        <w:ind w:left="4" w:firstLine="644"/>
        <w:spacing w:after="0" w:line="342" w:lineRule="auto"/>
        <w:tabs>
          <w:tab w:leader="none" w:pos="105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10" w:lineRule="exact"/>
        <w:rPr>
          <w:rFonts w:ascii="Arial" w:cs="Arial" w:eastAsia="Arial" w:hAnsi="Arial"/>
          <w:sz w:val="16"/>
          <w:szCs w:val="16"/>
          <w:color w:val="auto"/>
        </w:rPr>
      </w:pPr>
    </w:p>
    <w:p>
      <w:pPr>
        <w:jc w:val="both"/>
        <w:ind w:left="4" w:firstLine="644"/>
        <w:spacing w:after="0" w:line="275" w:lineRule="auto"/>
        <w:tabs>
          <w:tab w:leader="none" w:pos="1031"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895" w:right="339" w:bottom="1440" w:gutter="0" w:footer="0" w:header="0"/>
        </w:sectPr>
      </w:pPr>
    </w:p>
    <w:bookmarkStart w:id="12" w:name="page13"/>
    <w:bookmarkEnd w:id="12"/>
    <w:p>
      <w:pPr>
        <w:jc w:val="both"/>
        <w:ind w:left="660"/>
        <w:spacing w:after="0" w:line="263" w:lineRule="auto"/>
        <w:rPr>
          <w:sz w:val="20"/>
          <w:szCs w:val="20"/>
          <w:color w:val="auto"/>
        </w:rPr>
      </w:pPr>
      <w:r>
        <w:rPr>
          <w:rFonts w:ascii="Arial" w:cs="Arial" w:eastAsia="Arial" w:hAnsi="Arial"/>
          <w:sz w:val="18"/>
          <w:szCs w:val="18"/>
          <w:color w:val="auto"/>
        </w:rPr>
        <w:t>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70" w:lineRule="exact"/>
        <w:rPr>
          <w:sz w:val="20"/>
          <w:szCs w:val="20"/>
          <w:color w:val="auto"/>
        </w:rPr>
      </w:pPr>
    </w:p>
    <w:p>
      <w:pPr>
        <w:jc w:val="both"/>
        <w:ind w:left="660" w:firstLine="644"/>
        <w:spacing w:after="0" w:line="257" w:lineRule="auto"/>
        <w:tabs>
          <w:tab w:leader="none" w:pos="172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60" w:lineRule="exact"/>
        <w:rPr>
          <w:rFonts w:ascii="Arial" w:cs="Arial" w:eastAsia="Arial" w:hAnsi="Arial"/>
          <w:sz w:val="18"/>
          <w:szCs w:val="18"/>
          <w:color w:val="auto"/>
        </w:rPr>
      </w:pPr>
    </w:p>
    <w:p>
      <w:pPr>
        <w:jc w:val="both"/>
        <w:ind w:left="660" w:firstLine="644"/>
        <w:spacing w:after="0" w:line="259" w:lineRule="auto"/>
        <w:tabs>
          <w:tab w:leader="none" w:pos="171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3" w:lineRule="exact"/>
        <w:rPr>
          <w:rFonts w:ascii="Arial" w:cs="Arial" w:eastAsia="Arial" w:hAnsi="Arial"/>
          <w:sz w:val="18"/>
          <w:szCs w:val="18"/>
          <w:color w:val="auto"/>
        </w:rPr>
      </w:pPr>
    </w:p>
    <w:p>
      <w:pPr>
        <w:ind w:left="660" w:firstLine="644"/>
        <w:spacing w:after="0" w:line="277" w:lineRule="auto"/>
        <w:tabs>
          <w:tab w:leader="none" w:pos="173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56" w:lineRule="exact"/>
        <w:rPr>
          <w:rFonts w:ascii="Arial" w:cs="Arial" w:eastAsia="Arial" w:hAnsi="Arial"/>
          <w:sz w:val="18"/>
          <w:szCs w:val="18"/>
          <w:color w:val="auto"/>
        </w:rPr>
      </w:pPr>
    </w:p>
    <w:p>
      <w:pPr>
        <w:jc w:val="both"/>
        <w:ind w:firstLine="656"/>
        <w:spacing w:after="0" w:line="25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Absence/Transfers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67" w:lineRule="exact"/>
        <w:rPr>
          <w:rFonts w:ascii="Arial" w:cs="Arial" w:eastAsia="Arial" w:hAnsi="Arial"/>
          <w:sz w:val="18"/>
          <w:szCs w:val="18"/>
          <w:color w:val="auto"/>
        </w:rPr>
      </w:pPr>
    </w:p>
    <w:p>
      <w:pPr>
        <w:jc w:val="both"/>
        <w:ind w:firstLine="656"/>
        <w:spacing w:after="0" w:line="279"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57" w:lineRule="exact"/>
        <w:rPr>
          <w:rFonts w:ascii="Arial" w:cs="Arial" w:eastAsia="Arial" w:hAnsi="Arial"/>
          <w:sz w:val="17"/>
          <w:szCs w:val="17"/>
          <w:color w:val="auto"/>
        </w:rPr>
      </w:pPr>
    </w:p>
    <w:p>
      <w:pPr>
        <w:ind w:left="1060" w:hanging="40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73" w:lineRule="auto"/>
        <w:tabs>
          <w:tab w:leader="none" w:pos="1755"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50" w:lineRule="exact"/>
        <w:rPr>
          <w:rFonts w:ascii="Arial" w:cs="Arial" w:eastAsia="Arial" w:hAnsi="Arial"/>
          <w:sz w:val="17"/>
          <w:szCs w:val="17"/>
          <w:color w:val="auto"/>
        </w:rPr>
      </w:pPr>
    </w:p>
    <w:p>
      <w:pPr>
        <w:jc w:val="both"/>
        <w:ind w:left="660" w:firstLine="644"/>
        <w:spacing w:after="0" w:line="263" w:lineRule="auto"/>
        <w:tabs>
          <w:tab w:leader="none" w:pos="175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1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73"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5" w:right="339" w:bottom="1440" w:gutter="0" w:footer="0" w:header="0"/>
        </w:sectPr>
      </w:pPr>
    </w:p>
    <w:bookmarkStart w:id="13" w:name="page14"/>
    <w:bookmarkEnd w:id="13"/>
    <w:p>
      <w:pPr>
        <w:jc w:val="both"/>
        <w:ind w:left="4"/>
        <w:spacing w:after="0" w:line="273" w:lineRule="auto"/>
        <w:rPr>
          <w:sz w:val="20"/>
          <w:szCs w:val="20"/>
          <w:color w:val="auto"/>
        </w:rPr>
      </w:pPr>
      <w:r>
        <w:rPr>
          <w:rFonts w:ascii="Arial" w:cs="Arial" w:eastAsia="Arial" w:hAnsi="Arial"/>
          <w:sz w:val="17"/>
          <w:szCs w:val="17"/>
          <w:color w:val="auto"/>
        </w:rPr>
        <w:t>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4"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54"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58" w:lineRule="exact"/>
        <w:rPr>
          <w:sz w:val="20"/>
          <w:szCs w:val="20"/>
          <w:color w:val="auto"/>
        </w:rPr>
      </w:pPr>
    </w:p>
    <w:p>
      <w:pPr>
        <w:jc w:val="both"/>
        <w:ind w:left="4" w:firstLine="644"/>
        <w:spacing w:after="0" w:line="272" w:lineRule="auto"/>
        <w:tabs>
          <w:tab w:leader="none" w:pos="1042"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Outside Director Awards</w:t>
      </w:r>
      <w:r>
        <w:rPr>
          <w:rFonts w:ascii="Arial" w:cs="Arial" w:eastAsia="Arial" w:hAnsi="Arial"/>
          <w:sz w:val="17"/>
          <w:szCs w:val="17"/>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63" w:lineRule="exact"/>
        <w:rPr>
          <w:rFonts w:ascii="Arial" w:cs="Arial" w:eastAsia="Arial" w:hAnsi="Arial"/>
          <w:sz w:val="17"/>
          <w:szCs w:val="17"/>
          <w:color w:val="auto"/>
        </w:rPr>
      </w:pPr>
    </w:p>
    <w:p>
      <w:pPr>
        <w:ind w:left="404" w:hanging="404"/>
        <w:spacing w:after="0"/>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311" w:lineRule="auto"/>
        <w:tabs>
          <w:tab w:leader="none" w:pos="1031"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35" w:lineRule="exact"/>
        <w:rPr>
          <w:rFonts w:ascii="Arial" w:cs="Arial" w:eastAsia="Arial" w:hAnsi="Arial"/>
          <w:sz w:val="16"/>
          <w:szCs w:val="16"/>
          <w:color w:val="auto"/>
        </w:rPr>
      </w:pPr>
    </w:p>
    <w:p>
      <w:pPr>
        <w:jc w:val="both"/>
        <w:ind w:left="4" w:firstLine="644"/>
        <w:spacing w:after="0" w:line="255" w:lineRule="auto"/>
        <w:tabs>
          <w:tab w:leader="none" w:pos="104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78" w:lineRule="exact"/>
        <w:rPr>
          <w:rFonts w:ascii="Arial" w:cs="Arial" w:eastAsia="Arial" w:hAnsi="Arial"/>
          <w:sz w:val="18"/>
          <w:szCs w:val="18"/>
          <w:color w:val="auto"/>
        </w:rPr>
      </w:pPr>
    </w:p>
    <w:p>
      <w:pPr>
        <w:jc w:val="both"/>
        <w:ind w:left="4" w:firstLine="644"/>
        <w:spacing w:after="0" w:line="254" w:lineRule="auto"/>
        <w:tabs>
          <w:tab w:leader="none" w:pos="104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895"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7"/>
          <w:szCs w:val="17"/>
          <w:color w:val="auto"/>
        </w:rPr>
        <w:t>such that the grant, payment, settlement or deferral will not be subject to the additional tax or interest applicable under Code Section 409A.</w:t>
      </w:r>
    </w:p>
    <w:p>
      <w:pPr>
        <w:spacing w:after="0" w:line="223" w:lineRule="exact"/>
        <w:rPr>
          <w:sz w:val="20"/>
          <w:szCs w:val="20"/>
          <w:color w:val="auto"/>
        </w:rPr>
      </w:pPr>
    </w:p>
    <w:p>
      <w:pPr>
        <w:jc w:val="both"/>
        <w:ind w:firstLine="656"/>
        <w:spacing w:after="0" w:line="263"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56" w:lineRule="exact"/>
        <w:rPr>
          <w:rFonts w:ascii="Arial" w:cs="Arial" w:eastAsia="Arial" w:hAnsi="Arial"/>
          <w:sz w:val="18"/>
          <w:szCs w:val="18"/>
          <w:color w:val="auto"/>
        </w:rPr>
      </w:pPr>
    </w:p>
    <w:p>
      <w:pPr>
        <w:jc w:val="both"/>
        <w:ind w:firstLine="656"/>
        <w:spacing w:after="0" w:line="263"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0" w:lineRule="exact"/>
        <w:rPr>
          <w:rFonts w:ascii="Arial" w:cs="Arial" w:eastAsia="Arial" w:hAnsi="Arial"/>
          <w:sz w:val="18"/>
          <w:szCs w:val="18"/>
          <w:color w:val="auto"/>
        </w:rPr>
      </w:pPr>
    </w:p>
    <w:p>
      <w:pPr>
        <w:ind w:firstLine="656"/>
        <w:spacing w:after="0" w:line="308" w:lineRule="auto"/>
        <w:tabs>
          <w:tab w:leader="none" w:pos="105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Subject to Section 22 of the Plan, the Plan will become effective upon the Amendment Effective Date. It will continue in effect for a term of ten (10) years from the date the Existing Plan was adopted by the Board, unless terminated earlier under Section 18 of the Plan.</w:t>
      </w:r>
    </w:p>
    <w:p>
      <w:pPr>
        <w:spacing w:after="0" w:line="132" w:lineRule="exact"/>
        <w:rPr>
          <w:rFonts w:ascii="Arial" w:cs="Arial" w:eastAsia="Arial" w:hAnsi="Arial"/>
          <w:sz w:val="17"/>
          <w:szCs w:val="17"/>
          <w:color w:val="auto"/>
        </w:rPr>
      </w:pPr>
    </w:p>
    <w:p>
      <w:pPr>
        <w:ind w:left="1060" w:hanging="40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80" w:hanging="376"/>
        <w:spacing w:after="0"/>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11" w:lineRule="exact"/>
        <w:rPr>
          <w:rFonts w:ascii="Arial" w:cs="Arial" w:eastAsia="Arial" w:hAnsi="Arial"/>
          <w:sz w:val="18"/>
          <w:szCs w:val="18"/>
          <w:color w:val="auto"/>
        </w:rPr>
      </w:pPr>
    </w:p>
    <w:p>
      <w:pPr>
        <w:ind w:left="660" w:firstLine="644"/>
        <w:spacing w:after="0" w:line="277" w:lineRule="auto"/>
        <w:tabs>
          <w:tab w:leader="none" w:pos="169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56" w:lineRule="exact"/>
        <w:rPr>
          <w:rFonts w:ascii="Arial" w:cs="Arial" w:eastAsia="Arial" w:hAnsi="Arial"/>
          <w:sz w:val="18"/>
          <w:szCs w:val="18"/>
          <w:color w:val="auto"/>
        </w:rPr>
      </w:pPr>
    </w:p>
    <w:p>
      <w:pPr>
        <w:jc w:val="both"/>
        <w:ind w:left="660" w:firstLine="644"/>
        <w:spacing w:after="0" w:line="259" w:lineRule="auto"/>
        <w:tabs>
          <w:tab w:leader="none" w:pos="170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59" w:lineRule="exact"/>
        <w:rPr>
          <w:rFonts w:ascii="Arial" w:cs="Arial" w:eastAsia="Arial" w:hAnsi="Arial"/>
          <w:sz w:val="18"/>
          <w:szCs w:val="18"/>
          <w:color w:val="auto"/>
        </w:rPr>
      </w:pPr>
    </w:p>
    <w:p>
      <w:pPr>
        <w:ind w:left="1060" w:hanging="40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63" w:lineRule="auto"/>
        <w:tabs>
          <w:tab w:leader="none" w:pos="178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79"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38" w:lineRule="exact"/>
        <w:rPr>
          <w:rFonts w:ascii="Arial" w:cs="Arial" w:eastAsia="Arial" w:hAnsi="Arial"/>
          <w:sz w:val="17"/>
          <w:szCs w:val="17"/>
          <w:color w:val="auto"/>
        </w:rPr>
      </w:pPr>
    </w:p>
    <w:p>
      <w:pPr>
        <w:jc w:val="both"/>
        <w:ind w:firstLine="656"/>
        <w:spacing w:after="0" w:line="263"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90" w:lineRule="auto"/>
        <w:tabs>
          <w:tab w:leader="none" w:pos="1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5" w:right="339" w:bottom="1440" w:gutter="0" w:footer="0" w:header="0"/>
        </w:sectPr>
      </w:pPr>
    </w:p>
    <w:bookmarkStart w:id="15" w:name="page16"/>
    <w:bookmarkEnd w:id="15"/>
    <w:p>
      <w:pPr>
        <w:jc w:val="both"/>
        <w:ind w:left="660" w:firstLine="644"/>
        <w:spacing w:after="0" w:line="275" w:lineRule="auto"/>
        <w:tabs>
          <w:tab w:leader="none" w:pos="17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62" w:lineRule="exact"/>
        <w:rPr>
          <w:rFonts w:ascii="Arial" w:cs="Arial" w:eastAsia="Arial" w:hAnsi="Arial"/>
          <w:sz w:val="17"/>
          <w:szCs w:val="17"/>
          <w:color w:val="auto"/>
        </w:rPr>
      </w:pPr>
    </w:p>
    <w:p>
      <w:pPr>
        <w:ind w:firstLine="656"/>
        <w:spacing w:after="0" w:line="277" w:lineRule="auto"/>
        <w:tabs>
          <w:tab w:leader="none" w:pos="10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This amendment of the Plan is subject to, and contingent upon, stockholder approval at the 2021 Annual Meeting of Stockholders.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519B500D"/>
    <w:multiLevelType w:val="hybridMultilevel"/>
    <w:lvl w:ilvl="0">
      <w:lvlJc w:val="left"/>
      <w:lvlText w:val="(%1)"/>
      <w:numFmt w:val="lowerLetter"/>
      <w:start w:val="8"/>
    </w:lvl>
  </w:abstractNum>
  <w:abstractNum w:abstractNumId="7">
    <w:nsid w:val="431BD7B7"/>
    <w:multiLevelType w:val="hybridMultilevel"/>
    <w:lvl w:ilvl="0">
      <w:lvlJc w:val="left"/>
      <w:lvlText w:val="(%1)"/>
      <w:numFmt w:val="lowerLetter"/>
      <w:start w:val="18"/>
    </w:lvl>
    <w:lvl w:ilvl="1">
      <w:lvlJc w:val="left"/>
      <w:lvlText w:val="(%2)"/>
      <w:numFmt w:val="lowerRoman"/>
      <w:start w:val="1"/>
    </w:lvl>
  </w:abstractNum>
  <w:abstractNum w:abstractNumId="8">
    <w:nsid w:val="3F2DBA31"/>
    <w:multiLevelType w:val="hybridMultilevel"/>
    <w:lvl w:ilvl="0">
      <w:lvlJc w:val="left"/>
      <w:lvlText w:val="(%1)"/>
      <w:numFmt w:val="lowerLetter"/>
      <w:start w:val="27"/>
    </w:lvl>
  </w:abstractNum>
  <w:abstractNum w:abstractNumId="9">
    <w:nsid w:val="7C83E458"/>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10">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62BBD95A"/>
    <w:multiLevelType w:val="hybridMultilevel"/>
    <w:lvl w:ilvl="0">
      <w:lvlJc w:val="left"/>
      <w:lvlText w:val="%1"/>
      <w:numFmt w:val="lowerLetter"/>
      <w:start w:val="1"/>
    </w:lvl>
    <w:lvl w:ilvl="1">
      <w:lvlJc w:val="left"/>
      <w:lvlText w:val="(%2)"/>
      <w:numFmt w:val="lowerLetter"/>
      <w:start w:val="61"/>
    </w:lvl>
  </w:abstractNum>
  <w:abstractNum w:abstractNumId="12">
    <w:nsid w:val="436C6125"/>
    <w:multiLevelType w:val="hybridMultilevel"/>
    <w:lvl w:ilvl="0">
      <w:lvlJc w:val="left"/>
      <w:lvlText w:val="(%1)"/>
      <w:numFmt w:val="lowerLetter"/>
      <w:start w:val="2"/>
    </w:lvl>
    <w:lvl w:ilvl="1">
      <w:lvlJc w:val="left"/>
      <w:lvlText w:val="(%2)"/>
      <w:numFmt w:val="lowerLetter"/>
      <w:start w:val="9"/>
    </w:lvl>
  </w:abstractNum>
  <w:abstractNum w:abstractNumId="13">
    <w:nsid w:val="628C895D"/>
    <w:multiLevelType w:val="hybridMultilevel"/>
    <w:lvl w:ilvl="0">
      <w:lvlJc w:val="left"/>
      <w:lvlText w:val="%1"/>
      <w:numFmt w:val="lowerLetter"/>
      <w:start w:val="1"/>
    </w:lvl>
    <w:lvl w:ilvl="1">
      <w:lvlJc w:val="left"/>
      <w:lvlText w:val="(%2)"/>
      <w:numFmt w:val="lowerRoman"/>
      <w:start w:val="2"/>
    </w:lvl>
  </w:abstractNum>
  <w:abstractNum w:abstractNumId="14">
    <w:nsid w:val="333AB105"/>
    <w:multiLevelType w:val="hybridMultilevel"/>
    <w:lvl w:ilvl="0">
      <w:lvlJc w:val="left"/>
      <w:lvlText w:val="(%1)"/>
      <w:numFmt w:val="lowerLetter"/>
      <w:start w:val="3"/>
    </w:lvl>
    <w:lvl w:ilvl="1">
      <w:lvlJc w:val="left"/>
      <w:lvlText w:val="(%2)"/>
      <w:numFmt w:val="lowerRoman"/>
      <w:start w:val="1"/>
    </w:lvl>
  </w:abstractNum>
  <w:abstractNum w:abstractNumId="15">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16">
    <w:nsid w:val="2443A858"/>
    <w:multiLevelType w:val="hybridMultilevel"/>
    <w:lvl w:ilvl="0">
      <w:lvlJc w:val="left"/>
      <w:lvlText w:val="(%1)"/>
      <w:numFmt w:val="lowerLetter"/>
      <w:start w:val="4"/>
    </w:lvl>
    <w:lvl w:ilvl="1">
      <w:lvlJc w:val="left"/>
      <w:lvlText w:val="(%2)"/>
      <w:numFmt w:val="lowerLetter"/>
      <w:start w:val="9"/>
    </w:lvl>
  </w:abstractNum>
  <w:abstractNum w:abstractNumId="17">
    <w:nsid w:val="2D1D5AE9"/>
    <w:multiLevelType w:val="hybridMultilevel"/>
    <w:lvl w:ilvl="0">
      <w:lvlJc w:val="left"/>
      <w:lvlText w:val="(%1)"/>
      <w:numFmt w:val="lowerRoman"/>
      <w:start w:val="2"/>
    </w:lvl>
  </w:abstractNum>
  <w:abstractNum w:abstractNumId="18">
    <w:nsid w:val="6763845E"/>
    <w:multiLevelType w:val="hybridMultilevel"/>
    <w:lvl w:ilvl="0">
      <w:lvlJc w:val="left"/>
      <w:lvlText w:val="%1."/>
      <w:numFmt w:val="decimal"/>
      <w:start w:val="7"/>
    </w:lvl>
    <w:lvl w:ilvl="1">
      <w:lvlJc w:val="left"/>
      <w:lvlText w:val="(%2)"/>
      <w:numFmt w:val="lowerLetter"/>
      <w:start w:val="1"/>
    </w:lvl>
  </w:abstractNum>
  <w:abstractNum w:abstractNumId="19">
    <w:nsid w:val="75A2A8D4"/>
    <w:multiLevelType w:val="hybridMultilevel"/>
    <w:lvl w:ilvl="0">
      <w:lvlJc w:val="left"/>
      <w:lvlText w:val="%1"/>
      <w:numFmt w:val="decimal"/>
      <w:start w:val="1"/>
    </w:lvl>
    <w:lvl w:ilvl="1">
      <w:lvlJc w:val="left"/>
      <w:lvlText w:val="(%2)"/>
      <w:numFmt w:val="lowerLetter"/>
      <w:start w:val="4"/>
    </w:lvl>
  </w:abstractNum>
  <w:abstractNum w:abstractNumId="20">
    <w:nsid w:val="8EDBDAB"/>
    <w:multiLevelType w:val="hybridMultilevel"/>
    <w:lvl w:ilvl="0">
      <w:lvlJc w:val="left"/>
      <w:lvlText w:val="%1."/>
      <w:numFmt w:val="decimal"/>
      <w:start w:val="9"/>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4"/>
    </w:lvl>
  </w:abstractNum>
  <w:abstractNum w:abstractNumId="22">
    <w:nsid w:val="4353D0CD"/>
    <w:multiLevelType w:val="hybridMultilevel"/>
    <w:lvl w:ilvl="0">
      <w:lvlJc w:val="left"/>
      <w:lvlText w:val="%1."/>
      <w:numFmt w:val="decimal"/>
      <w:start w:val="1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4"/>
    </w:lvl>
  </w:abstractNum>
  <w:abstractNum w:abstractNumId="24">
    <w:nsid w:val="189A769B"/>
    <w:multiLevelType w:val="hybridMultilevel"/>
    <w:lvl w:ilvl="0">
      <w:lvlJc w:val="left"/>
      <w:lvlText w:val="%1."/>
      <w:numFmt w:val="decimal"/>
      <w:start w:val="14"/>
    </w:lvl>
    <w:lvl w:ilvl="1">
      <w:lvlJc w:val="left"/>
      <w:lvlText w:val="(%2)"/>
      <w:numFmt w:val="lowerLetter"/>
      <w:start w:val="1"/>
    </w:lvl>
  </w:abstractNum>
  <w:abstractNum w:abstractNumId="25">
    <w:nsid w:val="54E49EB4"/>
    <w:multiLevelType w:val="hybridMultilevel"/>
    <w:lvl w:ilvl="0">
      <w:lvlJc w:val="left"/>
      <w:lvlText w:val="%1."/>
      <w:numFmt w:val="decimal"/>
      <w:start w:val="15"/>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2"/>
    </w:lvl>
  </w:abstractNum>
  <w:abstractNum w:abstractNumId="27">
    <w:nsid w:val="2CA88611"/>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2021-05-25T16:13:33Z</dcterms:created>
  <dcterms:modified xsi:type="dcterms:W3CDTF">2021-05-25T16:13:33Z</dcterms:modified>
</cp:coreProperties>
</file>