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Eli Casdin</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1350 Avenue of the Americas, Suite 2600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(212) 897-5430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75" w:lineRule="exact"/>
        <w:rPr>
          <w:sz w:val="24"/>
          <w:szCs w:val="24"/>
          <w:color w:val="auto"/>
        </w:rPr>
      </w:pPr>
    </w:p>
    <w:p>
      <w:pPr>
        <w:ind w:firstLine="5"/>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-305435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131445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20" w:top="684" w:right="539" w:bottom="1440" w:gutter="0" w:footer="0" w:header="0"/>
        </w:sectPr>
      </w:pPr>
    </w:p>
    <w:bookmarkStart w:id="1" w:name="page2"/>
    <w:bookmarkEnd w:id="1"/>
    <w:p>
      <w:pPr>
        <w:ind w:left="1700"/>
        <w:spacing w:after="0"/>
        <w:rPr>
          <w:sz w:val="20"/>
          <w:szCs w:val="20"/>
          <w:color w:val="auto"/>
        </w:rPr>
      </w:pPr>
      <w:r>
        <w:rPr>
          <w:rFonts w:ascii="Times New Roman" w:cs="Times New Roman" w:eastAsia="Times New Roman" w:hAnsi="Times New Roman"/>
          <w:sz w:val="18"/>
          <w:szCs w:val="18"/>
          <w:color w:val="auto"/>
        </w:rPr>
        <w:t>34385P108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63,709,677</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63,709,677</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63,709,677</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17.22%</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2" w:name="page3"/>
    <w:bookmarkEnd w:id="2"/>
    <w:p>
      <w:pPr>
        <w:ind w:left="1700"/>
        <w:spacing w:after="0"/>
        <w:rPr>
          <w:sz w:val="20"/>
          <w:szCs w:val="20"/>
          <w:color w:val="auto"/>
        </w:rPr>
      </w:pPr>
      <w:r>
        <w:rPr>
          <w:rFonts w:ascii="Times New Roman" w:cs="Times New Roman" w:eastAsia="Times New Roman" w:hAnsi="Times New Roman"/>
          <w:sz w:val="18"/>
          <w:szCs w:val="18"/>
          <w:color w:val="auto"/>
        </w:rPr>
        <w:t>34385P108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Private Growth Equity Fund II, L.P.</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13,939,637</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13,939,637</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13,939,637</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3.77%</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3" w:name="page4"/>
    <w:bookmarkEnd w:id="3"/>
    <w:p>
      <w:pPr>
        <w:ind w:left="1700"/>
        <w:spacing w:after="0"/>
        <w:rPr>
          <w:sz w:val="20"/>
          <w:szCs w:val="20"/>
          <w:color w:val="auto"/>
        </w:rPr>
      </w:pPr>
      <w:r>
        <w:rPr>
          <w:rFonts w:ascii="Times New Roman" w:cs="Times New Roman" w:eastAsia="Times New Roman" w:hAnsi="Times New Roman"/>
          <w:sz w:val="18"/>
          <w:szCs w:val="18"/>
          <w:color w:val="auto"/>
        </w:rPr>
        <w:t>34385P108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Private Growth Equity Fund II GP,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13,939,637</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13,939,637</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13,939,637</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3.77%</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4" w:name="page5"/>
    <w:bookmarkEnd w:id="4"/>
    <w:p>
      <w:pPr>
        <w:ind w:left="1700"/>
        <w:spacing w:after="0"/>
        <w:rPr>
          <w:sz w:val="20"/>
          <w:szCs w:val="20"/>
          <w:color w:val="auto"/>
        </w:rPr>
      </w:pPr>
      <w:r>
        <w:rPr>
          <w:rFonts w:ascii="Times New Roman" w:cs="Times New Roman" w:eastAsia="Times New Roman" w:hAnsi="Times New Roman"/>
          <w:sz w:val="18"/>
          <w:szCs w:val="18"/>
          <w:color w:val="auto"/>
        </w:rPr>
        <w:t>34385P108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Partners Master Fund, L.P.</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45,825,821</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45,825,821</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45,825,821</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12.39%</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5" w:name="page6"/>
    <w:bookmarkEnd w:id="5"/>
    <w:p>
      <w:pPr>
        <w:ind w:left="1700"/>
        <w:spacing w:after="0"/>
        <w:rPr>
          <w:sz w:val="20"/>
          <w:szCs w:val="20"/>
          <w:color w:val="auto"/>
        </w:rPr>
      </w:pPr>
      <w:r>
        <w:rPr>
          <w:rFonts w:ascii="Times New Roman" w:cs="Times New Roman" w:eastAsia="Times New Roman" w:hAnsi="Times New Roman"/>
          <w:sz w:val="18"/>
          <w:szCs w:val="18"/>
          <w:color w:val="auto"/>
        </w:rPr>
        <w:t>34385P108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Partners GP,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47,025,821</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47,025,821</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47,025,821</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12.71%</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6" w:name="page7"/>
    <w:bookmarkEnd w:id="6"/>
    <w:p>
      <w:pPr>
        <w:ind w:left="1700"/>
        <w:spacing w:after="0"/>
        <w:rPr>
          <w:sz w:val="20"/>
          <w:szCs w:val="20"/>
          <w:color w:val="auto"/>
        </w:rPr>
      </w:pPr>
      <w:r>
        <w:rPr>
          <w:rFonts w:ascii="Times New Roman" w:cs="Times New Roman" w:eastAsia="Times New Roman" w:hAnsi="Times New Roman"/>
          <w:sz w:val="18"/>
          <w:szCs w:val="18"/>
          <w:color w:val="auto"/>
        </w:rPr>
        <w:t>34385P108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Eli Casdin</w:t>
            </w:r>
          </w:p>
        </w:tc>
        <w:tc>
          <w:tcPr>
            <w:tcW w:w="2620" w:type="dxa"/>
            <w:vAlign w:val="bottom"/>
          </w:tcPr>
          <w:p>
            <w:pPr>
              <w:spacing w:after="0"/>
              <w:rPr>
                <w:sz w:val="20"/>
                <w:szCs w:val="20"/>
                <w:color w:val="auto"/>
              </w:rPr>
            </w:pPr>
          </w:p>
        </w:tc>
      </w:tr>
      <w:tr>
        <w:trPr>
          <w:trHeight w:val="414"/>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255,259</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76,082,479</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255,259</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76,082,479</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76,337,738</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20.37%</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680" w:type="dxa"/>
            <w:vAlign w:val="bottom"/>
          </w:tcPr>
          <w:p>
            <w:pPr>
              <w:spacing w:after="0"/>
              <w:rPr>
                <w:sz w:val="20"/>
                <w:szCs w:val="20"/>
                <w:color w:val="auto"/>
              </w:rPr>
            </w:pPr>
          </w:p>
        </w:tc>
        <w:tc>
          <w:tcPr>
            <w:tcW w:w="8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125842203</w:t>
            </w:r>
          </w:p>
        </w:tc>
        <w:tc>
          <w:tcPr>
            <w:tcW w:w="1120" w:type="dxa"/>
            <w:vAlign w:val="bottom"/>
          </w:tcPr>
          <w:p>
            <w:pPr>
              <w:spacing w:after="0"/>
              <w:rPr>
                <w:sz w:val="20"/>
                <w:szCs w:val="20"/>
                <w:color w:val="auto"/>
              </w:rPr>
            </w:pPr>
          </w:p>
        </w:tc>
      </w:tr>
      <w:tr>
        <w:trPr>
          <w:trHeight w:val="64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Security and Issuer.</w:t>
            </w:r>
          </w:p>
        </w:tc>
      </w:tr>
      <w:tr>
        <w:trPr>
          <w:trHeight w:val="414"/>
        </w:trPr>
        <w:tc>
          <w:tcPr>
            <w:tcW w:w="920" w:type="dxa"/>
            <w:vAlign w:val="bottom"/>
          </w:tcPr>
          <w:p>
            <w:pPr>
              <w:spacing w:after="0"/>
              <w:rPr>
                <w:sz w:val="24"/>
                <w:szCs w:val="24"/>
                <w:color w:val="auto"/>
              </w:rPr>
            </w:pP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name of the issuer is Standard BioTools Inc., a Delaware corporation (the "Issuer").  The address of the Issuer's principal</w:t>
            </w:r>
          </w:p>
        </w:tc>
      </w:tr>
      <w:tr>
        <w:trPr>
          <w:trHeight w:val="216"/>
        </w:trPr>
        <w:tc>
          <w:tcPr>
            <w:tcW w:w="920" w:type="dxa"/>
            <w:vAlign w:val="bottom"/>
          </w:tcPr>
          <w:p>
            <w:pPr>
              <w:spacing w:after="0"/>
              <w:rPr>
                <w:sz w:val="18"/>
                <w:szCs w:val="18"/>
                <w:color w:val="auto"/>
              </w:rPr>
            </w:pP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offices is 2 Tower Place, Suite 2000, South San Francisco, California 94080. This Schedule 13D amendment relates to the</w:t>
            </w:r>
          </w:p>
        </w:tc>
      </w:tr>
      <w:tr>
        <w:trPr>
          <w:trHeight w:val="234"/>
        </w:trPr>
        <w:tc>
          <w:tcPr>
            <w:tcW w:w="920" w:type="dxa"/>
            <w:vAlign w:val="bottom"/>
          </w:tcPr>
          <w:p>
            <w:pPr>
              <w:spacing w:after="0"/>
              <w:rPr>
                <w:sz w:val="20"/>
                <w:szCs w:val="20"/>
                <w:color w:val="auto"/>
              </w:rPr>
            </w:pP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Issuer's Common Stock, par value $0.001 per share (the "Shares").</w:t>
            </w:r>
          </w:p>
        </w:tc>
      </w:tr>
      <w:tr>
        <w:trPr>
          <w:trHeight w:val="216"/>
        </w:trPr>
        <w:tc>
          <w:tcPr>
            <w:tcW w:w="920" w:type="dxa"/>
            <w:vAlign w:val="bottom"/>
          </w:tcPr>
          <w:p>
            <w:pPr>
              <w:spacing w:after="0"/>
              <w:rPr>
                <w:sz w:val="18"/>
                <w:szCs w:val="18"/>
                <w:color w:val="auto"/>
              </w:rPr>
            </w:pPr>
          </w:p>
        </w:tc>
        <w:tc>
          <w:tcPr>
            <w:tcW w:w="10220" w:type="dxa"/>
            <w:vAlign w:val="bottom"/>
            <w:tcBorders>
              <w:bottom w:val="single" w:sz="8" w:color="auto"/>
            </w:tcBorders>
            <w:gridSpan w:val="3"/>
          </w:tcPr>
          <w:p>
            <w:pPr>
              <w:spacing w:after="0"/>
              <w:rPr>
                <w:sz w:val="18"/>
                <w:szCs w:val="18"/>
                <w:color w:val="auto"/>
              </w:rPr>
            </w:pPr>
          </w:p>
        </w:tc>
      </w:tr>
      <w:tr>
        <w:trPr>
          <w:trHeight w:val="64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Identity and Background.</w:t>
            </w:r>
          </w:p>
        </w:tc>
      </w:tr>
      <w:tr>
        <w:trPr>
          <w:trHeight w:val="414"/>
        </w:trPr>
        <w:tc>
          <w:tcPr>
            <w:tcW w:w="9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(f)</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This  Schedule  13D  is  being  filed  by  Casdin  Capital,  LLC,  a  Delaware  limited  liability  company</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(“Casdin”), Casdin Private Growth Equity Fund II, L.P., a Delaware limited partnership (“Casdin PGEII”), Casdin Private</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Growth Equity Fund II GP, LLC, a Delaware limited liability company (“Casdin PGEII GP”), Casdin Partners Master</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Fund L.P., a Cayman Islands exempted limited partnership (“Casdin PMF”), Casdin Partners GP, LLC, a Delaware</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limited liability company (“Casdin GP”), and Eli Casdin, a United States citizen (each a “Reporting Person” and</w:t>
            </w:r>
          </w:p>
        </w:tc>
      </w:tr>
      <w:tr>
        <w:trPr>
          <w:trHeight w:val="234"/>
        </w:trPr>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collectively, the “Reporting Persons”).</w:t>
            </w:r>
          </w:p>
        </w:tc>
      </w:tr>
      <w:tr>
        <w:trPr>
          <w:trHeight w:val="414"/>
        </w:trPr>
        <w:tc>
          <w:tcPr>
            <w:tcW w:w="9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1350 Avenue of the Americas, Suite 2600, New York,</w:t>
            </w:r>
          </w:p>
        </w:tc>
      </w:tr>
      <w:tr>
        <w:trPr>
          <w:trHeight w:val="234"/>
        </w:trPr>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New York 10019.</w:t>
            </w:r>
          </w:p>
        </w:tc>
      </w:tr>
      <w:tr>
        <w:trPr>
          <w:trHeight w:val="414"/>
        </w:trPr>
        <w:tc>
          <w:tcPr>
            <w:tcW w:w="9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principal business of Casdin is serving as an investment adviser to its clients. The principal business of Casdin GP</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Casdin PGEII GP is serving as the general partner to certain private funds. Casdin is the investment manager to</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Casdin PMF and Casdin PGEII. Casdin GP is the general partner of Casdin PMF, and Casdin PGEII GP is the general</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partner of Casdin PGEII. The principal business of Casdin PMF and Casdin PGEII is purchasing, holding and selling</w:t>
            </w:r>
          </w:p>
        </w:tc>
      </w:tr>
      <w:tr>
        <w:trPr>
          <w:trHeight w:val="234"/>
        </w:trPr>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 for investment purposes.</w:t>
            </w:r>
          </w:p>
        </w:tc>
      </w:tr>
      <w:tr>
        <w:trPr>
          <w:trHeight w:val="414"/>
        </w:trPr>
        <w:tc>
          <w:tcPr>
            <w:tcW w:w="9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 (e)</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During the last five years, none of the Reporting Persons has been (a) convicted in a criminal proceeding (excluding</w:t>
            </w:r>
          </w:p>
        </w:tc>
      </w:tr>
      <w:tr>
        <w:trPr>
          <w:trHeight w:val="216"/>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traffic violations or similar misdemeanors) or (b) a party to a civil proceeding of a judicial or administrative body of</w:t>
            </w:r>
          </w:p>
        </w:tc>
      </w:tr>
      <w:tr>
        <w:trPr>
          <w:trHeight w:val="234"/>
        </w:trPr>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competent jurisdiction and as a result of such proceeding was or is subject to a judgment, decree or final order enjoining</w:t>
            </w:r>
          </w:p>
        </w:tc>
      </w:tr>
    </w:tbl>
    <w:p>
      <w:pPr>
        <w:ind w:left="1820" w:right="560"/>
        <w:spacing w:after="0" w:line="260" w:lineRule="auto"/>
        <w:rPr>
          <w:sz w:val="20"/>
          <w:szCs w:val="20"/>
          <w:color w:val="auto"/>
        </w:rPr>
      </w:pPr>
      <w:r>
        <w:rPr>
          <w:rFonts w:ascii="Times New Roman" w:cs="Times New Roman" w:eastAsia="Times New Roman" w:hAnsi="Times New Roman"/>
          <w:sz w:val="18"/>
          <w:szCs w:val="18"/>
          <w:color w:val="auto"/>
        </w:rPr>
        <w:t>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264160</wp:posOffset>
            </wp:positionV>
            <wp:extent cx="6489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563880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688" w:right="339" w:bottom="1440" w:gutter="0" w:footer="0" w:header="0"/>
        </w:sectPr>
      </w:pPr>
    </w:p>
    <w:bookmarkStart w:id="8" w:name="page9"/>
    <w:bookmarkEnd w:id="8"/>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Source and Amount of Funds or Other Consideration.</w:t>
      </w:r>
    </w:p>
    <w:p>
      <w:pPr>
        <w:spacing w:after="0" w:line="225"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On January 23, 2022, the Issuer agreed to issue and sell (a) 78,750 shares of Series B-1 Convertible Preferred Stock (“Series B-1 Preferred Stock”) to Casdin PMF in exchange for cash consideration of $78,750,000 and (b) 33,750 shares of Series B-1 Preferred 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Casdin PGEII and Casdin PMF used working capital to fund the term loan and purchase of the Series B-1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154305</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Purpose of Transaction.</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Eli Casdin is a member of the Board of Directors of the Issuer.</w:t>
      </w:r>
    </w:p>
    <w:p>
      <w:pPr>
        <w:spacing w:after="0" w:line="185"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The Reporting Persons have acquired their shares of the Issuer for investment purposes. The Reporting Persons intend to review their holdings in the Issuer on a continuing basis and, depending upon the price and availability of the Issuer’s securities, subsequent developments affecting the Issuer, the business prospects of the Issuer, general stock market and economic conditions, tax considerations, investment considerations and/or other factors deemed relevant, may consider increasing or decreasing their investments in the Issuer.</w:t>
      </w:r>
    </w:p>
    <w:p>
      <w:pPr>
        <w:spacing w:after="0" w:line="156"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On January 5, 2024, the Issuer completed the previously announced merger pursuant to the Agreement and Plan of Merger, dated as of October 4, 2023 (the “Merger Agreement”), by and among the Issuer, SomaLogic, Inc., a Delaware corporation (“SomaLogic”), and Martis Merger Sub, Inc., a Delaware corporation and wholly owned subsidiary of the Issuer (“Merger Sub”). Pursuant to the Merger Agreement, Merger Sub merged with and into SomaLogic, with SomaLogic surviving as a wholly owned subsidiary of the Issuer (the “Merger”).</w:t>
      </w:r>
    </w:p>
    <w:p>
      <w:pPr>
        <w:spacing w:after="0" w:line="183"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At the consummation of the Merger, each issued and outstanding share of common stock of SomaLogic, par value $0.0001 per share (“SomaLogic Common Stock”), was converted into the right to receive 1.11 (the “Exchange Ratio”) Shares, and cash in lieu of fractional shares.</w:t>
      </w:r>
    </w:p>
    <w:p>
      <w:pPr>
        <w:spacing w:after="0" w:line="176"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In addition, as of the effective time of the Merger, the Issuer assumed each SomaLogic stock incentive plan, each outstanding option to purchase shares of SomaLogic Common Stock (the “Options”) and each outstanding restricted stock unit convertible into shares of SomaLogic Common Stock (the “RSUs,” and together with the Options, the “Equity Awards”), whether vested or unvested. Each such Equity Award assumed by the Issuer will continue to have, and be subject to, the same terms and conditions applicable to such Equity Award immediately prior to the effective time of the Merger, except that (A) each such Option will be exercisable for that number of Shares equal to the number of shares of SomaLogic Common Stock subject to such Option immediately prior to the effective time of the Merger multiplied by the Exchange Ratio and rounded down to the next nearest Share, (B) the exercise price per share will be the exercise price per share in effect for that Option immediately prior to the effective time of the Merger divided by the Exchange Ratio and rounded up to the next nearest cent and (C) each such RSU will vest for that number of Shares equal to the number of shares of SomaLogic Common Stock subject to such RSU immediately prior to the effective time of the Merger multiplied by the Exchange Ratio and rounded to the next nearest Share.</w:t>
      </w:r>
    </w:p>
    <w:p>
      <w:pPr>
        <w:spacing w:after="0" w:line="192"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In addition, as of the effective time of the Merger, each SomaLogic warrant, each exercisable for one share of SomaLogic Common Stock, shall be treated in accordance with its terms.</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description of the Merger Agreement and related transactions (including, without limitation, the Merger) is subject and qualified in its entirety by reference to the full text of the Merger Agreement, a copy of which is incorporated herein by reference to Exhibit 2.1 of the 8-K filed by the Issuer on January 5, 2024.</w:t>
      </w:r>
    </w:p>
    <w:p>
      <w:pPr>
        <w:spacing w:after="0" w:line="176"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Issuer’s financial condition, business, operations, competitive position, prospects and/or share price, (iii) industry, economic and/or securities markets conditions, (iv) alternative investment opportunities and (v) other relevant factors.</w:t>
      </w:r>
    </w:p>
    <w:p>
      <w:pPr>
        <w:spacing w:after="0" w:line="183"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17"/>
          <w:szCs w:val="17"/>
          <w:color w:val="auto"/>
        </w:rPr>
        <w:t>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Issuer, or instruments convertible into or exercisable for any such securities (collectively, “Issuer Securities”), in the open market, in privately negotiated transactions or otherwise, (B) sell, transfer or otherwise dispose of Issuer Securities in public or private transactions, (C) acquire or write options contracts, or enter into derivatives or hedging transactions, relating to Issuer Securities, (D) pledge Issuer Securities to secure obligations of the Reporting Persons and/or (E) encourage (including, without limitation, through any designated or nominated member of the Issuer’s board of directors (the “Board of Directors”) and/or communications with directors, management and existing or prospective security holders, investors or lenders of the Issuer, existing or potential strategic partners, industry analysts and other investment and financing professionals) the Issuer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Issuer’s capitalization or dividend policy, (iii) changes to the present Board</w:t>
      </w:r>
    </w:p>
    <w:p>
      <w:pPr>
        <w:sectPr>
          <w:pgSz w:w="11900" w:h="16838" w:orient="portrait"/>
          <w:cols w:equalWidth="0" w:num="1">
            <w:col w:w="10600"/>
          </w:cols>
          <w:pgMar w:left="420" w:top="688" w:right="879" w:bottom="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of Directors, including changes to the number or term of members of the Board of Directors or filling existing vacancies on the Board of Directors, (iv) changes to the Issuer’s by-laws and (v) other changes to the Issuer’s business or structure.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avoidance of doubt, 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123190</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423545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1440" w:top="121" w:right="899" w:bottom="1440" w:gutter="0" w:footer="0" w:header="0"/>
        </w:sectPr>
      </w:pPr>
    </w:p>
    <w:bookmarkStart w:id="10" w:name="page11"/>
    <w:bookmarkEnd w:id="10"/>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Interest in Securities of the Issuer.</w:t>
      </w:r>
    </w:p>
    <w:p>
      <w:pPr>
        <w:spacing w:after="0" w:line="225" w:lineRule="exact"/>
        <w:rPr>
          <w:sz w:val="20"/>
          <w:szCs w:val="20"/>
          <w:color w:val="auto"/>
        </w:rPr>
      </w:pPr>
    </w:p>
    <w:p>
      <w:pPr>
        <w:ind w:left="1820" w:right="20" w:hanging="802"/>
        <w:spacing w:after="0" w:line="282" w:lineRule="auto"/>
        <w:tabs>
          <w:tab w:leader="none" w:pos="1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As of the date hereof, Casdin may be deemed to be the beneficial owner of 63,709,677 Shares, constituting 17.22% of the Shares, based upon 369,920,511*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has the sole power to vote or direct the vote of 0 Shares; has the shared power to vote or direct the vote of 63,709,677 Shares; has the sole power to dispose or direct the disposition of 0 Shares; and had the shared power to dispose or direct the disposition of 63,709,677 Shares.</w:t>
      </w:r>
    </w:p>
    <w:p>
      <w:pPr>
        <w:spacing w:after="0" w:line="176"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As of the date hereof, Casdin PGEII and Casdin PGEII GP may be deemed to be the beneficial owners of 13,939,637 Shares, constituting 3.77% of the Shares, based upon 369,920,511* Shares outstanding. As of the date hereof Casdin PGEII and Casdin PGEII GP have ceased to be the beneficial owners of more than five percent of the Shares.</w:t>
      </w:r>
    </w:p>
    <w:p>
      <w:pPr>
        <w:spacing w:after="0" w:line="176"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PGEII and Casdin PGEII GP have the sole power to vote or direct the vote of 0 Shares; have the shared power to vote or direct the vote of 13,939,637 Shares; have the sole power to dispose or direct the disposition of 0 Shares; and have the shared power to dispose or direct the disposition of 13,939,637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As of the date hereof, Casdin GP may be deemed to be the beneficial owner of 47,025,821 Shares, constituting 12.71% of the Shares, based upon 369,920,511*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GP has the sole power to vote or direct the vote of 0 Shares; has the shared power to vote or direct the vote of 47,025,821 Shares; has the sole power to dispose or direct the disposition of 0 Shares; and had the shared power to dispose or direct the disposition of 47,025,821 Shares.</w:t>
      </w:r>
    </w:p>
    <w:p>
      <w:pPr>
        <w:spacing w:after="0" w:line="176" w:lineRule="exact"/>
        <w:rPr>
          <w:sz w:val="20"/>
          <w:szCs w:val="20"/>
          <w:color w:val="auto"/>
        </w:rPr>
      </w:pPr>
    </w:p>
    <w:p>
      <w:pPr>
        <w:jc w:val="both"/>
        <w:ind w:left="1820" w:right="20"/>
        <w:spacing w:after="0" w:line="282" w:lineRule="auto"/>
        <w:rPr>
          <w:sz w:val="20"/>
          <w:szCs w:val="20"/>
          <w:color w:val="auto"/>
        </w:rPr>
      </w:pPr>
      <w:r>
        <w:rPr>
          <w:rFonts w:ascii="Times New Roman" w:cs="Times New Roman" w:eastAsia="Times New Roman" w:hAnsi="Times New Roman"/>
          <w:sz w:val="18"/>
          <w:szCs w:val="18"/>
          <w:color w:val="auto"/>
        </w:rPr>
        <w:t>As of the date hereof, Casdin PMF may be deemed to be the beneficial owner of 45,825,821 Shares, constituting 12.39% of the Shares, based upon 369,920,511*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PMF has the sole power to vote or direct the vote of 0 Shares; has the shared power to vote or direct the vote of 45,825,821 Shares; has the sole power to dispose or direct the disposition of 0 Shares; and had the shared power to dispose or direct the disposition of 45,825,821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As of the date hereof, Eli Casdin may be deemed to be the beneficial owner of 76,337,738 Shares, constituting 20.37% of the Shares, based upon 374,745,313**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Eli Casdin has the sole power to vote or direct the vote of 255,259 Shares; has the shared power to vote or direct the vote of 76,082,479 Shares; has the sole power to dispose or direct the disposition of 255,259 Shares; and had the shared power to dispose or direct the disposition of 76,082,479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The transactions by the Reporting Persons in the securities of the Issuer during the past sixty days are set forth in Exhibit B. All such transactions were carried out in open market transactions.</w:t>
      </w:r>
    </w:p>
    <w:p>
      <w:pPr>
        <w:spacing w:after="0" w:line="162" w:lineRule="exact"/>
        <w:rPr>
          <w:sz w:val="20"/>
          <w:szCs w:val="20"/>
          <w:color w:val="auto"/>
        </w:rPr>
      </w:pPr>
    </w:p>
    <w:p>
      <w:pPr>
        <w:jc w:val="both"/>
        <w:ind w:left="1820" w:right="20"/>
        <w:spacing w:after="0" w:line="282" w:lineRule="auto"/>
        <w:rPr>
          <w:sz w:val="20"/>
          <w:szCs w:val="20"/>
          <w:color w:val="auto"/>
        </w:rPr>
      </w:pPr>
      <w:r>
        <w:rPr>
          <w:rFonts w:ascii="Times New Roman" w:cs="Times New Roman" w:eastAsia="Times New Roman" w:hAnsi="Times New Roman"/>
          <w:sz w:val="18"/>
          <w:szCs w:val="18"/>
          <w:color w:val="auto"/>
        </w:rPr>
        <w:t>*This outstanding Shares figure reflects the 369,920,511 outstanding Shares as reported in the Schedule 14A filed by the Issuer on May 21, 2024.</w:t>
      </w:r>
    </w:p>
    <w:p>
      <w:pPr>
        <w:spacing w:after="0" w:line="162" w:lineRule="exact"/>
        <w:rPr>
          <w:sz w:val="20"/>
          <w:szCs w:val="20"/>
          <w:color w:val="auto"/>
        </w:rPr>
      </w:pPr>
    </w:p>
    <w:p>
      <w:pPr>
        <w:jc w:val="both"/>
        <w:ind w:left="1820" w:right="20"/>
        <w:spacing w:after="0" w:line="282" w:lineRule="auto"/>
        <w:rPr>
          <w:sz w:val="20"/>
          <w:szCs w:val="20"/>
          <w:color w:val="auto"/>
        </w:rPr>
      </w:pPr>
      <w:r>
        <w:rPr>
          <w:rFonts w:ascii="Times New Roman" w:cs="Times New Roman" w:eastAsia="Times New Roman" w:hAnsi="Times New Roman"/>
          <w:sz w:val="18"/>
          <w:szCs w:val="18"/>
          <w:color w:val="auto"/>
        </w:rPr>
        <w:t>*This outstanding Shares figure reflects the 369,920,511 outstanding Shares as reported in the Schedule 14A filed by the Issuer on May 21, 2024 and 4,824,802 warrants held by an affiliate of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114300</wp:posOffset>
            </wp:positionV>
            <wp:extent cx="6489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551180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688" w:right="879" w:bottom="1440" w:gutter="0" w:footer="0" w:header="0"/>
        </w:sectPr>
      </w:pPr>
    </w:p>
    <w:bookmarkStart w:id="11" w:name="page12"/>
    <w:bookmarkEnd w:id="11"/>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Contracts, Arrangements, Understandings or Relationships with Respect to Securities of the Issuer.</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2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w:t>
      </w:r>
    </w:p>
    <w:p>
      <w:pPr>
        <w:spacing w:after="0" w:line="149"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March 18, 2024, Casdin PMF and Casdin PGEII entered into an exchange agreement (the “Exchange Agreement”) with the Issuer, pursuant to which (a) Casdin PMF exchanged 89,446 shares of Series B-1 Preferred Stock for 32,525,821 shares of Common Stock and (b) Casdin PGEII exchanged 38,334 shares of Series B-1 Preferred Stock for 13,939,637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234950</wp:posOffset>
            </wp:positionV>
            <wp:extent cx="6489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Material to be Filed as Exhibits.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Exhibit B: Schedule of Transactions in Shares</w:t>
      </w:r>
    </w:p>
    <w:p>
      <w:pPr>
        <w:spacing w:after="0" w:line="225"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Exhibit C: Series B-1 Convertible Preferred Stock Purchase Agreement, dated as of January 23, 2022, by and among Standard BioTools Inc. (f/k/a Fluidigm Corporation), Casdin Private Growth Equity Fund II, L.P., and Casdin Partners Master Fund, L.P. (incorporated by reference to Exhibit 10.3 of the Issuer’s Current Report on Form 8-K, filed on January 24, 2022) (File No. 001-34180).</w:t>
      </w:r>
    </w:p>
    <w:p>
      <w:pPr>
        <w:spacing w:after="0" w:line="180"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Exhibit D: Series B-1 Loan Agreement, dated as of January 23, 2022, by and among Standard BioTools Inc. (f/k/a Fluidigm Corporation), Casdin Partners Master Fund, L.P., and Casdin Private Growth Equity Fund II, L.P. (incorporated by reference to Exhibit 10.1 of the Issuer’s Current Report on Form 8-K, filed with the SEC on January 24, 2022) (File No. 001-34180).</w:t>
      </w:r>
    </w:p>
    <w:p>
      <w:pPr>
        <w:spacing w:after="0" w:line="176"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Exhibit E: Exchange Agreement, dated as of March 18, 2024, by and among Standard BioTools Inc., Casdin Private Growth Equity Fund II, L.P., Casdin Partners Master Fund, L.P., Viking Global Opportunities Illiquid Investments Sub-Master LP, and Viking Global Opportunities Drawdown (Aggregator) LP (incorporated by reference to Exhibit 10.1 of the Issuer’s Current Report on Form 8-K, filed on March 18, 2024) (File No. 001-34180).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554355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04" w:right="8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May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Private Growth Equity Fund II,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Private Growth Equity Fund II GP, LLC</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Private Growth Equity Fund II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8"/>
        <w:spacing w:after="0" w:line="266" w:lineRule="auto"/>
        <w:tabs>
          <w:tab w:leader="none" w:pos="1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amendment, dated May 22, 2024, relating to the Common Stock, par value $0.001 per share, of Standard BioTools Inc. shall be filed on behalf of the undersigned.</w:t>
      </w:r>
    </w:p>
    <w:p>
      <w:pPr>
        <w:spacing w:after="0" w:line="162"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May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Casdin Private Growth Equity Fund II,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Casdin Private Growth Equity Fund II GP, LLC</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Casdin Private Growth Equity Fund II GP, LLC</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tbl>
      <w:tblPr>
        <w:tblLayout w:type="fixed"/>
        <w:tblInd w:w="92"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648"/>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Schedule of Transactions in Shares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1"/>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gridSpan w:val="7"/>
          </w:tcPr>
          <w:p>
            <w:pPr>
              <w:jc w:val="center"/>
              <w:ind w:left="63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Number of Shares</w:t>
            </w:r>
          </w:p>
        </w:tc>
        <w:tc>
          <w:tcPr>
            <w:tcW w:w="9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17"/>
                <w:szCs w:val="17"/>
                <w:color w:val="auto"/>
              </w:rPr>
            </w:pPr>
          </w:p>
        </w:tc>
        <w:tc>
          <w:tcPr>
            <w:tcW w:w="1660" w:type="dxa"/>
            <w:vAlign w:val="bottom"/>
            <w:gridSpan w:val="4"/>
          </w:tcPr>
          <w:p>
            <w:pPr>
              <w:ind w:left="200"/>
              <w:spacing w:after="0" w:line="196" w:lineRule="exact"/>
              <w:rPr>
                <w:sz w:val="20"/>
                <w:szCs w:val="20"/>
                <w:color w:val="auto"/>
              </w:rPr>
            </w:pPr>
            <w:r>
              <w:rPr>
                <w:rFonts w:ascii="Times New Roman" w:cs="Times New Roman" w:eastAsia="Times New Roman" w:hAnsi="Times New Roman"/>
                <w:sz w:val="18"/>
                <w:szCs w:val="18"/>
                <w:color w:val="auto"/>
              </w:rPr>
              <w:t>Price Per</w:t>
            </w:r>
          </w:p>
        </w:tc>
      </w:tr>
      <w:tr>
        <w:trPr>
          <w:trHeight w:val="20"/>
        </w:trPr>
        <w:tc>
          <w:tcPr>
            <w:tcW w:w="1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940" w:type="dxa"/>
            <w:vAlign w:val="bottom"/>
            <w:gridSpan w:val="3"/>
          </w:tcPr>
          <w:p>
            <w:pPr>
              <w:ind w:left="520"/>
              <w:spacing w:after="0" w:line="196" w:lineRule="exact"/>
              <w:rPr>
                <w:sz w:val="20"/>
                <w:szCs w:val="20"/>
                <w:color w:val="auto"/>
              </w:rPr>
            </w:pPr>
            <w:r>
              <w:rPr>
                <w:rFonts w:ascii="Times New Roman" w:cs="Times New Roman" w:eastAsia="Times New Roman" w:hAnsi="Times New Roman"/>
                <w:sz w:val="18"/>
                <w:szCs w:val="18"/>
                <w:color w:val="auto"/>
              </w:rPr>
              <w:t>Title of Class</w:t>
            </w:r>
          </w:p>
        </w:tc>
        <w:tc>
          <w:tcPr>
            <w:tcW w:w="2400" w:type="dxa"/>
            <w:vAlign w:val="bottom"/>
          </w:tcPr>
          <w:p>
            <w:pPr>
              <w:spacing w:after="0"/>
              <w:rPr>
                <w:sz w:val="17"/>
                <w:szCs w:val="17"/>
                <w:color w:val="auto"/>
              </w:rPr>
            </w:pPr>
          </w:p>
        </w:tc>
        <w:tc>
          <w:tcPr>
            <w:tcW w:w="1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8"/>
              </w:rPr>
              <w:t>Disposed</w:t>
            </w:r>
          </w:p>
        </w:tc>
        <w:tc>
          <w:tcPr>
            <w:tcW w:w="1660" w:type="dxa"/>
            <w:vAlign w:val="bottom"/>
            <w:gridSpan w:val="4"/>
          </w:tcPr>
          <w:p>
            <w:pPr>
              <w:ind w:left="200"/>
              <w:spacing w:after="0" w:line="196" w:lineRule="exact"/>
              <w:rPr>
                <w:sz w:val="20"/>
                <w:szCs w:val="20"/>
                <w:color w:val="auto"/>
              </w:rPr>
            </w:pPr>
            <w:r>
              <w:rPr>
                <w:rFonts w:ascii="Times New Roman" w:cs="Times New Roman" w:eastAsia="Times New Roman" w:hAnsi="Times New Roman"/>
                <w:sz w:val="18"/>
                <w:szCs w:val="18"/>
                <w:color w:val="auto"/>
              </w:rPr>
              <w:t>Share</w:t>
            </w:r>
          </w:p>
        </w:tc>
      </w:tr>
      <w:tr>
        <w:trPr>
          <w:trHeight w:val="20"/>
        </w:trPr>
        <w:tc>
          <w:tcPr>
            <w:tcW w:w="1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5/15/2024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500,000</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$2.5651 (1)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5/16/2024</w:t>
            </w:r>
          </w:p>
        </w:tc>
        <w:tc>
          <w:tcPr>
            <w:tcW w:w="54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500,000</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$2.5419 (2)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5/17/2024</w:t>
            </w:r>
          </w:p>
        </w:tc>
        <w:tc>
          <w:tcPr>
            <w:tcW w:w="54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352,072</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$2.5621 (3)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5/20/2024</w:t>
            </w:r>
          </w:p>
        </w:tc>
        <w:tc>
          <w:tcPr>
            <w:tcW w:w="54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100,000</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$2.5813 (4)</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5/21/2024</w:t>
            </w:r>
          </w:p>
        </w:tc>
        <w:tc>
          <w:tcPr>
            <w:tcW w:w="540" w:type="dxa"/>
            <w:vAlign w:val="bottom"/>
          </w:tcPr>
          <w:p>
            <w:pPr>
              <w:spacing w:after="0"/>
              <w:rPr>
                <w:sz w:val="20"/>
                <w:szCs w:val="20"/>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350,000</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$2.5598 (5)</w:t>
            </w:r>
          </w:p>
        </w:tc>
      </w:tr>
    </w:tbl>
    <w:p>
      <w:pPr>
        <w:spacing w:after="0" w:line="198" w:lineRule="exact"/>
        <w:rPr>
          <w:sz w:val="20"/>
          <w:szCs w:val="20"/>
          <w:color w:val="auto"/>
        </w:rPr>
      </w:pPr>
    </w:p>
    <w:p>
      <w:pPr>
        <w:jc w:val="both"/>
        <w:ind w:left="-8" w:firstLine="8"/>
        <w:spacing w:after="0" w:line="266"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within the range of $2.5473 to $2.58.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within the range of $2.5381 to $2.5429.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within the range of $2.5381 to $2.5798.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within the range of $2.5791 to $2.5858.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within the range of $2.5597 to $2.56. The Reporting Persons undertake to provide to the Issuer, any security holder of the Issuer or the staff of the SEC, upon request, full information regarding the number of shares purchased at each separate price within the range set forth in this footnote.</w:t>
      </w:r>
    </w:p>
    <w:sectPr>
      <w:pgSz w:w="11900" w:h="16838" w:orient="portrait"/>
      <w:cols w:equalWidth="0" w:num="1">
        <w:col w:w="11232"/>
      </w:cols>
      <w:pgMar w:left="328"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7"/>
    </w:lvl>
  </w:abstractNum>
  <w:abstractNum w:abstractNumId="5">
    <w:nsid w:val="62BBD95A"/>
    <w:multiLevelType w:val="hybridMultilevel"/>
    <w:lvl w:ilvl="0">
      <w:lvlJc w:val="left"/>
      <w:lvlText w:val="%1."/>
      <w:numFmt w:val="decimal"/>
      <w:start w:val="1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13"/>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1."/>
      <w:numFmt w:val="decimal"/>
      <w:start w:val="7"/>
    </w:lvl>
  </w:abstractNum>
  <w:abstractNum w:abstractNumId="20">
    <w:nsid w:val="71F32454"/>
    <w:multiLevelType w:val="hybridMultilevel"/>
    <w:lvl w:ilvl="0">
      <w:lvlJc w:val="left"/>
      <w:lvlText w:val="%1."/>
      <w:numFmt w:val="decimal"/>
      <w:start w:val="13"/>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6"/>
    </w:lvl>
  </w:abstractNum>
  <w:abstractNum w:abstractNumId="24">
    <w:nsid w:val="3A95F874"/>
    <w:multiLevelType w:val="hybridMultilevel"/>
    <w:lvl w:ilvl="0">
      <w:lvlJc w:val="left"/>
      <w:lvlText w:val="%1."/>
      <w:numFmt w:val="decimal"/>
      <w:start w:val="7"/>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decimal"/>
      <w:start w:val="6"/>
    </w:lvl>
  </w:abstractNum>
  <w:abstractNum w:abstractNumId="29">
    <w:nsid w:val="6CEAF087"/>
    <w:multiLevelType w:val="hybridMultilevel"/>
    <w:lvl w:ilvl="0">
      <w:lvlJc w:val="left"/>
      <w:lvlText w:val="%1."/>
      <w:numFmt w:val="decimal"/>
      <w:start w:val="7"/>
    </w:lvl>
  </w:abstractNum>
  <w:abstractNum w:abstractNumId="30">
    <w:nsid w:val="22221A70"/>
    <w:multiLevelType w:val="hybridMultilevel"/>
    <w:lvl w:ilvl="0">
      <w:lvlJc w:val="left"/>
      <w:lvlText w:val="%1."/>
      <w:numFmt w:val="decimal"/>
      <w:start w:val="13"/>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2024-05-22T16:45:01Z</dcterms:created>
  <dcterms:modified xsi:type="dcterms:W3CDTF">2024-05-22T16:45:01Z</dcterms:modified>
</cp:coreProperties>
</file>