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11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11365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Witney Frank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4"/>
          <w:szCs w:val="24"/>
          <w:color w:val="auto"/>
        </w:rPr>
      </w:pPr>
    </w:p>
    <w:p>
      <w:pPr>
        <w:sectPr>
          <w:pgSz w:w="11900" w:h="16838" w:orient="portrait"/>
          <w:cols w:equalWidth="0" w:num="3">
            <w:col w:w="3180" w:space="720"/>
            <w:col w:w="3220" w:space="61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80" w:type="dxa"/>
            <w:vAlign w:val="bottom"/>
            <w:gridSpan w:val="5"/>
            <w:vMerge w:val="restart"/>
          </w:tcPr>
          <w:p>
            <w:pPr>
              <w:ind w:left="18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80" w:type="dxa"/>
            <w:vAlign w:val="bottom"/>
            <w:gridSpan w:val="5"/>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06/20/2025</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1"/>
              </w:rPr>
              <w:t>94,592</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02"/>
              <w:spacing w:after="0"/>
              <w:rPr>
                <w:sz w:val="20"/>
                <w:szCs w:val="20"/>
                <w:color w:val="auto"/>
              </w:rPr>
            </w:pPr>
            <w:r>
              <w:rPr>
                <w:rFonts w:ascii="Times New Roman" w:cs="Times New Roman" w:eastAsia="Times New Roman" w:hAnsi="Times New Roman"/>
                <w:sz w:val="17"/>
                <w:szCs w:val="17"/>
                <w:color w:val="0000FF"/>
              </w:rPr>
              <w:t>210,862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right"/>
              <w:ind w:right="382"/>
              <w:spacing w:after="0"/>
              <w:rPr>
                <w:sz w:val="20"/>
                <w:szCs w:val="20"/>
                <w:color w:val="auto"/>
              </w:rPr>
            </w:pPr>
            <w:r>
              <w:rPr>
                <w:rFonts w:ascii="Times New Roman" w:cs="Times New Roman" w:eastAsia="Times New Roman" w:hAnsi="Times New Roman"/>
                <w:sz w:val="17"/>
                <w:szCs w:val="17"/>
                <w:color w:val="0000FF"/>
              </w:rPr>
              <w:t>4,225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1"/>
                <w:szCs w:val="11"/>
                <w:color w:val="auto"/>
              </w:rPr>
            </w:pP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60" w:type="dxa"/>
            <w:vAlign w:val="bottom"/>
          </w:tcPr>
          <w:p>
            <w:pPr>
              <w:spacing w:after="0"/>
              <w:rPr>
                <w:sz w:val="11"/>
                <w:szCs w:val="11"/>
                <w:color w:val="auto"/>
              </w:rPr>
            </w:pP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06/20/2025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125,660</w:t>
            </w:r>
          </w:p>
        </w:tc>
        <w:tc>
          <w:tcPr>
            <w:tcW w:w="280" w:type="dxa"/>
            <w:vAlign w:val="bottom"/>
          </w:tcPr>
          <w:p>
            <w:pPr>
              <w:spacing w:after="0"/>
              <w:rPr>
                <w:sz w:val="17"/>
                <w:szCs w:val="17"/>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06/20/2035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125,660</w:t>
            </w:r>
          </w:p>
        </w:tc>
        <w:tc>
          <w:tcPr>
            <w:tcW w:w="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125,660</w:t>
            </w:r>
          </w:p>
        </w:tc>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to occur of June 20, 2026 and one day prior to the date of the Company's next annual meeting of stockholders, subject to the Reporting Person's continued service through the applicable vesting date. Each RSU represents the right to receive one share of common stock upon vesting.</w:t>
      </w:r>
    </w:p>
    <w:p>
      <w:pPr>
        <w:spacing w:after="0" w:line="19" w:lineRule="exact"/>
        <w:rPr>
          <w:rFonts w:ascii="Times New Roman" w:cs="Times New Roman" w:eastAsia="Times New Roman" w:hAnsi="Times New Roman"/>
          <w:sz w:val="13"/>
          <w:szCs w:val="13"/>
          <w:color w:val="008000"/>
        </w:rPr>
      </w:pPr>
    </w:p>
    <w:p>
      <w:pPr>
        <w:ind w:left="40" w:right="4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indirectly by First Amended and Restated Revocable Trust Agreement for The Franklin R. Witney and Catherine J. Caulfield-Witney Trust Agreement Dated September 25, 2009 (dated July 31, 2018).</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installments beginning on July 20, 2025, subject to the Reporting Person's continued service through the applicable vesting date.</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Frank Witney by Tomone</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06/24/2025</w:t>
            </w:r>
          </w:p>
        </w:tc>
        <w:tc>
          <w:tcPr>
            <w:tcW w:w="0" w:type="dxa"/>
            <w:vAlign w:val="bottom"/>
          </w:tcPr>
          <w:p>
            <w:pPr>
              <w:spacing w:after="0"/>
              <w:rPr>
                <w:sz w:val="1"/>
                <w:szCs w:val="1"/>
                <w:color w:val="auto"/>
              </w:rPr>
            </w:pPr>
          </w:p>
        </w:tc>
      </w:tr>
      <w:tr>
        <w:trPr>
          <w:trHeight w:val="87"/>
        </w:trPr>
        <w:tc>
          <w:tcPr>
            <w:tcW w:w="166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4"/>
              </w:rPr>
              <w:t>Tanaka, Attorney-in-Fact</w:t>
            </w:r>
          </w:p>
        </w:tc>
        <w:tc>
          <w:tcPr>
            <w:tcW w:w="2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660" w:type="dxa"/>
            <w:vAlign w:val="bottom"/>
            <w:tcBorders>
              <w:bottom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55312"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2025-06-24T17:57:10Z</dcterms:created>
  <dcterms:modified xsi:type="dcterms:W3CDTF">2025-06-24T17:57:10Z</dcterms:modified>
</cp:coreProperties>
</file>