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August 3,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3, 2017, Fluidigm Corporation issued a press release reporting its financial results for the second quarter ended June 30, 2017.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August 3, 2017</w:t>
      </w:r>
    </w:p>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200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August 3, 2017</w:t>
            </w:r>
          </w:p>
        </w:tc>
        <w:tc>
          <w:tcPr>
            <w:tcW w:w="7880" w:type="dxa"/>
            <w:vAlign w:val="bottom"/>
            <w:gridSpan w:val="3"/>
          </w:tcPr>
          <w:p>
            <w:pPr>
              <w:ind w:left="2000"/>
              <w:spacing w:after="0"/>
              <w:rPr>
                <w:sz w:val="20"/>
                <w:szCs w:val="20"/>
                <w:color w:val="auto"/>
              </w:rPr>
            </w:pPr>
            <w:r>
              <w:rPr>
                <w:rFonts w:ascii="Arial" w:cs="Arial" w:eastAsia="Arial" w:hAnsi="Arial"/>
                <w:sz w:val="18"/>
                <w:szCs w:val="18"/>
                <w:color w:val="auto"/>
              </w:rPr>
              <w:t>By: /s/ Vikram Jog</w:t>
            </w:r>
          </w:p>
        </w:tc>
      </w:tr>
      <w:tr>
        <w:trPr>
          <w:trHeight w:val="222"/>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5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99.1 Fluidigm Corporation Press Release dated August 3, 2017</w:t>
      </w:r>
    </w:p>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Second Quarter Financial Results and Operational Progress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SOUTH SAN FRANCISCO, Calif., Aug. 03, 2017 (GLOBE NEWSWIRE) -- Fluidigm Corporation (NASDAQ:FLDM) today announced financial results for the second quarter ended June 30, 2017.</w:t>
      </w:r>
    </w:p>
    <w:p>
      <w:pPr>
        <w:spacing w:after="0" w:line="173"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Total revenue for the second quarter was $23.9 million, a decrease of 15% from $28.2 million in the second quarter of 2016 and a decrease of 6% from $25.5 million in the first quarter of 2017. GAAP net loss for the second quarter of 2017 was $16.9 million, compared with a GAAP net loss of $18.6 million for the second quarter of 2016. Non-GAAP net loss for the second quarter of 2017 was $9.0 million, compared with a $9.9 million non-GAAP net loss for the second quarter of 2016 (see accompanying table for reconciliation of GAAP and non-GAAP measures).</w:t>
      </w:r>
    </w:p>
    <w:p>
      <w:pPr>
        <w:spacing w:after="0" w:line="188"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“We are encouraged by our progress in positioning Fluidigm for a return to sustainable growth,” said Chris Linthwaite, President and CEO. “Total revenue for the quarter was in the upper range of our guidance.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“Our progress against each of our three strategic pillars has exceeded our expectations for this phase of our turnaround.</w:t>
      </w:r>
    </w:p>
    <w:p>
      <w:pPr>
        <w:spacing w:after="0" w:line="21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“In the second quarter we saw healthy demand in mass cytometry, with record consumables and service revenue growth as this technology becomes increasingly integral to research for exciting new therapies in oncology, immunology and immuno-oncology,” added Linthwaite. “In our genomics business, we added high-throughput customers and entered into new agreements aligned with our strategies to expand geographically and to offer a broader menu of applications. We remain fully committed to our single-cell customers, investing in continued innovation and support for our single-cell systems.</w:t>
      </w:r>
    </w:p>
    <w:p>
      <w:pPr>
        <w:spacing w:after="0" w:line="148"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“Fluidigm’s value proposition is delivery of extraordinary insights in health care and life science based on biomarker discovery and development. Going forward, we are confident that we have the team and the strategic direction to create long-term value.”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2017 Performance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of $23.9 million by category:</w:t>
      </w:r>
    </w:p>
    <w:p>
      <w:pPr>
        <w:spacing w:after="0" w:line="188" w:lineRule="exact"/>
        <w:rPr>
          <w:sz w:val="20"/>
          <w:szCs w:val="20"/>
          <w:color w:val="auto"/>
        </w:rPr>
      </w:pPr>
    </w:p>
    <w:p>
      <w:pPr>
        <w:ind w:left="540" w:right="340"/>
        <w:spacing w:after="0" w:line="239" w:lineRule="auto"/>
        <w:rPr>
          <w:sz w:val="20"/>
          <w:szCs w:val="20"/>
          <w:color w:val="auto"/>
        </w:rPr>
      </w:pPr>
      <w:r>
        <w:rPr>
          <w:rFonts w:ascii="Arial" w:cs="Arial" w:eastAsia="Arial" w:hAnsi="Arial"/>
          <w:sz w:val="22"/>
          <w:szCs w:val="22"/>
          <w:color w:val="auto"/>
        </w:rPr>
        <w:t>Instrument revenue decreased 25% to $9.9 million from $13.2 million in the year ago period due to reduced revenue from genomics instruments, primarily in single-cell genomics.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80"/>
        <w:spacing w:after="0" w:line="230" w:lineRule="auto"/>
        <w:rPr>
          <w:sz w:val="20"/>
          <w:szCs w:val="20"/>
          <w:color w:val="auto"/>
        </w:rPr>
      </w:pPr>
      <w:r>
        <w:rPr>
          <w:rFonts w:ascii="Arial" w:cs="Arial" w:eastAsia="Arial" w:hAnsi="Arial"/>
          <w:sz w:val="22"/>
          <w:szCs w:val="22"/>
          <w:color w:val="auto"/>
        </w:rPr>
        <w:t>Consumables revenue decreased 17% to $9.6 million from $11.5 million in the year ago period due to lower sales from genomics products, partially offset by increased revenue from mass cytometry reagents.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60"/>
        <w:spacing w:after="0" w:line="237" w:lineRule="auto"/>
        <w:rPr>
          <w:sz w:val="20"/>
          <w:szCs w:val="20"/>
          <w:color w:val="auto"/>
        </w:rPr>
      </w:pPr>
      <w:r>
        <w:rPr>
          <w:rFonts w:ascii="Arial" w:cs="Arial" w:eastAsia="Arial" w:hAnsi="Arial"/>
          <w:sz w:val="22"/>
          <w:szCs w:val="22"/>
          <w:color w:val="auto"/>
        </w:rPr>
        <w:t>Service revenue increased 27% to $4.3 million from $3.4 million in the year ago period, driven primarily by increased revenue from post-warranty service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revenue of $19.5 million by market:</w:t>
      </w:r>
    </w:p>
    <w:p>
      <w:pPr>
        <w:spacing w:after="0" w:line="212" w:lineRule="exact"/>
        <w:rPr>
          <w:sz w:val="20"/>
          <w:szCs w:val="20"/>
          <w:color w:val="auto"/>
        </w:rPr>
      </w:pPr>
    </w:p>
    <w:p>
      <w:pPr>
        <w:ind w:left="540" w:right="660"/>
        <w:spacing w:after="0" w:line="239" w:lineRule="auto"/>
        <w:rPr>
          <w:sz w:val="20"/>
          <w:szCs w:val="20"/>
          <w:color w:val="auto"/>
        </w:rPr>
      </w:pPr>
      <w:r>
        <w:rPr>
          <w:rFonts w:ascii="Arial" w:cs="Arial" w:eastAsia="Arial" w:hAnsi="Arial"/>
          <w:sz w:val="22"/>
          <w:szCs w:val="22"/>
          <w:color w:val="auto"/>
        </w:rPr>
        <w:t>Genomics product revenue of $10.9 million decreased 35% from $16.8 million in the prior year period due to reduced revenue from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80"/>
        <w:spacing w:after="0" w:line="237" w:lineRule="auto"/>
        <w:rPr>
          <w:sz w:val="20"/>
          <w:szCs w:val="20"/>
          <w:color w:val="auto"/>
        </w:rPr>
      </w:pPr>
      <w:r>
        <w:rPr>
          <w:rFonts w:ascii="Arial" w:cs="Arial" w:eastAsia="Arial" w:hAnsi="Arial"/>
          <w:sz w:val="22"/>
          <w:szCs w:val="22"/>
          <w:color w:val="auto"/>
        </w:rPr>
        <w:t>Mass cytometry product revenue of $8.6 million increased 9% from $7.9 million in the prior year period due to increased revenue from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by geographic area:</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Geographic Area Revenue by Geography Year-over-Year Change %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0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United States</w:t>
            </w:r>
          </w:p>
        </w:tc>
        <w:tc>
          <w:tcPr>
            <w:tcW w:w="2420" w:type="dxa"/>
            <w:vAlign w:val="bottom"/>
            <w:tcBorders>
              <w:top w:val="single" w:sz="8" w:color="auto"/>
            </w:tcBorders>
          </w:tcPr>
          <w:p>
            <w:pPr>
              <w:jc w:val="center"/>
              <w:ind w:right="112"/>
              <w:spacing w:after="0"/>
              <w:rPr>
                <w:sz w:val="20"/>
                <w:szCs w:val="20"/>
                <w:color w:val="auto"/>
              </w:rPr>
            </w:pPr>
            <w:r>
              <w:rPr>
                <w:rFonts w:ascii="Arial" w:cs="Arial" w:eastAsia="Arial" w:hAnsi="Arial"/>
                <w:sz w:val="22"/>
                <w:szCs w:val="22"/>
                <w:color w:val="auto"/>
                <w:w w:val="93"/>
              </w:rPr>
              <w:t>$11.7 million</w:t>
            </w:r>
          </w:p>
        </w:tc>
        <w:tc>
          <w:tcPr>
            <w:tcW w:w="2100" w:type="dxa"/>
            <w:vAlign w:val="bottom"/>
            <w:tcBorders>
              <w:top w:val="single" w:sz="8" w:color="auto"/>
            </w:tcBorders>
          </w:tcPr>
          <w:p>
            <w:pPr>
              <w:jc w:val="right"/>
              <w:ind w:right="712"/>
              <w:spacing w:after="0"/>
              <w:rPr>
                <w:sz w:val="20"/>
                <w:szCs w:val="20"/>
                <w:color w:val="auto"/>
              </w:rPr>
            </w:pPr>
            <w:r>
              <w:rPr>
                <w:rFonts w:ascii="Arial" w:cs="Arial" w:eastAsia="Arial" w:hAnsi="Arial"/>
                <w:sz w:val="22"/>
                <w:szCs w:val="22"/>
                <w:color w:val="auto"/>
              </w:rPr>
              <w:t>(16%)</w:t>
            </w:r>
          </w:p>
        </w:tc>
        <w:tc>
          <w:tcPr>
            <w:tcW w:w="1900" w:type="dxa"/>
            <w:vAlign w:val="bottom"/>
            <w:tcBorders>
              <w:top w:val="single" w:sz="8" w:color="auto"/>
            </w:tcBorders>
          </w:tcPr>
          <w:p>
            <w:pPr>
              <w:jc w:val="right"/>
              <w:ind w:right="592"/>
              <w:spacing w:after="0"/>
              <w:rPr>
                <w:sz w:val="20"/>
                <w:szCs w:val="20"/>
                <w:color w:val="auto"/>
              </w:rPr>
            </w:pPr>
            <w:r>
              <w:rPr>
                <w:rFonts w:ascii="Arial" w:cs="Arial" w:eastAsia="Arial" w:hAnsi="Arial"/>
                <w:sz w:val="22"/>
                <w:szCs w:val="22"/>
                <w:color w:val="auto"/>
              </w:rPr>
              <w:t>49%</w:t>
            </w:r>
          </w:p>
        </w:tc>
      </w:tr>
      <w:tr>
        <w:trPr>
          <w:trHeight w:val="270"/>
        </w:trPr>
        <w:tc>
          <w:tcPr>
            <w:tcW w:w="1700" w:type="dxa"/>
            <w:vAlign w:val="bottom"/>
          </w:tcPr>
          <w:p>
            <w:pPr>
              <w:ind w:left="20"/>
              <w:spacing w:after="0"/>
              <w:rPr>
                <w:sz w:val="20"/>
                <w:szCs w:val="20"/>
                <w:color w:val="auto"/>
              </w:rPr>
            </w:pPr>
            <w:r>
              <w:rPr>
                <w:rFonts w:ascii="Arial" w:cs="Arial" w:eastAsia="Arial" w:hAnsi="Arial"/>
                <w:sz w:val="22"/>
                <w:szCs w:val="22"/>
                <w:color w:val="auto"/>
              </w:rPr>
              <w:t>Europe</w:t>
            </w:r>
          </w:p>
        </w:tc>
        <w:tc>
          <w:tcPr>
            <w:tcW w:w="2420" w:type="dxa"/>
            <w:vAlign w:val="bottom"/>
          </w:tcPr>
          <w:p>
            <w:pPr>
              <w:jc w:val="center"/>
              <w:ind w:right="92"/>
              <w:spacing w:after="0"/>
              <w:rPr>
                <w:sz w:val="20"/>
                <w:szCs w:val="20"/>
                <w:color w:val="auto"/>
              </w:rPr>
            </w:pPr>
            <w:r>
              <w:rPr>
                <w:rFonts w:ascii="Arial" w:cs="Arial" w:eastAsia="Arial" w:hAnsi="Arial"/>
                <w:sz w:val="22"/>
                <w:szCs w:val="22"/>
                <w:color w:val="auto"/>
                <w:w w:val="95"/>
              </w:rPr>
              <w:t>$7.7 million</w:t>
            </w:r>
          </w:p>
        </w:tc>
        <w:tc>
          <w:tcPr>
            <w:tcW w:w="2100" w:type="dxa"/>
            <w:vAlign w:val="bottom"/>
          </w:tcPr>
          <w:p>
            <w:pPr>
              <w:jc w:val="right"/>
              <w:ind w:right="712"/>
              <w:spacing w:after="0"/>
              <w:rPr>
                <w:sz w:val="20"/>
                <w:szCs w:val="20"/>
                <w:color w:val="auto"/>
              </w:rPr>
            </w:pPr>
            <w:r>
              <w:rPr>
                <w:rFonts w:ascii="Arial" w:cs="Arial" w:eastAsia="Arial" w:hAnsi="Arial"/>
                <w:sz w:val="22"/>
                <w:szCs w:val="22"/>
                <w:color w:val="auto"/>
              </w:rPr>
              <w:t>(8%)</w:t>
            </w:r>
          </w:p>
        </w:tc>
        <w:tc>
          <w:tcPr>
            <w:tcW w:w="1900" w:type="dxa"/>
            <w:vAlign w:val="bottom"/>
          </w:tcPr>
          <w:p>
            <w:pPr>
              <w:jc w:val="right"/>
              <w:ind w:right="592"/>
              <w:spacing w:after="0"/>
              <w:rPr>
                <w:sz w:val="20"/>
                <w:szCs w:val="20"/>
                <w:color w:val="auto"/>
              </w:rPr>
            </w:pPr>
            <w:r>
              <w:rPr>
                <w:rFonts w:ascii="Arial" w:cs="Arial" w:eastAsia="Arial" w:hAnsi="Arial"/>
                <w:sz w:val="22"/>
                <w:szCs w:val="22"/>
                <w:color w:val="auto"/>
              </w:rPr>
              <w:t>32%</w:t>
            </w:r>
          </w:p>
        </w:tc>
      </w:tr>
      <w:tr>
        <w:trPr>
          <w:trHeight w:val="270"/>
        </w:trPr>
        <w:tc>
          <w:tcPr>
            <w:tcW w:w="1700" w:type="dxa"/>
            <w:vAlign w:val="bottom"/>
          </w:tcPr>
          <w:p>
            <w:pPr>
              <w:ind w:left="20"/>
              <w:spacing w:after="0"/>
              <w:rPr>
                <w:sz w:val="20"/>
                <w:szCs w:val="20"/>
                <w:color w:val="auto"/>
              </w:rPr>
            </w:pPr>
            <w:r>
              <w:rPr>
                <w:rFonts w:ascii="Arial" w:cs="Arial" w:eastAsia="Arial" w:hAnsi="Arial"/>
                <w:sz w:val="22"/>
                <w:szCs w:val="22"/>
                <w:color w:val="auto"/>
              </w:rPr>
              <w:t>Asia-Pacific</w:t>
            </w:r>
          </w:p>
        </w:tc>
        <w:tc>
          <w:tcPr>
            <w:tcW w:w="2420" w:type="dxa"/>
            <w:vAlign w:val="bottom"/>
          </w:tcPr>
          <w:p>
            <w:pPr>
              <w:jc w:val="center"/>
              <w:ind w:right="92"/>
              <w:spacing w:after="0"/>
              <w:rPr>
                <w:sz w:val="20"/>
                <w:szCs w:val="20"/>
                <w:color w:val="auto"/>
              </w:rPr>
            </w:pPr>
            <w:r>
              <w:rPr>
                <w:rFonts w:ascii="Arial" w:cs="Arial" w:eastAsia="Arial" w:hAnsi="Arial"/>
                <w:sz w:val="22"/>
                <w:szCs w:val="22"/>
                <w:color w:val="auto"/>
                <w:w w:val="95"/>
              </w:rPr>
              <w:t>$3.9 million</w:t>
            </w:r>
          </w:p>
        </w:tc>
        <w:tc>
          <w:tcPr>
            <w:tcW w:w="2100" w:type="dxa"/>
            <w:vAlign w:val="bottom"/>
          </w:tcPr>
          <w:p>
            <w:pPr>
              <w:jc w:val="right"/>
              <w:ind w:right="712"/>
              <w:spacing w:after="0"/>
              <w:rPr>
                <w:sz w:val="20"/>
                <w:szCs w:val="20"/>
                <w:color w:val="auto"/>
              </w:rPr>
            </w:pPr>
            <w:r>
              <w:rPr>
                <w:rFonts w:ascii="Arial" w:cs="Arial" w:eastAsia="Arial" w:hAnsi="Arial"/>
                <w:sz w:val="22"/>
                <w:szCs w:val="22"/>
                <w:color w:val="auto"/>
              </w:rPr>
              <w:t>(3%)</w:t>
            </w:r>
          </w:p>
        </w:tc>
        <w:tc>
          <w:tcPr>
            <w:tcW w:w="1900" w:type="dxa"/>
            <w:vAlign w:val="bottom"/>
          </w:tcPr>
          <w:p>
            <w:pPr>
              <w:jc w:val="right"/>
              <w:ind w:right="592"/>
              <w:spacing w:after="0"/>
              <w:rPr>
                <w:sz w:val="20"/>
                <w:szCs w:val="20"/>
                <w:color w:val="auto"/>
              </w:rPr>
            </w:pPr>
            <w:r>
              <w:rPr>
                <w:rFonts w:ascii="Arial" w:cs="Arial" w:eastAsia="Arial" w:hAnsi="Arial"/>
                <w:sz w:val="22"/>
                <w:szCs w:val="22"/>
                <w:color w:val="auto"/>
              </w:rPr>
              <w:t>16%</w:t>
            </w:r>
          </w:p>
        </w:tc>
      </w:tr>
      <w:tr>
        <w:trPr>
          <w:trHeight w:val="27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w:t>
            </w:r>
          </w:p>
        </w:tc>
        <w:tc>
          <w:tcPr>
            <w:tcW w:w="242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color w:val="auto"/>
              </w:rPr>
              <w:t>$0.6 million</w:t>
            </w:r>
          </w:p>
        </w:tc>
        <w:tc>
          <w:tcPr>
            <w:tcW w:w="210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(67%)</w:t>
            </w:r>
          </w:p>
        </w:tc>
        <w:tc>
          <w:tcPr>
            <w:tcW w:w="1900" w:type="dxa"/>
            <w:vAlign w:val="bottom"/>
            <w:tcBorders>
              <w:bottom w:val="single" w:sz="8" w:color="auto"/>
            </w:tcBorders>
          </w:tcPr>
          <w:p>
            <w:pPr>
              <w:jc w:val="right"/>
              <w:ind w:right="592"/>
              <w:spacing w:after="0"/>
              <w:rPr>
                <w:sz w:val="20"/>
                <w:szCs w:val="20"/>
                <w:color w:val="auto"/>
              </w:rPr>
            </w:pPr>
            <w:r>
              <w:rPr>
                <w:rFonts w:ascii="Arial" w:cs="Arial" w:eastAsia="Arial" w:hAnsi="Arial"/>
                <w:sz w:val="22"/>
                <w:szCs w:val="22"/>
                <w:color w:val="auto"/>
              </w:rPr>
              <w:t>3%</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margin:</w:t>
      </w:r>
    </w:p>
    <w:p>
      <w:pPr>
        <w:spacing w:after="0" w:line="212" w:lineRule="exact"/>
        <w:rPr>
          <w:sz w:val="20"/>
          <w:szCs w:val="20"/>
          <w:color w:val="auto"/>
        </w:rPr>
      </w:pPr>
    </w:p>
    <w:p>
      <w:pPr>
        <w:ind w:left="540" w:right="280"/>
        <w:spacing w:after="0" w:line="236" w:lineRule="auto"/>
        <w:rPr>
          <w:sz w:val="20"/>
          <w:szCs w:val="20"/>
          <w:color w:val="auto"/>
        </w:rPr>
      </w:pPr>
      <w:r>
        <w:rPr>
          <w:rFonts w:ascii="Arial" w:cs="Arial" w:eastAsia="Arial" w:hAnsi="Arial"/>
          <w:sz w:val="22"/>
          <w:szCs w:val="22"/>
          <w:color w:val="auto"/>
        </w:rPr>
        <w:t>GAAP product margin was 44.6% in the second quarter of 2017 versus 54.6% in the year ago period. The decrease was primarily due to increased unit product costs from lower production volumes, reserves for excess and obsolete inventories, and fixed amortization of developed technology over lower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0"/>
        <w:spacing w:after="0" w:line="233" w:lineRule="auto"/>
        <w:rPr>
          <w:sz w:val="20"/>
          <w:szCs w:val="20"/>
          <w:color w:val="auto"/>
        </w:rPr>
      </w:pPr>
      <w:r>
        <w:rPr>
          <w:rFonts w:ascii="Arial" w:cs="Arial" w:eastAsia="Arial" w:hAnsi="Arial"/>
          <w:sz w:val="22"/>
          <w:szCs w:val="22"/>
          <w:color w:val="auto"/>
        </w:rPr>
        <w:t>Non-GAAP product margin was 63% in the second quarter of 2017, compared with 69.5% in the year ago period. Non-GAAP product margin excludes the effects of amortization of developed technology, depreciation and amortization, and stock-based compensation expense (see accompanying table for the reconciliation of GAAP and non-GAAP product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-573405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cash equivalents, and investments as of June 30, 2017:</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22"/>
          <w:szCs w:val="22"/>
          <w:color w:val="auto"/>
        </w:rPr>
        <w:t>As of June 30, 2017, Fluidigm had $42.0 million in cash, cash equivalents, and investments, compared with $50.3 million as of March 31, 2017.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Strategic Priorities and Other Business Highlights</w:t>
      </w:r>
    </w:p>
    <w:p>
      <w:pPr>
        <w:sectPr>
          <w:pgSz w:w="11900" w:h="16838" w:orient="portrait"/>
          <w:cols w:equalWidth="0" w:num="1">
            <w:col w:w="11420"/>
          </w:cols>
          <w:pgMar w:left="240" w:top="112"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Foster Innovation and Partnerships</w:t>
      </w:r>
    </w:p>
    <w:p>
      <w:pPr>
        <w:sectPr>
          <w:pgSz w:w="11900" w:h="16838" w:orient="portrait"/>
          <w:cols w:equalWidth="0" w:num="1">
            <w:col w:w="11420"/>
          </w:cols>
          <w:pgMar w:left="240" w:top="112" w:right="239" w:bottom="0" w:gutter="0" w:footer="0" w:header="0"/>
          <w:type w:val="continuous"/>
        </w:sectPr>
      </w:pPr>
    </w:p>
    <w:bookmarkStart w:id="5" w:name="page6"/>
    <w:bookmarkEnd w:id="5"/>
    <w:p>
      <w:pPr>
        <w:ind w:left="540"/>
        <w:spacing w:after="0"/>
        <w:rPr>
          <w:sz w:val="20"/>
          <w:szCs w:val="20"/>
          <w:color w:val="auto"/>
        </w:rPr>
      </w:pPr>
      <w:r>
        <w:rPr>
          <w:rFonts w:ascii="Arial" w:cs="Arial" w:eastAsia="Arial" w:hAnsi="Arial"/>
          <w:sz w:val="22"/>
          <w:szCs w:val="22"/>
          <w:color w:val="auto"/>
        </w:rPr>
        <w:t>In Q3, we entered into two new strategic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-98425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0" w:firstLine="116"/>
        <w:spacing w:after="0" w:line="267" w:lineRule="auto"/>
        <w:tabs>
          <w:tab w:leader="none" w:pos="798" w:val="left"/>
        </w:tabs>
        <w:numPr>
          <w:ilvl w:val="0"/>
          <w:numId w:val="1"/>
        </w:numPr>
        <w:rPr>
          <w:rFonts w:ascii="Arial" w:cs="Arial" w:eastAsia="Arial" w:hAnsi="Arial"/>
          <w:sz w:val="19"/>
          <w:szCs w:val="19"/>
          <w:color w:val="auto"/>
        </w:rPr>
      </w:pPr>
      <w:r>
        <w:rPr>
          <w:rFonts w:ascii="Arial" w:cs="Arial" w:eastAsia="Arial" w:hAnsi="Arial"/>
          <w:sz w:val="19"/>
          <w:szCs w:val="19"/>
          <w:color w:val="auto"/>
        </w:rPr>
        <w:t>As we announced in July, we signed a multi-year agreement with Ascendas Genomics to support development of molecular diagnostics in China. Under the agreement, Ascendas Genomics will develop and commercialize systems and assays in China, using microfluidic technologies included in Fluidigm’s Biomark™ HD and Juno™ systems.</w:t>
      </w:r>
    </w:p>
    <w:p>
      <w:pPr>
        <w:ind w:left="540" w:right="300" w:firstLine="116"/>
        <w:spacing w:after="0" w:line="267" w:lineRule="auto"/>
        <w:tabs>
          <w:tab w:leader="none" w:pos="806" w:val="left"/>
        </w:tabs>
        <w:numPr>
          <w:ilvl w:val="0"/>
          <w:numId w:val="1"/>
        </w:numPr>
        <w:rPr>
          <w:rFonts w:ascii="Arial" w:cs="Arial" w:eastAsia="Arial" w:hAnsi="Arial"/>
          <w:sz w:val="19"/>
          <w:szCs w:val="19"/>
          <w:color w:val="auto"/>
        </w:rPr>
      </w:pPr>
      <w:r>
        <w:rPr>
          <w:rFonts w:ascii="Arial" w:cs="Arial" w:eastAsia="Arial" w:hAnsi="Arial"/>
          <w:sz w:val="19"/>
          <w:szCs w:val="19"/>
          <w:color w:val="auto"/>
        </w:rPr>
        <w:t>We also entered into a license agreement with a world-renowned leader in genetics testing, under which we obtained rights to commercialize a cystic fibrosis transmembrane conductance regulator (CFTR) library prep assay for research use with our Juno automated microfluidic system. This agreement, for which we expect to provide more detail in the coming weeks, is another example of delivering on our strategy to expand application solutions to position Fluidigm for growth.</w:t>
      </w:r>
    </w:p>
    <w:p>
      <w:pPr>
        <w:ind w:left="540" w:right="60"/>
        <w:spacing w:after="0" w:line="256" w:lineRule="auto"/>
        <w:rPr>
          <w:sz w:val="20"/>
          <w:szCs w:val="20"/>
          <w:color w:val="auto"/>
        </w:rPr>
      </w:pPr>
      <w:r>
        <w:rPr>
          <w:rFonts w:ascii="Arial" w:cs="Arial" w:eastAsia="Arial" w:hAnsi="Arial"/>
          <w:sz w:val="21"/>
          <w:szCs w:val="21"/>
          <w:color w:val="auto"/>
        </w:rPr>
        <w:t>We remain on track for our broad commercial launch of the Imaging Mass Cytometry System this fall. Demand for this first-in-class technology is strong and extends across a diverse range of customer segments and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-276860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Increase Operational Efficiency and Reduce Costs</w:t>
      </w:r>
    </w:p>
    <w:p>
      <w:pPr>
        <w:spacing w:after="0" w:line="206" w:lineRule="exact"/>
        <w:rPr>
          <w:sz w:val="20"/>
          <w:szCs w:val="20"/>
          <w:color w:val="auto"/>
        </w:rPr>
      </w:pPr>
    </w:p>
    <w:p>
      <w:pPr>
        <w:ind w:left="540" w:right="80"/>
        <w:spacing w:after="0" w:line="271" w:lineRule="auto"/>
        <w:rPr>
          <w:sz w:val="20"/>
          <w:szCs w:val="20"/>
          <w:color w:val="auto"/>
        </w:rPr>
      </w:pPr>
      <w:r>
        <w:rPr>
          <w:rFonts w:ascii="Arial" w:cs="Arial" w:eastAsia="Arial" w:hAnsi="Arial"/>
          <w:sz w:val="19"/>
          <w:szCs w:val="19"/>
          <w:color w:val="auto"/>
        </w:rPr>
        <w:t>Our Business Transformation Office and other Fluidigm initiatives are expected to deliver significant anticipated cost savings. For example, we expect to achieve more than $6 million in total savings over four years from the exit or sublease of certain Fluidigm facilities. This is in addition to approximately $8 million in cost savings before severance expenses that we expect to realize in 2017 from the actions we took in the first quarter to right-size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-565150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40"/>
        <w:spacing w:after="0" w:line="237" w:lineRule="auto"/>
        <w:rPr>
          <w:sz w:val="20"/>
          <w:szCs w:val="20"/>
          <w:color w:val="auto"/>
        </w:rPr>
      </w:pPr>
      <w:r>
        <w:rPr>
          <w:rFonts w:ascii="Arial" w:cs="Arial" w:eastAsia="Arial" w:hAnsi="Arial"/>
          <w:sz w:val="22"/>
          <w:szCs w:val="22"/>
          <w:color w:val="auto"/>
        </w:rPr>
        <w:t>Our total cash outflow decreased sequentially for the third consecutive quarter. This was in line with our guidance and reflective of our demonstrated commitment to effective cash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Improve Financial Discipline, Manage Cash Balance, and Retain Talent</w:t>
      </w:r>
    </w:p>
    <w:p>
      <w:pPr>
        <w:spacing w:after="0" w:line="206" w:lineRule="exact"/>
        <w:rPr>
          <w:sz w:val="20"/>
          <w:szCs w:val="20"/>
          <w:color w:val="auto"/>
        </w:rPr>
      </w:pPr>
    </w:p>
    <w:p>
      <w:pPr>
        <w:ind w:left="540" w:right="40"/>
        <w:spacing w:after="0" w:line="273" w:lineRule="auto"/>
        <w:rPr>
          <w:sz w:val="20"/>
          <w:szCs w:val="20"/>
          <w:color w:val="auto"/>
        </w:rPr>
      </w:pPr>
      <w:r>
        <w:rPr>
          <w:rFonts w:ascii="Arial" w:cs="Arial" w:eastAsia="Arial" w:hAnsi="Arial"/>
          <w:sz w:val="19"/>
          <w:szCs w:val="19"/>
          <w:color w:val="auto"/>
        </w:rPr>
        <w:t>In July, Angela Peters, with human resources leadership experience at both Medivation and Life Technologies, joined Fluidigm as Vice President of Global Human Resources. Peters’ pharmaceutical industry leadership experience and expertise in talent, organizational and cultural development will contribute to the successful transformation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87" w:lineRule="auto"/>
        <w:rPr>
          <w:sz w:val="20"/>
          <w:szCs w:val="20"/>
          <w:color w:val="auto"/>
        </w:rPr>
      </w:pPr>
      <w:r>
        <w:rPr>
          <w:rFonts w:ascii="Arial" w:cs="Arial" w:eastAsia="Arial" w:hAnsi="Arial"/>
          <w:sz w:val="19"/>
          <w:szCs w:val="19"/>
          <w:color w:val="auto"/>
        </w:rPr>
        <w:t>In a Current Report on Form 8-K filed with the SEC today, we announced an "at the market" equity offering program under which we may offer and sell, from time to time, up to $30 million aggregate offering price of shares of our common stock through "at the market" transactions. Please refer to the report, available on the SEC website,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-447675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2017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$24 million to $26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expenses of $27.5 million to $28.5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operating expenses of $24.5 million to $25.5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amortization expense of approximately $2 million and $1.1 million, respectively.</w:t>
      </w:r>
    </w:p>
    <w:p>
      <w:pPr>
        <w:jc w:val="both"/>
        <w:ind w:left="540" w:right="440"/>
        <w:spacing w:after="0" w:line="249" w:lineRule="auto"/>
        <w:rPr>
          <w:sz w:val="20"/>
          <w:szCs w:val="20"/>
          <w:color w:val="auto"/>
        </w:rPr>
      </w:pPr>
      <w:r>
        <w:rPr>
          <w:rFonts w:ascii="Arial" w:cs="Arial" w:eastAsia="Arial" w:hAnsi="Arial"/>
          <w:sz w:val="21"/>
          <w:szCs w:val="21"/>
          <w:color w:val="auto"/>
        </w:rPr>
        <w:t>Total cash outflow of $8.0 million to $9.0 million, which includes the $2 million effect of a litigation settlement and our semi-annual interest payment on our convertible debt of approximately $2.8 million. We expect total cash outflow in the fourth quarter of 2017 to be lower than our projected outflow for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-427355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Information</w:t>
      </w:r>
    </w:p>
    <w:p>
      <w:pPr>
        <w:spacing w:after="0" w:line="14"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Fluidigm will host a conference call today, August 3, 2017, at 2:00 p.m. PT (5:00 p.m. ET). Individuals interested in listening to the conference call may do so by dialing (877) 556-5248 for domestic callers, or (720) 545-0029 for international callers. Please reference Conference ID 37222445. Interested parties may access the live teleconference in the Investor Relations section of the company’s website at: http://investors.fluidigm.com/events.cfm. The link will not be active until 1:45 p.m. PT (4:45 p.m. ET) on August 3, 2017.</w:t>
      </w:r>
    </w:p>
    <w:p>
      <w:pPr>
        <w:spacing w:after="0" w:line="181"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A telephone replay of the teleconference will be available 90 minutes after the end of the call at (855) 859-2056 (domestic toll-free), or (404) 537-3406 (international toll), Conference ID 37222445. The conference call will also be archived on the Fluidigm Investors page at: http://investors.fluidigm.com/.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three-and six-month periods ended June 30, 2017, and June 30, 2016, as well as projected for the third quarter of 2017.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expenses exclude estimates for stock-based compensation expense, depreciation and amortization; loss on disposal of property and equipment; future changes relating to developed and acquired technologies; other intangible assets; and income taxes, among other items, certain of which are presented in the table accompanying our earnings release. The time and amount of certain material items needed to estimate non-GAAP financial measures are inherently unpredictable or outside of our controls to predict.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ectPr>
          <w:pgSz w:w="11900" w:h="16838" w:orient="portrait"/>
          <w:cols w:equalWidth="0" w:num="1">
            <w:col w:w="11400"/>
          </w:cols>
          <w:pgMar w:left="240" w:top="118" w:right="259" w:bottom="309"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5" w:lineRule="exact"/>
        <w:rPr>
          <w:sz w:val="20"/>
          <w:szCs w:val="20"/>
          <w:color w:val="auto"/>
        </w:rPr>
      </w:pPr>
    </w:p>
    <w:p>
      <w:pPr>
        <w:spacing w:after="0" w:line="245"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planned strategic initiatives and expected timing and benefits of such initiatives, expectations for the benefits of commercial agreements, future product launches and their timing, cash flow expectations and cash management plans, and projected revenues, expenses, and cash flows for the third quarter of 2017.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risks relating to introductions of new capital equipment products driving volatility in revenue from period to period; the future financial performance of Fluidigm product lines, particularly with respect to legacy instruments that may have contributed significant revenue in prior periods; challenges inherent in developing, manufacturing, launching, marketing, and selling new products; potential product performance and quality issues; the possible loss of key employees, customers, or suppliers; intellectual property risks; competition;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Fluidigm’s Annual Report on Form 10-K for the year ended December 31, 2016, and in its other filings with the Securities and Exchange Commission, including Fluidigm’s Quarterly Report on Form 10-Q for the quarter ended March 31, 2017. These forward-looking statements speak only as of the date hereof. Fluidigm disclaims any obligation to update these forward-looking statements except as may be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Fluidigm (NASDAQ:FLDM) develops, manufactures, and markets life science analytical and preparatory systems for markets such as mass cytometry, high-throughput genomics, and single-cell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Fluidigm, the Fluidigm logo, Biomark and Juno are trademarks or registered trademarks of Fluidigm Corporation.</w:t>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340" w:type="dxa"/>
            <w:vAlign w:val="bottom"/>
          </w:tcPr>
          <w:p>
            <w:pPr>
              <w:spacing w:after="0"/>
              <w:rPr>
                <w:sz w:val="23"/>
                <w:szCs w:val="23"/>
                <w:color w:val="auto"/>
              </w:rPr>
            </w:pPr>
          </w:p>
        </w:tc>
        <w:tc>
          <w:tcPr>
            <w:tcW w:w="3540" w:type="dxa"/>
            <w:vAlign w:val="bottom"/>
            <w:gridSpan w:val="4"/>
          </w:tcPr>
          <w:p>
            <w:pPr>
              <w:jc w:val="center"/>
              <w:ind w:left="572"/>
              <w:spacing w:after="0"/>
              <w:rPr>
                <w:sz w:val="20"/>
                <w:szCs w:val="20"/>
                <w:color w:val="auto"/>
              </w:rPr>
            </w:pPr>
            <w:r>
              <w:rPr>
                <w:rFonts w:ascii="Arial" w:cs="Arial" w:eastAsia="Arial" w:hAnsi="Arial"/>
                <w:sz w:val="22"/>
                <w:szCs w:val="22"/>
                <w:b w:val="1"/>
                <w:bCs w:val="1"/>
                <w:color w:val="auto"/>
              </w:rPr>
              <w:t>FLUIDIGM CORPORATION</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720" w:type="dxa"/>
            <w:vAlign w:val="bottom"/>
            <w:gridSpan w:val="9"/>
          </w:tcPr>
          <w:p>
            <w:pPr>
              <w:jc w:val="center"/>
              <w:ind w:left="2072"/>
              <w:spacing w:after="0"/>
              <w:rPr>
                <w:sz w:val="20"/>
                <w:szCs w:val="20"/>
                <w:color w:val="auto"/>
              </w:rPr>
            </w:pPr>
            <w:r>
              <w:rPr>
                <w:rFonts w:ascii="Arial" w:cs="Arial" w:eastAsia="Arial" w:hAnsi="Arial"/>
                <w:sz w:val="22"/>
                <w:szCs w:val="22"/>
                <w:b w:val="1"/>
                <w:bCs w:val="1"/>
                <w:color w:val="auto"/>
                <w:w w:val="96"/>
              </w:rPr>
              <w:t>CONDENSED CONSOLIDATED STATEMENTS OF OPERATIONS</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3340" w:type="dxa"/>
            <w:vAlign w:val="bottom"/>
          </w:tcPr>
          <w:p>
            <w:pPr>
              <w:spacing w:after="0"/>
              <w:rPr>
                <w:sz w:val="23"/>
                <w:szCs w:val="23"/>
                <w:color w:val="auto"/>
              </w:rPr>
            </w:pPr>
          </w:p>
        </w:tc>
        <w:tc>
          <w:tcPr>
            <w:tcW w:w="4020" w:type="dxa"/>
            <w:vAlign w:val="bottom"/>
            <w:gridSpan w:val="5"/>
          </w:tcPr>
          <w:p>
            <w:pPr>
              <w:jc w:val="center"/>
              <w:ind w:left="112"/>
              <w:spacing w:after="0"/>
              <w:rPr>
                <w:sz w:val="20"/>
                <w:szCs w:val="20"/>
                <w:color w:val="auto"/>
              </w:rPr>
            </w:pPr>
            <w:r>
              <w:rPr>
                <w:rFonts w:ascii="Arial" w:cs="Arial" w:eastAsia="Arial" w:hAnsi="Arial"/>
                <w:sz w:val="22"/>
                <w:szCs w:val="22"/>
                <w:b w:val="1"/>
                <w:bCs w:val="1"/>
                <w:color w:val="auto"/>
                <w:w w:val="87"/>
              </w:rPr>
              <w:t>(In thousands, except per share amounts)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3340" w:type="dxa"/>
            <w:vAlign w:val="bottom"/>
          </w:tcPr>
          <w:p>
            <w:pPr>
              <w:spacing w:after="0"/>
              <w:rPr>
                <w:sz w:val="23"/>
                <w:szCs w:val="23"/>
                <w:color w:val="auto"/>
              </w:rPr>
            </w:pPr>
          </w:p>
        </w:tc>
        <w:tc>
          <w:tcPr>
            <w:tcW w:w="3540" w:type="dxa"/>
            <w:vAlign w:val="bottom"/>
            <w:gridSpan w:val="4"/>
          </w:tcPr>
          <w:p>
            <w:pPr>
              <w:jc w:val="center"/>
              <w:ind w:left="572"/>
              <w:spacing w:after="0"/>
              <w:rPr>
                <w:sz w:val="20"/>
                <w:szCs w:val="20"/>
                <w:color w:val="auto"/>
              </w:rPr>
            </w:pPr>
            <w:r>
              <w:rPr>
                <w:rFonts w:ascii="Arial" w:cs="Arial" w:eastAsia="Arial" w:hAnsi="Arial"/>
                <w:sz w:val="22"/>
                <w:szCs w:val="22"/>
                <w:b w:val="1"/>
                <w:bCs w:val="1"/>
                <w:color w:val="auto"/>
                <w:w w:val="89"/>
              </w:rPr>
              <w:t>(Unaudited)</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2"/>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80" w:type="dxa"/>
            <w:vAlign w:val="bottom"/>
            <w:gridSpan w:val="11"/>
          </w:tcPr>
          <w:p>
            <w:pPr>
              <w:jc w:val="right"/>
              <w:spacing w:after="0"/>
              <w:rPr>
                <w:sz w:val="20"/>
                <w:szCs w:val="20"/>
                <w:color w:val="auto"/>
              </w:rPr>
            </w:pPr>
            <w:r>
              <w:rPr>
                <w:rFonts w:ascii="Arial" w:cs="Arial" w:eastAsia="Arial" w:hAnsi="Arial"/>
                <w:sz w:val="22"/>
                <w:szCs w:val="22"/>
                <w:b w:val="1"/>
                <w:bCs w:val="1"/>
                <w:color w:val="auto"/>
                <w:w w:val="90"/>
              </w:rPr>
              <w:t>Three Months Ended June 30, Six Months Ended June 30,</w:t>
            </w:r>
          </w:p>
        </w:tc>
      </w:tr>
      <w:tr>
        <w:trPr>
          <w:trHeight w:val="265"/>
        </w:trPr>
        <w:tc>
          <w:tcPr>
            <w:tcW w:w="33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5"/>
              </w:rPr>
              <w:t>2016</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w w:val="93"/>
              </w:rPr>
              <w:t>2017</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r>
      <w:tr>
        <w:trPr>
          <w:trHeight w:val="256"/>
        </w:trPr>
        <w:tc>
          <w:tcPr>
            <w:tcW w:w="3340" w:type="dxa"/>
            <w:vAlign w:val="bottom"/>
          </w:tcPr>
          <w:p>
            <w:pPr>
              <w:spacing w:after="0"/>
              <w:rPr>
                <w:sz w:val="20"/>
                <w:szCs w:val="20"/>
                <w:color w:val="auto"/>
              </w:rPr>
            </w:pPr>
            <w:r>
              <w:rPr>
                <w:rFonts w:ascii="Arial" w:cs="Arial" w:eastAsia="Arial" w:hAnsi="Arial"/>
                <w:sz w:val="22"/>
                <w:szCs w:val="22"/>
                <w:color w:val="auto"/>
              </w:rPr>
              <w:t>Revenue:</w:t>
            </w: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3340" w:type="dxa"/>
            <w:vAlign w:val="bottom"/>
          </w:tcPr>
          <w:p>
            <w:pPr>
              <w:ind w:left="160"/>
              <w:spacing w:after="0"/>
              <w:rPr>
                <w:sz w:val="20"/>
                <w:szCs w:val="20"/>
                <w:color w:val="auto"/>
              </w:rPr>
            </w:pPr>
            <w:r>
              <w:rPr>
                <w:rFonts w:ascii="Arial" w:cs="Arial" w:eastAsia="Arial" w:hAnsi="Arial"/>
                <w:sz w:val="22"/>
                <w:szCs w:val="22"/>
                <w:color w:val="auto"/>
              </w:rPr>
              <w:t>Instruments</w:t>
            </w:r>
          </w:p>
        </w:tc>
        <w:tc>
          <w:tcPr>
            <w:tcW w:w="2420" w:type="dxa"/>
            <w:vAlign w:val="bottom"/>
            <w:gridSpan w:val="2"/>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9,928</w:t>
            </w:r>
          </w:p>
        </w:tc>
        <w:tc>
          <w:tcPr>
            <w:tcW w:w="100" w:type="dxa"/>
            <w:vAlign w:val="bottom"/>
          </w:tcPr>
          <w:p>
            <w:pPr>
              <w:spacing w:after="0"/>
              <w:rPr>
                <w:sz w:val="23"/>
                <w:szCs w:val="23"/>
                <w:color w:val="auto"/>
              </w:rPr>
            </w:pPr>
          </w:p>
        </w:tc>
        <w:tc>
          <w:tcPr>
            <w:tcW w:w="48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13,195</w:t>
            </w:r>
          </w:p>
        </w:tc>
        <w:tc>
          <w:tcPr>
            <w:tcW w:w="8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20,665</w:t>
            </w:r>
          </w:p>
        </w:tc>
        <w:tc>
          <w:tcPr>
            <w:tcW w:w="10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27,009</w:t>
            </w:r>
          </w:p>
        </w:tc>
      </w:tr>
      <w:tr>
        <w:trPr>
          <w:trHeight w:val="275"/>
        </w:trPr>
        <w:tc>
          <w:tcPr>
            <w:tcW w:w="3340" w:type="dxa"/>
            <w:vAlign w:val="bottom"/>
          </w:tcPr>
          <w:p>
            <w:pPr>
              <w:ind w:left="160"/>
              <w:spacing w:after="0"/>
              <w:rPr>
                <w:sz w:val="20"/>
                <w:szCs w:val="20"/>
                <w:color w:val="auto"/>
              </w:rPr>
            </w:pPr>
            <w:r>
              <w:rPr>
                <w:rFonts w:ascii="Arial" w:cs="Arial" w:eastAsia="Arial" w:hAnsi="Arial"/>
                <w:sz w:val="22"/>
                <w:szCs w:val="22"/>
                <w:color w:val="auto"/>
              </w:rPr>
              <w:t>Consumables</w:t>
            </w:r>
          </w:p>
        </w:tc>
        <w:tc>
          <w:tcPr>
            <w:tcW w:w="2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9,572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11,538</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20,142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23,094</w:t>
            </w:r>
          </w:p>
        </w:tc>
      </w:tr>
      <w:tr>
        <w:trPr>
          <w:trHeight w:val="259"/>
        </w:trPr>
        <w:tc>
          <w:tcPr>
            <w:tcW w:w="3340" w:type="dxa"/>
            <w:vAlign w:val="bottom"/>
          </w:tcPr>
          <w:p>
            <w:pPr>
              <w:ind w:left="100"/>
              <w:spacing w:after="0"/>
              <w:rPr>
                <w:sz w:val="20"/>
                <w:szCs w:val="20"/>
                <w:color w:val="auto"/>
              </w:rPr>
            </w:pPr>
            <w:r>
              <w:rPr>
                <w:rFonts w:ascii="Arial" w:cs="Arial" w:eastAsia="Arial" w:hAnsi="Arial"/>
                <w:sz w:val="22"/>
                <w:szCs w:val="22"/>
                <w:color w:val="auto"/>
              </w:rPr>
              <w:t>Product revenue</w:t>
            </w: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19,500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24,733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40,807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50,103</w:t>
            </w: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Service revenue</w:t>
            </w:r>
          </w:p>
        </w:tc>
        <w:tc>
          <w:tcPr>
            <w:tcW w:w="2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4,319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3,389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8,486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6,933</w:t>
            </w:r>
          </w:p>
        </w:tc>
      </w:tr>
      <w:tr>
        <w:trPr>
          <w:trHeight w:val="275"/>
        </w:trPr>
        <w:tc>
          <w:tcPr>
            <w:tcW w:w="3340" w:type="dxa"/>
            <w:vAlign w:val="bottom"/>
          </w:tcPr>
          <w:p>
            <w:pPr>
              <w:ind w:left="100"/>
              <w:spacing w:after="0"/>
              <w:rPr>
                <w:sz w:val="20"/>
                <w:szCs w:val="20"/>
                <w:color w:val="auto"/>
              </w:rPr>
            </w:pPr>
            <w:r>
              <w:rPr>
                <w:rFonts w:ascii="Arial" w:cs="Arial" w:eastAsia="Arial" w:hAnsi="Arial"/>
                <w:sz w:val="22"/>
                <w:szCs w:val="22"/>
                <w:color w:val="auto"/>
              </w:rPr>
              <w:t>License revenue</w:t>
            </w:r>
          </w:p>
        </w:tc>
        <w:tc>
          <w:tcPr>
            <w:tcW w:w="2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93</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46</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135</w:t>
            </w:r>
          </w:p>
        </w:tc>
      </w:tr>
      <w:tr>
        <w:trPr>
          <w:trHeight w:val="259"/>
        </w:trPr>
        <w:tc>
          <w:tcPr>
            <w:tcW w:w="3340" w:type="dxa"/>
            <w:vAlign w:val="bottom"/>
          </w:tcPr>
          <w:p>
            <w:pPr>
              <w:spacing w:after="0"/>
              <w:rPr>
                <w:sz w:val="20"/>
                <w:szCs w:val="20"/>
                <w:color w:val="auto"/>
              </w:rPr>
            </w:pPr>
            <w:r>
              <w:rPr>
                <w:rFonts w:ascii="Arial" w:cs="Arial" w:eastAsia="Arial" w:hAnsi="Arial"/>
                <w:sz w:val="22"/>
                <w:szCs w:val="22"/>
                <w:color w:val="auto"/>
              </w:rPr>
              <w:t>Total revenue</w:t>
            </w: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23,912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28,168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49,445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57,171</w:t>
            </w:r>
          </w:p>
        </w:tc>
      </w:tr>
      <w:tr>
        <w:trPr>
          <w:trHeight w:val="270"/>
        </w:trPr>
        <w:tc>
          <w:tcPr>
            <w:tcW w:w="3340" w:type="dxa"/>
            <w:vAlign w:val="bottom"/>
          </w:tcPr>
          <w:p>
            <w:pPr>
              <w:spacing w:after="0"/>
              <w:rPr>
                <w:sz w:val="20"/>
                <w:szCs w:val="20"/>
                <w:color w:val="auto"/>
              </w:rPr>
            </w:pPr>
            <w:r>
              <w:rPr>
                <w:rFonts w:ascii="Arial" w:cs="Arial" w:eastAsia="Arial" w:hAnsi="Arial"/>
                <w:sz w:val="22"/>
                <w:szCs w:val="22"/>
                <w:color w:val="auto"/>
              </w:rPr>
              <w:t>Costs and expenses:</w:t>
            </w:r>
          </w:p>
        </w:tc>
        <w:tc>
          <w:tcPr>
            <w:tcW w:w="2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Cost of product revenue</w:t>
            </w:r>
          </w:p>
        </w:tc>
        <w:tc>
          <w:tcPr>
            <w:tcW w:w="2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10,794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11,239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21,644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22,026</w:t>
            </w: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Cost of service revenue</w:t>
            </w:r>
          </w:p>
        </w:tc>
        <w:tc>
          <w:tcPr>
            <w:tcW w:w="2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1,169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1,248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2,288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2,446</w:t>
            </w: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Research and development</w:t>
            </w:r>
          </w:p>
        </w:tc>
        <w:tc>
          <w:tcPr>
            <w:tcW w:w="2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7,461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9,978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15,986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20,390</w:t>
            </w:r>
          </w:p>
        </w:tc>
      </w:tr>
      <w:tr>
        <w:trPr>
          <w:trHeight w:val="275"/>
        </w:trPr>
        <w:tc>
          <w:tcPr>
            <w:tcW w:w="3340" w:type="dxa"/>
            <w:vAlign w:val="bottom"/>
          </w:tcPr>
          <w:p>
            <w:pPr>
              <w:ind w:left="100"/>
              <w:spacing w:after="0"/>
              <w:rPr>
                <w:sz w:val="20"/>
                <w:szCs w:val="20"/>
                <w:color w:val="auto"/>
              </w:rPr>
            </w:pPr>
            <w:r>
              <w:rPr>
                <w:rFonts w:ascii="Arial" w:cs="Arial" w:eastAsia="Arial" w:hAnsi="Arial"/>
                <w:sz w:val="22"/>
                <w:szCs w:val="22"/>
                <w:color w:val="auto"/>
                <w:w w:val="95"/>
              </w:rPr>
              <w:t>Selling, general and administrative</w:t>
            </w:r>
          </w:p>
        </w:tc>
        <w:tc>
          <w:tcPr>
            <w:tcW w:w="2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20,975</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23,845</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43,551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49,320</w:t>
            </w:r>
          </w:p>
        </w:tc>
      </w:tr>
      <w:tr>
        <w:trPr>
          <w:trHeight w:val="267"/>
        </w:trPr>
        <w:tc>
          <w:tcPr>
            <w:tcW w:w="334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2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40,399</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46,310</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83,469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94,182</w:t>
            </w:r>
          </w:p>
        </w:tc>
      </w:tr>
      <w:tr>
        <w:trPr>
          <w:trHeight w:val="256"/>
        </w:trPr>
        <w:tc>
          <w:tcPr>
            <w:tcW w:w="3340" w:type="dxa"/>
            <w:vAlign w:val="bottom"/>
          </w:tcPr>
          <w:p>
            <w:pPr>
              <w:spacing w:after="0"/>
              <w:rPr>
                <w:sz w:val="20"/>
                <w:szCs w:val="20"/>
                <w:color w:val="auto"/>
              </w:rPr>
            </w:pPr>
            <w:r>
              <w:rPr>
                <w:rFonts w:ascii="Arial" w:cs="Arial" w:eastAsia="Arial" w:hAnsi="Arial"/>
                <w:sz w:val="22"/>
                <w:szCs w:val="22"/>
                <w:color w:val="auto"/>
              </w:rPr>
              <w:t>Loss from operations</w:t>
            </w: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(16,487)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(18,142)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5"/>
              </w:rPr>
              <w:t>(34,024)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(37,011)</w:t>
            </w:r>
          </w:p>
        </w:tc>
      </w:tr>
      <w:tr>
        <w:trPr>
          <w:trHeight w:val="270"/>
        </w:trPr>
        <w:tc>
          <w:tcPr>
            <w:tcW w:w="3340" w:type="dxa"/>
            <w:vAlign w:val="bottom"/>
          </w:tcPr>
          <w:p>
            <w:pPr>
              <w:spacing w:after="0"/>
              <w:rPr>
                <w:sz w:val="20"/>
                <w:szCs w:val="20"/>
                <w:color w:val="auto"/>
              </w:rPr>
            </w:pPr>
            <w:r>
              <w:rPr>
                <w:rFonts w:ascii="Arial" w:cs="Arial" w:eastAsia="Arial" w:hAnsi="Arial"/>
                <w:sz w:val="22"/>
                <w:szCs w:val="22"/>
                <w:color w:val="auto"/>
              </w:rPr>
              <w:t>Interest expense</w:t>
            </w:r>
          </w:p>
        </w:tc>
        <w:tc>
          <w:tcPr>
            <w:tcW w:w="2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(1,456)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(1,453)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(2,911)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(2,906)</w:t>
            </w: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2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183</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(368)</w:t>
            </w:r>
          </w:p>
        </w:tc>
      </w:tr>
      <w:tr>
        <w:trPr>
          <w:trHeight w:val="259"/>
        </w:trPr>
        <w:tc>
          <w:tcPr>
            <w:tcW w:w="334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(17,760)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(19,639)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5"/>
              </w:rPr>
              <w:t>(36,742)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(40,285)</w:t>
            </w:r>
          </w:p>
        </w:tc>
      </w:tr>
      <w:tr>
        <w:trPr>
          <w:trHeight w:val="276"/>
        </w:trPr>
        <w:tc>
          <w:tcPr>
            <w:tcW w:w="3340" w:type="dxa"/>
            <w:vAlign w:val="bottom"/>
          </w:tcPr>
          <w:p>
            <w:pPr>
              <w:spacing w:after="0"/>
              <w:rPr>
                <w:sz w:val="20"/>
                <w:szCs w:val="20"/>
                <w:color w:val="auto"/>
              </w:rPr>
            </w:pPr>
            <w:r>
              <w:rPr>
                <w:rFonts w:ascii="Arial" w:cs="Arial" w:eastAsia="Arial" w:hAnsi="Arial"/>
                <w:sz w:val="22"/>
                <w:szCs w:val="22"/>
                <w:color w:val="auto"/>
              </w:rPr>
              <w:t>Benefit from income taxes</w:t>
            </w:r>
          </w:p>
        </w:tc>
        <w:tc>
          <w:tcPr>
            <w:tcW w:w="2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827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1,022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2,608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1,784</w:t>
            </w:r>
          </w:p>
        </w:tc>
      </w:tr>
      <w:tr>
        <w:trPr>
          <w:trHeight w:val="265"/>
        </w:trPr>
        <w:tc>
          <w:tcPr>
            <w:tcW w:w="3340" w:type="dxa"/>
            <w:vAlign w:val="bottom"/>
          </w:tcPr>
          <w:p>
            <w:pPr>
              <w:spacing w:after="0"/>
              <w:rPr>
                <w:sz w:val="20"/>
                <w:szCs w:val="20"/>
                <w:color w:val="auto"/>
              </w:rPr>
            </w:pPr>
            <w:r>
              <w:rPr>
                <w:rFonts w:ascii="Arial" w:cs="Arial" w:eastAsia="Arial" w:hAnsi="Arial"/>
                <w:sz w:val="22"/>
                <w:szCs w:val="22"/>
                <w:color w:val="auto"/>
              </w:rPr>
              <w:t>Net loss</w:t>
            </w:r>
          </w:p>
        </w:tc>
        <w:tc>
          <w:tcPr>
            <w:tcW w:w="2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(16,933)</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(18,617)</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(34,134)</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(38,501)</w:t>
            </w:r>
          </w:p>
        </w:tc>
      </w:tr>
      <w:tr>
        <w:trPr>
          <w:trHeight w:val="21"/>
        </w:trPr>
        <w:tc>
          <w:tcPr>
            <w:tcW w:w="3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111" w:right="259" w:bottom="63" w:gutter="0" w:footer="0" w:header="0"/>
        </w:sectPr>
      </w:pPr>
    </w:p>
    <w:bookmarkStart w:id="7" w:name="page8"/>
    <w:bookmarkEnd w:id="7"/>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44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(0.64)</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w:t>
            </w:r>
          </w:p>
        </w:tc>
      </w:tr>
      <w:tr>
        <w:trPr>
          <w:trHeight w:val="22"/>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34"/>
        </w:trPr>
        <w:tc>
          <w:tcPr>
            <w:tcW w:w="5440" w:type="dxa"/>
            <w:vAlign w:val="bottom"/>
          </w:tcPr>
          <w:p>
            <w:pPr>
              <w:spacing w:after="0"/>
              <w:rPr>
                <w:sz w:val="20"/>
                <w:szCs w:val="20"/>
                <w:color w:val="auto"/>
              </w:rPr>
            </w:pPr>
            <w:r>
              <w:rPr>
                <w:rFonts w:ascii="Arial" w:cs="Arial" w:eastAsia="Arial" w:hAnsi="Arial"/>
                <w:sz w:val="22"/>
                <w:szCs w:val="22"/>
                <w:color w:val="auto"/>
                <w:w w:val="88"/>
              </w:rPr>
              <w:t>Shares used in computing net loss per share, basic and diluted</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29,344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28,944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29,292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28,904</w:t>
            </w:r>
          </w:p>
        </w:tc>
      </w:tr>
      <w:tr>
        <w:trPr>
          <w:trHeight w:val="21"/>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66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66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2660"/>
        <w:spacing w:after="0"/>
        <w:rPr>
          <w:sz w:val="20"/>
          <w:szCs w:val="20"/>
          <w:color w:val="auto"/>
        </w:rPr>
      </w:pPr>
      <w:r>
        <w:rPr>
          <w:rFonts w:ascii="Arial" w:cs="Arial" w:eastAsia="Arial" w:hAnsi="Arial"/>
          <w:sz w:val="22"/>
          <w:szCs w:val="22"/>
          <w:i w:val="1"/>
          <w:iCs w:val="1"/>
          <w:color w:val="auto"/>
        </w:rPr>
        <w:t>(In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4860" w:type="dxa"/>
            <w:vAlign w:val="bottom"/>
          </w:tcPr>
          <w:p>
            <w:pPr>
              <w:spacing w:after="0"/>
              <w:rPr>
                <w:sz w:val="24"/>
                <w:szCs w:val="24"/>
                <w:color w:val="auto"/>
              </w:rPr>
            </w:pPr>
          </w:p>
        </w:tc>
        <w:tc>
          <w:tcPr>
            <w:tcW w:w="3400" w:type="dxa"/>
            <w:vAlign w:val="bottom"/>
            <w:gridSpan w:val="5"/>
          </w:tcPr>
          <w:p>
            <w:pPr>
              <w:jc w:val="right"/>
              <w:spacing w:after="0"/>
              <w:rPr>
                <w:sz w:val="20"/>
                <w:szCs w:val="20"/>
                <w:color w:val="auto"/>
              </w:rPr>
            </w:pPr>
            <w:r>
              <w:rPr>
                <w:rFonts w:ascii="Arial" w:cs="Arial" w:eastAsia="Arial" w:hAnsi="Arial"/>
                <w:sz w:val="43"/>
                <w:szCs w:val="43"/>
                <w:b w:val="1"/>
                <w:bCs w:val="1"/>
                <w:color w:val="auto"/>
                <w:w w:val="79"/>
                <w:vertAlign w:val="subscript"/>
              </w:rPr>
              <w:t>June 30, 2017</w:t>
            </w:r>
            <w:r>
              <w:rPr>
                <w:rFonts w:ascii="Arial" w:cs="Arial" w:eastAsia="Arial" w:hAnsi="Arial"/>
                <w:sz w:val="22"/>
                <w:szCs w:val="22"/>
                <w:b w:val="1"/>
                <w:bCs w:val="1"/>
                <w:color w:val="auto"/>
                <w:w w:val="79"/>
              </w:rPr>
              <w:t xml:space="preserve"> December 31, 2016 </w:t>
            </w:r>
            <w:r>
              <w:rPr>
                <w:rFonts w:ascii="Arial" w:cs="Arial" w:eastAsia="Arial" w:hAnsi="Arial"/>
                <w:sz w:val="36"/>
                <w:szCs w:val="36"/>
                <w:b w:val="1"/>
                <w:bCs w:val="1"/>
                <w:color w:val="auto"/>
                <w:w w:val="79"/>
                <w:vertAlign w:val="subscript"/>
              </w:rPr>
              <w:t>(1)</w:t>
            </w:r>
          </w:p>
        </w:tc>
        <w:tc>
          <w:tcPr>
            <w:tcW w:w="0" w:type="dxa"/>
            <w:vAlign w:val="bottom"/>
          </w:tcPr>
          <w:p>
            <w:pPr>
              <w:spacing w:after="0"/>
              <w:rPr>
                <w:sz w:val="1"/>
                <w:szCs w:val="1"/>
                <w:color w:val="auto"/>
              </w:rPr>
            </w:pPr>
          </w:p>
        </w:tc>
      </w:tr>
      <w:tr>
        <w:trPr>
          <w:trHeight w:val="278"/>
        </w:trPr>
        <w:tc>
          <w:tcPr>
            <w:tcW w:w="486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w w:val="96"/>
              </w:rPr>
              <w:t>(Unaudited)</w:t>
            </w: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8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Current assets: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39,597</w:t>
            </w:r>
          </w:p>
        </w:tc>
        <w:tc>
          <w:tcPr>
            <w:tcW w:w="80" w:type="dxa"/>
            <w:vAlign w:val="bottom"/>
          </w:tcPr>
          <w:p>
            <w:pPr>
              <w:spacing w:after="0"/>
              <w:rPr>
                <w:sz w:val="23"/>
                <w:szCs w:val="23"/>
                <w:color w:val="auto"/>
              </w:rPr>
            </w:pPr>
          </w:p>
        </w:tc>
        <w:tc>
          <w:tcPr>
            <w:tcW w:w="80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35,045</w:t>
            </w:r>
          </w:p>
        </w:tc>
        <w:tc>
          <w:tcPr>
            <w:tcW w:w="0" w:type="dxa"/>
            <w:vAlign w:val="bottom"/>
          </w:tcPr>
          <w:p>
            <w:pPr>
              <w:spacing w:after="0"/>
              <w:rPr>
                <w:sz w:val="1"/>
                <w:szCs w:val="1"/>
                <w:color w:val="auto"/>
              </w:rPr>
            </w:pPr>
          </w:p>
        </w:tc>
      </w:tr>
      <w:tr>
        <w:trPr>
          <w:trHeight w:val="270"/>
        </w:trPr>
        <w:tc>
          <w:tcPr>
            <w:tcW w:w="4860" w:type="dxa"/>
            <w:vAlign w:val="bottom"/>
          </w:tcPr>
          <w:p>
            <w:pPr>
              <w:ind w:left="100"/>
              <w:spacing w:after="0"/>
              <w:rPr>
                <w:sz w:val="20"/>
                <w:szCs w:val="20"/>
                <w:color w:val="auto"/>
              </w:rPr>
            </w:pPr>
            <w:r>
              <w:rPr>
                <w:rFonts w:ascii="Arial" w:cs="Arial" w:eastAsia="Arial" w:hAnsi="Arial"/>
                <w:sz w:val="22"/>
                <w:szCs w:val="22"/>
                <w:color w:val="auto"/>
              </w:rPr>
              <w:t>Short-term investments</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2,434</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24,385</w:t>
            </w:r>
          </w:p>
        </w:tc>
        <w:tc>
          <w:tcPr>
            <w:tcW w:w="0" w:type="dxa"/>
            <w:vAlign w:val="bottom"/>
          </w:tcPr>
          <w:p>
            <w:pPr>
              <w:spacing w:after="0"/>
              <w:rPr>
                <w:sz w:val="1"/>
                <w:szCs w:val="1"/>
                <w:color w:val="auto"/>
              </w:rPr>
            </w:pPr>
          </w:p>
        </w:tc>
      </w:tr>
      <w:tr>
        <w:trPr>
          <w:trHeight w:val="270"/>
        </w:trPr>
        <w:tc>
          <w:tcPr>
            <w:tcW w:w="486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13,659</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14,610</w:t>
            </w:r>
          </w:p>
        </w:tc>
        <w:tc>
          <w:tcPr>
            <w:tcW w:w="0" w:type="dxa"/>
            <w:vAlign w:val="bottom"/>
          </w:tcPr>
          <w:p>
            <w:pPr>
              <w:spacing w:after="0"/>
              <w:rPr>
                <w:sz w:val="1"/>
                <w:szCs w:val="1"/>
                <w:color w:val="auto"/>
              </w:rPr>
            </w:pPr>
          </w:p>
        </w:tc>
      </w:tr>
      <w:tr>
        <w:trPr>
          <w:trHeight w:val="270"/>
        </w:trPr>
        <w:tc>
          <w:tcPr>
            <w:tcW w:w="486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18,765</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20,114</w:t>
            </w:r>
          </w:p>
        </w:tc>
        <w:tc>
          <w:tcPr>
            <w:tcW w:w="0" w:type="dxa"/>
            <w:vAlign w:val="bottom"/>
          </w:tcPr>
          <w:p>
            <w:pPr>
              <w:spacing w:after="0"/>
              <w:rPr>
                <w:sz w:val="1"/>
                <w:szCs w:val="1"/>
                <w:color w:val="auto"/>
              </w:rPr>
            </w:pPr>
          </w:p>
        </w:tc>
      </w:tr>
      <w:tr>
        <w:trPr>
          <w:trHeight w:val="275"/>
        </w:trPr>
        <w:tc>
          <w:tcPr>
            <w:tcW w:w="4860" w:type="dxa"/>
            <w:vAlign w:val="bottom"/>
          </w:tcPr>
          <w:p>
            <w:pPr>
              <w:ind w:left="100"/>
              <w:spacing w:after="0"/>
              <w:rPr>
                <w:sz w:val="20"/>
                <w:szCs w:val="20"/>
                <w:color w:val="auto"/>
              </w:rPr>
            </w:pPr>
            <w:r>
              <w:rPr>
                <w:rFonts w:ascii="Arial" w:cs="Arial" w:eastAsia="Arial" w:hAnsi="Arial"/>
                <w:sz w:val="22"/>
                <w:szCs w:val="22"/>
                <w:color w:val="auto"/>
              </w:rPr>
              <w:t>Prepaid expenses and other current assets</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4,670</w:t>
            </w:r>
          </w:p>
        </w:tc>
        <w:tc>
          <w:tcPr>
            <w:tcW w:w="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2,517</w:t>
            </w: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0"/>
                <w:szCs w:val="20"/>
                <w:color w:val="auto"/>
              </w:rPr>
            </w:pPr>
            <w:r>
              <w:rPr>
                <w:rFonts w:ascii="Arial" w:cs="Arial" w:eastAsia="Arial" w:hAnsi="Arial"/>
                <w:sz w:val="22"/>
                <w:szCs w:val="22"/>
                <w:color w:val="auto"/>
              </w:rPr>
              <w:t>Total current assets</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79,125</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96,671</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13,966</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16,525</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7,310</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9,291</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74,200</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79,800</w:t>
            </w: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0"/>
                <w:szCs w:val="20"/>
                <w:color w:val="auto"/>
              </w:rPr>
            </w:pPr>
            <w:r>
              <w:rPr>
                <w:rFonts w:ascii="Arial" w:cs="Arial" w:eastAsia="Arial" w:hAnsi="Arial"/>
                <w:sz w:val="22"/>
                <w:szCs w:val="22"/>
                <w:color w:val="auto"/>
              </w:rPr>
              <w:t>Goodwill</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0"/>
                <w:szCs w:val="20"/>
                <w:color w:val="auto"/>
              </w:rPr>
            </w:pPr>
            <w:r>
              <w:rPr>
                <w:rFonts w:ascii="Arial" w:cs="Arial" w:eastAsia="Arial" w:hAnsi="Arial"/>
                <w:sz w:val="22"/>
                <w:szCs w:val="22"/>
                <w:color w:val="auto"/>
              </w:rPr>
              <w:t>Total assets</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278,709</w:t>
            </w:r>
          </w:p>
        </w:tc>
        <w:tc>
          <w:tcPr>
            <w:tcW w:w="80" w:type="dxa"/>
            <w:vAlign w:val="bottom"/>
          </w:tcPr>
          <w:p>
            <w:pPr>
              <w:spacing w:after="0"/>
              <w:rPr>
                <w:sz w:val="23"/>
                <w:szCs w:val="23"/>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Current liabilities: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3,858</w:t>
            </w:r>
          </w:p>
        </w:tc>
        <w:tc>
          <w:tcPr>
            <w:tcW w:w="80" w:type="dxa"/>
            <w:vAlign w:val="bottom"/>
          </w:tcPr>
          <w:p>
            <w:pPr>
              <w:spacing w:after="0"/>
              <w:rPr>
                <w:sz w:val="23"/>
                <w:szCs w:val="23"/>
                <w:color w:val="auto"/>
              </w:rPr>
            </w:pPr>
          </w:p>
        </w:tc>
        <w:tc>
          <w:tcPr>
            <w:tcW w:w="80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3,967</w:t>
            </w:r>
          </w:p>
        </w:tc>
        <w:tc>
          <w:tcPr>
            <w:tcW w:w="0" w:type="dxa"/>
            <w:vAlign w:val="bottom"/>
          </w:tcPr>
          <w:p>
            <w:pPr>
              <w:spacing w:after="0"/>
              <w:rPr>
                <w:sz w:val="1"/>
                <w:szCs w:val="1"/>
                <w:color w:val="auto"/>
              </w:rPr>
            </w:pPr>
          </w:p>
        </w:tc>
      </w:tr>
      <w:tr>
        <w:trPr>
          <w:trHeight w:val="270"/>
        </w:trPr>
        <w:tc>
          <w:tcPr>
            <w:tcW w:w="4860" w:type="dxa"/>
            <w:vAlign w:val="bottom"/>
          </w:tcPr>
          <w:p>
            <w:pPr>
              <w:ind w:left="100"/>
              <w:spacing w:after="0"/>
              <w:rPr>
                <w:sz w:val="20"/>
                <w:szCs w:val="20"/>
                <w:color w:val="auto"/>
              </w:rPr>
            </w:pPr>
            <w:r>
              <w:rPr>
                <w:rFonts w:ascii="Arial" w:cs="Arial" w:eastAsia="Arial" w:hAnsi="Arial"/>
                <w:sz w:val="22"/>
                <w:szCs w:val="22"/>
                <w:color w:val="auto"/>
              </w:rPr>
              <w:t>Accrued compensation and related benefits</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7,871</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3,996</w:t>
            </w:r>
          </w:p>
        </w:tc>
        <w:tc>
          <w:tcPr>
            <w:tcW w:w="0" w:type="dxa"/>
            <w:vAlign w:val="bottom"/>
          </w:tcPr>
          <w:p>
            <w:pPr>
              <w:spacing w:after="0"/>
              <w:rPr>
                <w:sz w:val="1"/>
                <w:szCs w:val="1"/>
                <w:color w:val="auto"/>
              </w:rPr>
            </w:pPr>
          </w:p>
        </w:tc>
      </w:tr>
      <w:tr>
        <w:trPr>
          <w:trHeight w:val="270"/>
        </w:trPr>
        <w:tc>
          <w:tcPr>
            <w:tcW w:w="4860" w:type="dxa"/>
            <w:vAlign w:val="bottom"/>
          </w:tcPr>
          <w:p>
            <w:pPr>
              <w:ind w:left="100"/>
              <w:spacing w:after="0"/>
              <w:rPr>
                <w:sz w:val="20"/>
                <w:szCs w:val="20"/>
                <w:color w:val="auto"/>
              </w:rPr>
            </w:pPr>
            <w:r>
              <w:rPr>
                <w:rFonts w:ascii="Arial" w:cs="Arial" w:eastAsia="Arial" w:hAnsi="Arial"/>
                <w:sz w:val="22"/>
                <w:szCs w:val="22"/>
                <w:color w:val="auto"/>
              </w:rPr>
              <w:t>Other accrued liabilities</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13,498</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12,374</w:t>
            </w:r>
          </w:p>
        </w:tc>
        <w:tc>
          <w:tcPr>
            <w:tcW w:w="0" w:type="dxa"/>
            <w:vAlign w:val="bottom"/>
          </w:tcPr>
          <w:p>
            <w:pPr>
              <w:spacing w:after="0"/>
              <w:rPr>
                <w:sz w:val="1"/>
                <w:szCs w:val="1"/>
                <w:color w:val="auto"/>
              </w:rPr>
            </w:pPr>
          </w:p>
        </w:tc>
      </w:tr>
      <w:tr>
        <w:trPr>
          <w:trHeight w:val="275"/>
        </w:trPr>
        <w:tc>
          <w:tcPr>
            <w:tcW w:w="4860" w:type="dxa"/>
            <w:vAlign w:val="bottom"/>
          </w:tcPr>
          <w:p>
            <w:pPr>
              <w:ind w:left="100"/>
              <w:spacing w:after="0"/>
              <w:rPr>
                <w:sz w:val="20"/>
                <w:szCs w:val="20"/>
                <w:color w:val="auto"/>
              </w:rPr>
            </w:pPr>
            <w:r>
              <w:rPr>
                <w:rFonts w:ascii="Arial" w:cs="Arial" w:eastAsia="Arial" w:hAnsi="Arial"/>
                <w:sz w:val="22"/>
                <w:szCs w:val="22"/>
                <w:color w:val="auto"/>
              </w:rPr>
              <w:t>Deferred revenue, current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9,097</w:t>
            </w:r>
          </w:p>
        </w:tc>
        <w:tc>
          <w:tcPr>
            <w:tcW w:w="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9,163</w:t>
            </w: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34,324</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29,500</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Convertible notes, net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195,094</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194,951</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16,729</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21,140</w:t>
            </w:r>
          </w:p>
        </w:tc>
        <w:tc>
          <w:tcPr>
            <w:tcW w:w="0" w:type="dxa"/>
            <w:vAlign w:val="bottom"/>
          </w:tcPr>
          <w:p>
            <w:pPr>
              <w:spacing w:after="0"/>
              <w:rPr>
                <w:sz w:val="1"/>
                <w:szCs w:val="1"/>
                <w:color w:val="auto"/>
              </w:rPr>
            </w:pPr>
          </w:p>
        </w:tc>
      </w:tr>
      <w:tr>
        <w:trPr>
          <w:trHeight w:val="275"/>
        </w:trPr>
        <w:tc>
          <w:tcPr>
            <w:tcW w:w="486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8,625</w:t>
            </w:r>
          </w:p>
        </w:tc>
        <w:tc>
          <w:tcPr>
            <w:tcW w:w="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7,571</w:t>
            </w: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0"/>
                <w:szCs w:val="20"/>
                <w:color w:val="auto"/>
              </w:rPr>
            </w:pPr>
            <w:r>
              <w:rPr>
                <w:rFonts w:ascii="Arial" w:cs="Arial" w:eastAsia="Arial" w:hAnsi="Arial"/>
                <w:sz w:val="22"/>
                <w:szCs w:val="22"/>
                <w:color w:val="auto"/>
              </w:rPr>
              <w:t>Total liabilities</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254,772</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253,162</w:t>
            </w: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23,937</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53,233</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278,709</w:t>
            </w:r>
          </w:p>
        </w:tc>
        <w:tc>
          <w:tcPr>
            <w:tcW w:w="80" w:type="dxa"/>
            <w:vAlign w:val="bottom"/>
          </w:tcPr>
          <w:p>
            <w:pPr>
              <w:spacing w:after="0"/>
              <w:rPr>
                <w:sz w:val="23"/>
                <w:szCs w:val="23"/>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4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4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40"/>
        <w:spacing w:after="0"/>
        <w:rPr>
          <w:sz w:val="20"/>
          <w:szCs w:val="20"/>
          <w:color w:val="auto"/>
        </w:rPr>
      </w:pPr>
      <w:r>
        <w:rPr>
          <w:rFonts w:ascii="Arial" w:cs="Arial" w:eastAsia="Arial" w:hAnsi="Arial"/>
          <w:sz w:val="22"/>
          <w:szCs w:val="22"/>
          <w:b w:val="1"/>
          <w:bCs w:val="1"/>
          <w:color w:val="auto"/>
        </w:rPr>
        <w:t>(In thousands)</w:t>
      </w:r>
    </w:p>
    <w:p>
      <w:pPr>
        <w:spacing w:after="0" w:line="17" w:lineRule="exact"/>
        <w:rPr>
          <w:sz w:val="20"/>
          <w:szCs w:val="20"/>
          <w:color w:val="auto"/>
        </w:rPr>
      </w:pPr>
    </w:p>
    <w:p>
      <w:pPr>
        <w:jc w:val="center"/>
        <w:ind w:right="204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34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b w:val="1"/>
                <w:bCs w:val="1"/>
                <w:color w:val="auto"/>
                <w:w w:val="88"/>
              </w:rPr>
              <w:t>Six Months Ended June 30,</w:t>
            </w:r>
          </w:p>
        </w:tc>
      </w:tr>
      <w:tr>
        <w:trPr>
          <w:trHeight w:val="265"/>
        </w:trPr>
        <w:tc>
          <w:tcPr>
            <w:tcW w:w="6340" w:type="dxa"/>
            <w:vAlign w:val="bottom"/>
          </w:tcPr>
          <w:p>
            <w:pPr>
              <w:spacing w:after="0"/>
              <w:rPr>
                <w:sz w:val="23"/>
                <w:szCs w:val="23"/>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r>
      <w:tr>
        <w:trPr>
          <w:trHeight w:val="256"/>
        </w:trPr>
        <w:tc>
          <w:tcPr>
            <w:tcW w:w="634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Net loss</w:t>
            </w:r>
          </w:p>
        </w:tc>
        <w:tc>
          <w:tcPr>
            <w:tcW w:w="1220" w:type="dxa"/>
            <w:vAlign w:val="bottom"/>
          </w:tcPr>
          <w:p>
            <w:pPr>
              <w:jc w:val="right"/>
              <w:spacing w:after="0"/>
              <w:rPr>
                <w:sz w:val="20"/>
                <w:szCs w:val="20"/>
                <w:color w:val="auto"/>
              </w:rPr>
            </w:pPr>
            <w:r>
              <w:rPr>
                <w:rFonts w:ascii="Arial" w:cs="Arial" w:eastAsia="Arial" w:hAnsi="Arial"/>
                <w:sz w:val="22"/>
                <w:szCs w:val="22"/>
                <w:color w:val="auto"/>
              </w:rPr>
              <w:t>$   (34,134)</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(38,501)</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4,088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3,245</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4,775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7,447</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5,600</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Other non-cash items</w:t>
            </w:r>
          </w:p>
        </w:tc>
        <w:tc>
          <w:tcPr>
            <w:tcW w:w="1220" w:type="dxa"/>
            <w:vAlign w:val="bottom"/>
          </w:tcPr>
          <w:p>
            <w:pPr>
              <w:jc w:val="right"/>
              <w:spacing w:after="0"/>
              <w:rPr>
                <w:sz w:val="20"/>
                <w:szCs w:val="20"/>
                <w:color w:val="auto"/>
              </w:rPr>
            </w:pPr>
            <w:r>
              <w:rPr>
                <w:rFonts w:ascii="Arial" w:cs="Arial" w:eastAsia="Arial" w:hAnsi="Arial"/>
                <w:sz w:val="22"/>
                <w:szCs w:val="22"/>
                <w:color w:val="auto"/>
              </w:rPr>
              <w:t>(417)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554</w:t>
            </w:r>
          </w:p>
        </w:tc>
      </w:tr>
      <w:tr>
        <w:trPr>
          <w:trHeight w:val="275"/>
        </w:trPr>
        <w:tc>
          <w:tcPr>
            <w:tcW w:w="634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3,310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6,509</w:t>
            </w:r>
          </w:p>
        </w:tc>
      </w:tr>
      <w:tr>
        <w:trPr>
          <w:trHeight w:val="272"/>
        </w:trPr>
        <w:tc>
          <w:tcPr>
            <w:tcW w:w="634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1220" w:type="dxa"/>
            <w:vAlign w:val="bottom"/>
          </w:tcPr>
          <w:p>
            <w:pPr>
              <w:jc w:val="right"/>
              <w:spacing w:after="0"/>
              <w:rPr>
                <w:sz w:val="20"/>
                <w:szCs w:val="20"/>
                <w:color w:val="auto"/>
              </w:rPr>
            </w:pPr>
            <w:r>
              <w:rPr>
                <w:rFonts w:ascii="Arial" w:cs="Arial" w:eastAsia="Arial" w:hAnsi="Arial"/>
                <w:sz w:val="22"/>
                <w:szCs w:val="22"/>
                <w:color w:val="auto"/>
              </w:rPr>
              <w:t>(16,778)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(15,146)</w:t>
            </w:r>
          </w:p>
        </w:tc>
      </w:tr>
    </w:tbl>
    <w:p>
      <w:pPr>
        <w:sectPr>
          <w:pgSz w:w="11900" w:h="16929" w:orient="portrait"/>
          <w:cols w:equalWidth="0" w:num="1">
            <w:col w:w="10920"/>
          </w:cols>
          <w:pgMar w:left="260" w:top="118" w:right="719" w:bottom="0" w:gutter="0" w:footer="0" w:header="0"/>
        </w:sectPr>
      </w:pPr>
    </w:p>
    <w:bookmarkStart w:id="8" w:name="page9"/>
    <w:bookmarkEnd w:id="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34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(1,452)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(34,559)</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32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23,375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56,387</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Proceeds from sale of investment in Verinata</w:t>
            </w:r>
          </w:p>
        </w:tc>
        <w:tc>
          <w:tcPr>
            <w:tcW w:w="32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2,330</w:t>
            </w:r>
          </w:p>
        </w:tc>
      </w:tr>
      <w:tr>
        <w:trPr>
          <w:trHeight w:val="275"/>
        </w:trPr>
        <w:tc>
          <w:tcPr>
            <w:tcW w:w="634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(2,662)</w:t>
            </w:r>
          </w:p>
        </w:tc>
      </w:tr>
      <w:tr>
        <w:trPr>
          <w:trHeight w:val="272"/>
        </w:trPr>
        <w:tc>
          <w:tcPr>
            <w:tcW w:w="6340" w:type="dxa"/>
            <w:vAlign w:val="bottom"/>
          </w:tcPr>
          <w:p>
            <w:pPr>
              <w:spacing w:after="0"/>
              <w:rPr>
                <w:sz w:val="20"/>
                <w:szCs w:val="20"/>
                <w:color w:val="auto"/>
              </w:rPr>
            </w:pPr>
            <w:r>
              <w:rPr>
                <w:rFonts w:ascii="Arial" w:cs="Arial" w:eastAsia="Arial" w:hAnsi="Arial"/>
                <w:sz w:val="22"/>
                <w:szCs w:val="22"/>
                <w:color w:val="auto"/>
              </w:rPr>
              <w:t>Net cash provided by investing activities</w:t>
            </w:r>
          </w:p>
        </w:tc>
        <w:tc>
          <w:tcPr>
            <w:tcW w:w="32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21,089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21,496</w:t>
            </w:r>
          </w:p>
        </w:tc>
      </w:tr>
      <w:tr>
        <w:trPr>
          <w:trHeight w:val="528"/>
        </w:trPr>
        <w:tc>
          <w:tcPr>
            <w:tcW w:w="634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5"/>
        </w:trPr>
        <w:tc>
          <w:tcPr>
            <w:tcW w:w="6340" w:type="dxa"/>
            <w:vAlign w:val="bottom"/>
          </w:tcPr>
          <w:p>
            <w:pPr>
              <w:spacing w:after="0"/>
              <w:rPr>
                <w:sz w:val="20"/>
                <w:szCs w:val="20"/>
                <w:color w:val="auto"/>
              </w:rPr>
            </w:pPr>
            <w:r>
              <w:rPr>
                <w:rFonts w:ascii="Arial" w:cs="Arial" w:eastAsia="Arial" w:hAnsi="Arial"/>
                <w:sz w:val="22"/>
                <w:szCs w:val="22"/>
                <w:color w:val="auto"/>
                <w:w w:val="89"/>
              </w:rPr>
              <w:t>Proceeds from issuance of common stock through stock plans, net of tax</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134</w:t>
            </w:r>
          </w:p>
        </w:tc>
      </w:tr>
      <w:tr>
        <w:trPr>
          <w:trHeight w:val="272"/>
        </w:trPr>
        <w:tc>
          <w:tcPr>
            <w:tcW w:w="6340" w:type="dxa"/>
            <w:vAlign w:val="bottom"/>
          </w:tcPr>
          <w:p>
            <w:pPr>
              <w:spacing w:after="0"/>
              <w:rPr>
                <w:sz w:val="20"/>
                <w:szCs w:val="20"/>
                <w:color w:val="auto"/>
              </w:rPr>
            </w:pPr>
            <w:r>
              <w:rPr>
                <w:rFonts w:ascii="Arial" w:cs="Arial" w:eastAsia="Arial" w:hAnsi="Arial"/>
                <w:sz w:val="22"/>
                <w:szCs w:val="22"/>
                <w:color w:val="auto"/>
              </w:rPr>
              <w:t>Net cash (used in) provided by financing activities</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134</w:t>
            </w:r>
          </w:p>
        </w:tc>
      </w:tr>
      <w:tr>
        <w:trPr>
          <w:trHeight w:val="532"/>
        </w:trPr>
        <w:tc>
          <w:tcPr>
            <w:tcW w:w="6340" w:type="dxa"/>
            <w:vAlign w:val="bottom"/>
          </w:tcPr>
          <w:p>
            <w:pPr>
              <w:spacing w:after="0"/>
              <w:rPr>
                <w:sz w:val="20"/>
                <w:szCs w:val="20"/>
                <w:color w:val="auto"/>
              </w:rPr>
            </w:pPr>
            <w:r>
              <w:rPr>
                <w:rFonts w:ascii="Arial" w:cs="Arial" w:eastAsia="Arial" w:hAnsi="Arial"/>
                <w:sz w:val="22"/>
                <w:szCs w:val="22"/>
                <w:color w:val="auto"/>
                <w:w w:val="88"/>
              </w:rPr>
              <w:t>Effect of foreign exchange rate fluctuations on cash and cash equivalents</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297</w:t>
            </w:r>
          </w:p>
        </w:tc>
      </w:tr>
      <w:tr>
        <w:trPr>
          <w:trHeight w:val="259"/>
        </w:trPr>
        <w:tc>
          <w:tcPr>
            <w:tcW w:w="6340" w:type="dxa"/>
            <w:vAlign w:val="bottom"/>
          </w:tcPr>
          <w:p>
            <w:pPr>
              <w:spacing w:after="0"/>
              <w:rPr>
                <w:sz w:val="20"/>
                <w:szCs w:val="20"/>
                <w:color w:val="auto"/>
              </w:rPr>
            </w:pPr>
            <w:r>
              <w:rPr>
                <w:rFonts w:ascii="Arial" w:cs="Arial" w:eastAsia="Arial" w:hAnsi="Arial"/>
                <w:sz w:val="22"/>
                <w:szCs w:val="22"/>
                <w:color w:val="auto"/>
              </w:rPr>
              <w:t>Net increase in cash and cash equivalents</w:t>
            </w:r>
          </w:p>
        </w:tc>
        <w:tc>
          <w:tcPr>
            <w:tcW w:w="32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22"/>
                <w:szCs w:val="22"/>
                <w:color w:val="auto"/>
              </w:rPr>
              <w:t>4,552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6,781</w:t>
            </w:r>
          </w:p>
        </w:tc>
      </w:tr>
      <w:tr>
        <w:trPr>
          <w:trHeight w:val="276"/>
        </w:trPr>
        <w:tc>
          <w:tcPr>
            <w:tcW w:w="634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35,045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29,117</w:t>
            </w:r>
          </w:p>
        </w:tc>
      </w:tr>
      <w:tr>
        <w:trPr>
          <w:trHeight w:val="265"/>
        </w:trPr>
        <w:tc>
          <w:tcPr>
            <w:tcW w:w="634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39,597</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35,898</w:t>
            </w:r>
          </w:p>
        </w:tc>
      </w:tr>
      <w:tr>
        <w:trPr>
          <w:trHeight w:val="21"/>
        </w:trPr>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80" w:type="dxa"/>
            <w:vAlign w:val="bottom"/>
            <w:gridSpan w:val="8"/>
          </w:tcPr>
          <w:p>
            <w:pPr>
              <w:jc w:val="center"/>
              <w:ind w:left="2512"/>
              <w:spacing w:after="0"/>
              <w:rPr>
                <w:sz w:val="20"/>
                <w:szCs w:val="20"/>
                <w:color w:val="auto"/>
              </w:rPr>
            </w:pPr>
            <w:r>
              <w:rPr>
                <w:rFonts w:ascii="Arial" w:cs="Arial" w:eastAsia="Arial" w:hAnsi="Arial"/>
                <w:sz w:val="22"/>
                <w:szCs w:val="22"/>
                <w:b w:val="1"/>
                <w:bCs w:val="1"/>
                <w:color w:val="auto"/>
              </w:rPr>
              <w:t>FLUIDIGM CORPORATION</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20" w:type="dxa"/>
            <w:vAlign w:val="bottom"/>
            <w:gridSpan w:val="11"/>
          </w:tcPr>
          <w:p>
            <w:pPr>
              <w:jc w:val="center"/>
              <w:ind w:left="1112"/>
              <w:spacing w:after="0"/>
              <w:rPr>
                <w:sz w:val="20"/>
                <w:szCs w:val="20"/>
                <w:color w:val="auto"/>
              </w:rPr>
            </w:pPr>
            <w:r>
              <w:rPr>
                <w:rFonts w:ascii="Arial" w:cs="Arial" w:eastAsia="Arial" w:hAnsi="Arial"/>
                <w:sz w:val="22"/>
                <w:szCs w:val="22"/>
                <w:b w:val="1"/>
                <w:bCs w:val="1"/>
                <w:color w:val="auto"/>
              </w:rPr>
              <w:t>RECONCILIATION OF GAAP TO NON-GAAP FINANCIAL INFORMATION</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gridSpan w:val="8"/>
          </w:tcPr>
          <w:p>
            <w:pPr>
              <w:jc w:val="center"/>
              <w:ind w:left="2492"/>
              <w:spacing w:after="0"/>
              <w:rPr>
                <w:sz w:val="20"/>
                <w:szCs w:val="20"/>
                <w:color w:val="auto"/>
              </w:rPr>
            </w:pPr>
            <w:r>
              <w:rPr>
                <w:rFonts w:ascii="Arial" w:cs="Arial" w:eastAsia="Arial" w:hAnsi="Arial"/>
                <w:sz w:val="22"/>
                <w:szCs w:val="22"/>
                <w:b w:val="1"/>
                <w:bCs w:val="1"/>
                <w:color w:val="auto"/>
                <w:w w:val="87"/>
              </w:rPr>
              <w:t>(In thousands, except per share amounts)</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520" w:type="dxa"/>
            <w:vAlign w:val="bottom"/>
            <w:gridSpan w:val="4"/>
          </w:tcPr>
          <w:p>
            <w:pPr>
              <w:jc w:val="center"/>
              <w:ind w:right="360"/>
              <w:spacing w:after="0"/>
              <w:rPr>
                <w:sz w:val="20"/>
                <w:szCs w:val="20"/>
                <w:color w:val="auto"/>
              </w:rPr>
            </w:pPr>
            <w:r>
              <w:rPr>
                <w:rFonts w:ascii="Arial" w:cs="Arial" w:eastAsia="Arial" w:hAnsi="Arial"/>
                <w:sz w:val="22"/>
                <w:szCs w:val="22"/>
                <w:b w:val="1"/>
                <w:bCs w:val="1"/>
                <w:color w:val="auto"/>
                <w:w w:val="91"/>
              </w:rPr>
              <w:t>(Unaudited)</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gridSpan w:val="6"/>
          </w:tcPr>
          <w:p>
            <w:pPr>
              <w:ind w:left="20"/>
              <w:spacing w:after="0"/>
              <w:rPr>
                <w:sz w:val="20"/>
                <w:szCs w:val="20"/>
                <w:color w:val="auto"/>
              </w:rPr>
            </w:pPr>
            <w:r>
              <w:rPr>
                <w:rFonts w:ascii="Arial" w:cs="Arial" w:eastAsia="Arial" w:hAnsi="Arial"/>
                <w:sz w:val="22"/>
                <w:szCs w:val="22"/>
                <w:b w:val="1"/>
                <w:bCs w:val="1"/>
                <w:color w:val="auto"/>
                <w:w w:val="93"/>
              </w:rPr>
              <w:t>Three Months Ended June 30,</w:t>
            </w:r>
          </w:p>
        </w:tc>
        <w:tc>
          <w:tcPr>
            <w:tcW w:w="2620" w:type="dxa"/>
            <w:vAlign w:val="bottom"/>
            <w:gridSpan w:val="5"/>
          </w:tcPr>
          <w:p>
            <w:pPr>
              <w:ind w:left="20"/>
              <w:spacing w:after="0"/>
              <w:rPr>
                <w:sz w:val="20"/>
                <w:szCs w:val="20"/>
                <w:color w:val="auto"/>
              </w:rPr>
            </w:pPr>
            <w:r>
              <w:rPr>
                <w:rFonts w:ascii="Arial" w:cs="Arial" w:eastAsia="Arial" w:hAnsi="Arial"/>
                <w:sz w:val="22"/>
                <w:szCs w:val="22"/>
                <w:b w:val="1"/>
                <w:bCs w:val="1"/>
                <w:color w:val="auto"/>
                <w:w w:val="90"/>
              </w:rPr>
              <w:t>Six Months Ended June 30,</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8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526"/>
        </w:trPr>
        <w:tc>
          <w:tcPr>
            <w:tcW w:w="4460" w:type="dxa"/>
            <w:vAlign w:val="bottom"/>
          </w:tcPr>
          <w:p>
            <w:pPr>
              <w:spacing w:after="0"/>
              <w:rPr>
                <w:sz w:val="20"/>
                <w:szCs w:val="20"/>
                <w:color w:val="auto"/>
              </w:rPr>
            </w:pPr>
            <w:r>
              <w:rPr>
                <w:rFonts w:ascii="Arial" w:cs="Arial" w:eastAsia="Arial" w:hAnsi="Arial"/>
                <w:sz w:val="22"/>
                <w:szCs w:val="22"/>
                <w:color w:val="auto"/>
              </w:rPr>
              <w:t>Net loss (GAAP)</w:t>
            </w:r>
          </w:p>
        </w:tc>
        <w:tc>
          <w:tcPr>
            <w:tcW w:w="340" w:type="dxa"/>
            <w:vAlign w:val="bottom"/>
            <w:gridSpan w:val="2"/>
          </w:tcPr>
          <w:p>
            <w:pPr>
              <w:ind w:left="100"/>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(16,933)</w:t>
            </w:r>
          </w:p>
        </w:tc>
        <w:tc>
          <w:tcPr>
            <w:tcW w:w="10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(18,617)</w:t>
            </w:r>
          </w:p>
        </w:tc>
        <w:tc>
          <w:tcPr>
            <w:tcW w:w="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(34,134)</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(38,501)</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2,329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3,730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4,775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7,447</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Interest expense (b)</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1,456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1,453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2,911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2,906</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2,048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1,552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3,919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3,016</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w w:val="94"/>
              </w:rPr>
              <w:t>Benefit from acquisition related income taxes (c)</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(655)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(808)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(1,658)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(1,826)</w:t>
            </w:r>
          </w:p>
        </w:tc>
        <w:tc>
          <w:tcPr>
            <w:tcW w:w="0" w:type="dxa"/>
            <w:vAlign w:val="bottom"/>
          </w:tcPr>
          <w:p>
            <w:pPr>
              <w:spacing w:after="0"/>
              <w:rPr>
                <w:sz w:val="1"/>
                <w:szCs w:val="1"/>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Arial" w:cs="Arial" w:eastAsia="Arial" w:hAnsi="Arial"/>
                <w:sz w:val="22"/>
                <w:szCs w:val="22"/>
                <w:color w:val="auto"/>
              </w:rPr>
              <w:t>Net loss (Non-GAAP)</w:t>
            </w:r>
          </w:p>
        </w:tc>
        <w:tc>
          <w:tcPr>
            <w:tcW w:w="60" w:type="dxa"/>
            <w:vAlign w:val="bottom"/>
          </w:tcPr>
          <w:p>
            <w:pPr>
              <w:spacing w:after="0"/>
              <w:rPr>
                <w:sz w:val="23"/>
                <w:szCs w:val="23"/>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(8,955)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(9,885)</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(18,587)</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(21,346)</w:t>
            </w:r>
          </w:p>
        </w:tc>
        <w:tc>
          <w:tcPr>
            <w:tcW w:w="0" w:type="dxa"/>
            <w:vAlign w:val="bottom"/>
          </w:tcPr>
          <w:p>
            <w:pPr>
              <w:spacing w:after="0"/>
              <w:rPr>
                <w:sz w:val="1"/>
                <w:szCs w:val="1"/>
                <w:color w:val="auto"/>
              </w:rPr>
            </w:pPr>
          </w:p>
        </w:tc>
      </w:tr>
      <w:tr>
        <w:trPr>
          <w:trHeight w:val="21"/>
        </w:trPr>
        <w:tc>
          <w:tcPr>
            <w:tcW w:w="4460" w:type="dxa"/>
            <w:vAlign w:val="bottom"/>
            <w:vMerge w:val="restart"/>
          </w:tcPr>
          <w:p>
            <w:pPr>
              <w:spacing w:after="0"/>
              <w:rPr>
                <w:sz w:val="20"/>
                <w:szCs w:val="20"/>
                <w:color w:val="auto"/>
              </w:rPr>
            </w:pPr>
            <w:r>
              <w:rPr>
                <w:rFonts w:ascii="Arial" w:cs="Arial" w:eastAsia="Arial" w:hAnsi="Arial"/>
                <w:sz w:val="22"/>
                <w:szCs w:val="22"/>
                <w:color w:val="auto"/>
                <w:w w:val="98"/>
              </w:rPr>
              <w:t>Shares used in net loss per share calculation -</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4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22"/>
                <w:szCs w:val="22"/>
                <w:color w:val="auto"/>
              </w:rPr>
              <w:t>29,344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vMerge w:val="restart"/>
          </w:tcPr>
          <w:p>
            <w:pPr>
              <w:jc w:val="right"/>
              <w:ind w:right="152"/>
              <w:spacing w:after="0"/>
              <w:rPr>
                <w:sz w:val="20"/>
                <w:szCs w:val="20"/>
                <w:color w:val="auto"/>
              </w:rPr>
            </w:pPr>
            <w:r>
              <w:rPr>
                <w:rFonts w:ascii="Arial" w:cs="Arial" w:eastAsia="Arial" w:hAnsi="Arial"/>
                <w:sz w:val="22"/>
                <w:szCs w:val="22"/>
                <w:color w:val="auto"/>
              </w:rPr>
              <w:t>28,944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vMerge w:val="restart"/>
          </w:tcPr>
          <w:p>
            <w:pPr>
              <w:jc w:val="right"/>
              <w:ind w:right="132"/>
              <w:spacing w:after="0"/>
              <w:rPr>
                <w:sz w:val="20"/>
                <w:szCs w:val="20"/>
                <w:color w:val="auto"/>
              </w:rPr>
            </w:pPr>
            <w:r>
              <w:rPr>
                <w:rFonts w:ascii="Arial" w:cs="Arial" w:eastAsia="Arial" w:hAnsi="Arial"/>
                <w:sz w:val="22"/>
                <w:szCs w:val="22"/>
                <w:color w:val="auto"/>
              </w:rPr>
              <w:t>29,292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vMerge w:val="restart"/>
          </w:tcPr>
          <w:p>
            <w:pPr>
              <w:jc w:val="right"/>
              <w:ind w:right="132"/>
              <w:spacing w:after="0"/>
              <w:rPr>
                <w:sz w:val="20"/>
                <w:szCs w:val="20"/>
                <w:color w:val="auto"/>
              </w:rPr>
            </w:pPr>
            <w:r>
              <w:rPr>
                <w:rFonts w:ascii="Arial" w:cs="Arial" w:eastAsia="Arial" w:hAnsi="Arial"/>
                <w:sz w:val="22"/>
                <w:szCs w:val="22"/>
                <w:color w:val="auto"/>
              </w:rPr>
              <w:t>28,904</w:t>
            </w:r>
          </w:p>
        </w:tc>
        <w:tc>
          <w:tcPr>
            <w:tcW w:w="0" w:type="dxa"/>
            <w:vAlign w:val="bottom"/>
          </w:tcPr>
          <w:p>
            <w:pPr>
              <w:spacing w:after="0"/>
              <w:rPr>
                <w:sz w:val="1"/>
                <w:szCs w:val="1"/>
                <w:color w:val="auto"/>
              </w:rPr>
            </w:pPr>
          </w:p>
        </w:tc>
      </w:tr>
      <w:tr>
        <w:trPr>
          <w:trHeight w:val="274"/>
        </w:trPr>
        <w:tc>
          <w:tcPr>
            <w:tcW w:w="4460" w:type="dxa"/>
            <w:vAlign w:val="bottom"/>
          </w:tcPr>
          <w:p>
            <w:pPr>
              <w:ind w:left="120"/>
              <w:spacing w:after="0"/>
              <w:rPr>
                <w:sz w:val="20"/>
                <w:szCs w:val="20"/>
                <w:color w:val="auto"/>
              </w:rPr>
            </w:pPr>
            <w:r>
              <w:rPr>
                <w:rFonts w:ascii="Arial" w:cs="Arial" w:eastAsia="Arial" w:hAnsi="Arial"/>
                <w:sz w:val="22"/>
                <w:szCs w:val="22"/>
                <w:color w:val="auto"/>
              </w:rPr>
              <w:t>basic and diluted (GAAP and Non-GAAP)</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460" w:type="dxa"/>
            <w:vAlign w:val="bottom"/>
          </w:tcPr>
          <w:p>
            <w:pPr>
              <w:spacing w:after="0"/>
              <w:rPr>
                <w:sz w:val="20"/>
                <w:szCs w:val="20"/>
                <w:color w:val="auto"/>
              </w:rPr>
            </w:pPr>
            <w:r>
              <w:rPr>
                <w:rFonts w:ascii="Arial" w:cs="Arial" w:eastAsia="Arial" w:hAnsi="Arial"/>
                <w:sz w:val="22"/>
                <w:szCs w:val="22"/>
                <w:color w:val="auto"/>
                <w:w w:val="99"/>
              </w:rPr>
              <w:t>Net loss per share - basic and diluted (GAAP)</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(0.58)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(0.64)</w:t>
            </w:r>
          </w:p>
        </w:tc>
        <w:tc>
          <w:tcPr>
            <w:tcW w:w="80" w:type="dxa"/>
            <w:vAlign w:val="bottom"/>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(1.17)</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Arial" w:cs="Arial" w:eastAsia="Arial" w:hAnsi="Arial"/>
                <w:sz w:val="22"/>
                <w:szCs w:val="22"/>
                <w:color w:val="auto"/>
                <w:w w:val="90"/>
              </w:rPr>
              <w:t>Net loss per share - basic and diluted (Non-GAAP)</w:t>
            </w: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rPr>
              <w:t>(0.31)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rPr>
              <w:t>(0.34)</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rPr>
              <w:t>(0.63)</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rPr>
              <w:t>(0.74)</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ITEMIZED RECONCILIATION BETWEEN GAAP AND NON-GAAP PRODUCT MARGIN</w:t>
      </w:r>
    </w:p>
    <w:p>
      <w:pPr>
        <w:sectPr>
          <w:pgSz w:w="11900" w:h="16853" w:orient="portrait"/>
          <w:cols w:equalWidth="0" w:num="1">
            <w:col w:w="10199"/>
          </w:cols>
          <w:pgMar w:left="260" w:top="4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Product margin (GAAP)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Amortization of developed technology (a)</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(d)</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Stock-based compensation expense (d)</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Product margin (Non-GAAP)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Product margin percentage (GAAP)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Product margin percentage (Non-GAAP)</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960" w:type="dxa"/>
            <w:vAlign w:val="bottom"/>
            <w:gridSpan w:val="6"/>
          </w:tcPr>
          <w:p>
            <w:pPr>
              <w:ind w:left="20"/>
              <w:spacing w:after="0"/>
              <w:rPr>
                <w:sz w:val="20"/>
                <w:szCs w:val="20"/>
                <w:color w:val="auto"/>
              </w:rPr>
            </w:pPr>
            <w:r>
              <w:rPr>
                <w:rFonts w:ascii="Arial" w:cs="Arial" w:eastAsia="Arial" w:hAnsi="Arial"/>
                <w:sz w:val="22"/>
                <w:szCs w:val="22"/>
                <w:b w:val="1"/>
                <w:bCs w:val="1"/>
                <w:color w:val="auto"/>
                <w:w w:val="93"/>
              </w:rPr>
              <w:t>Three Months Ended June 30,</w:t>
            </w:r>
          </w:p>
        </w:tc>
        <w:tc>
          <w:tcPr>
            <w:tcW w:w="2620" w:type="dxa"/>
            <w:vAlign w:val="bottom"/>
            <w:gridSpan w:val="5"/>
          </w:tcPr>
          <w:p>
            <w:pPr>
              <w:ind w:left="20"/>
              <w:spacing w:after="0"/>
              <w:rPr>
                <w:sz w:val="20"/>
                <w:szCs w:val="20"/>
                <w:color w:val="auto"/>
              </w:rPr>
            </w:pPr>
            <w:r>
              <w:rPr>
                <w:rFonts w:ascii="Arial" w:cs="Arial" w:eastAsia="Arial" w:hAnsi="Arial"/>
                <w:sz w:val="22"/>
                <w:szCs w:val="22"/>
                <w:b w:val="1"/>
                <w:bCs w:val="1"/>
                <w:color w:val="auto"/>
                <w:w w:val="90"/>
              </w:rPr>
              <w:t>Six Months Ended June 30,</w:t>
            </w:r>
          </w:p>
        </w:tc>
      </w:tr>
      <w:tr>
        <w:trPr>
          <w:trHeight w:val="265"/>
        </w:trPr>
        <w:tc>
          <w:tcPr>
            <w:tcW w:w="2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8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r>
      <w:tr>
        <w:trPr>
          <w:trHeight w:val="256"/>
        </w:trPr>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8,706</w:t>
            </w:r>
          </w:p>
        </w:tc>
        <w:tc>
          <w:tcPr>
            <w:tcW w:w="100" w:type="dxa"/>
            <w:vAlign w:val="bottom"/>
          </w:tcPr>
          <w:p>
            <w:pPr>
              <w:spacing w:after="0"/>
              <w:rPr>
                <w:sz w:val="22"/>
                <w:szCs w:val="22"/>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13,494</w:t>
            </w:r>
          </w:p>
        </w:tc>
        <w:tc>
          <w:tcPr>
            <w:tcW w:w="8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19,163</w:t>
            </w:r>
          </w:p>
        </w:tc>
        <w:tc>
          <w:tcPr>
            <w:tcW w:w="80" w:type="dxa"/>
            <w:vAlign w:val="bottom"/>
          </w:tcPr>
          <w:p>
            <w:pPr>
              <w:spacing w:after="0"/>
              <w:rPr>
                <w:sz w:val="22"/>
                <w:szCs w:val="22"/>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28,077</w:t>
            </w:r>
          </w:p>
        </w:tc>
      </w:tr>
      <w:tr>
        <w:trPr>
          <w:trHeight w:val="270"/>
        </w:trPr>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5,600</w:t>
            </w:r>
          </w:p>
        </w:tc>
      </w:tr>
      <w:tr>
        <w:trPr>
          <w:trHeight w:val="270"/>
        </w:trPr>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543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549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1,094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1,088</w:t>
            </w:r>
          </w:p>
        </w:tc>
      </w:tr>
      <w:tr>
        <w:trPr>
          <w:trHeight w:val="276"/>
        </w:trPr>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229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338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569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716</w:t>
            </w:r>
          </w:p>
        </w:tc>
      </w:tr>
      <w:tr>
        <w:trPr>
          <w:trHeight w:val="265"/>
        </w:trPr>
        <w:tc>
          <w:tcPr>
            <w:tcW w:w="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12,278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17,181</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26,426</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35,481</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6"/>
        </w:trPr>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54.6%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47.0%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56.0%</w:t>
            </w:r>
          </w:p>
        </w:tc>
      </w:tr>
      <w:tr>
        <w:trPr>
          <w:trHeight w:val="275"/>
        </w:trPr>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69.5%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64.8%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70.8%</w:t>
            </w:r>
          </w:p>
        </w:tc>
      </w:tr>
    </w:tbl>
    <w:p>
      <w:pPr>
        <w:spacing w:after="0" w:line="200" w:lineRule="exact"/>
        <w:rPr>
          <w:sz w:val="20"/>
          <w:szCs w:val="20"/>
          <w:color w:val="auto"/>
        </w:rPr>
      </w:pPr>
    </w:p>
    <w:p>
      <w:pPr>
        <w:sectPr>
          <w:pgSz w:w="11900" w:h="16853" w:orient="portrait"/>
          <w:cols w:equalWidth="0" w:num="2">
            <w:col w:w="3800" w:space="720"/>
            <w:col w:w="5679"/>
          </w:cols>
          <w:pgMar w:left="260" w:top="409" w:right="1440" w:bottom="0" w:gutter="0" w:footer="0" w:header="0"/>
          <w:type w:val="continuous"/>
        </w:sectPr>
      </w:pPr>
    </w:p>
    <w:p>
      <w:pPr>
        <w:spacing w:after="0" w:line="33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p>
      <w:pPr>
        <w:spacing w:after="0" w:line="287" w:lineRule="exact"/>
        <w:rPr>
          <w:sz w:val="20"/>
          <w:szCs w:val="20"/>
          <w:color w:val="auto"/>
        </w:rPr>
      </w:pPr>
    </w:p>
    <w:p>
      <w:pPr>
        <w:jc w:val="right"/>
        <w:ind w:right="159"/>
        <w:spacing w:after="0"/>
        <w:rPr>
          <w:sz w:val="20"/>
          <w:szCs w:val="20"/>
          <w:color w:val="auto"/>
        </w:rPr>
      </w:pPr>
      <w:r>
        <w:rPr>
          <w:rFonts w:ascii="Arial" w:cs="Arial" w:eastAsia="Arial" w:hAnsi="Arial"/>
          <w:sz w:val="22"/>
          <w:szCs w:val="22"/>
          <w:b w:val="1"/>
          <w:bCs w:val="1"/>
          <w:u w:val="single" w:color="auto"/>
          <w:color w:val="auto"/>
        </w:rPr>
        <w:t>Three Months Ended June 30,  Six Months Ended June 30,</w:t>
      </w:r>
    </w:p>
    <w:p>
      <w:pPr>
        <w:sectPr>
          <w:pgSz w:w="11900" w:h="16853" w:orient="portrait"/>
          <w:cols w:equalWidth="0" w:num="1">
            <w:col w:w="10199"/>
          </w:cols>
          <w:pgMar w:left="260" w:top="409" w:right="1440" w:bottom="0" w:gutter="0" w:footer="0" w:header="0"/>
          <w:type w:val="continuous"/>
        </w:sectPr>
      </w:pPr>
    </w:p>
    <w:bookmarkStart w:id="9" w:name="page10"/>
    <w:bookmarkEnd w:id="9"/>
    <w:tbl>
      <w:tblPr>
        <w:tblLayout w:type="fixed"/>
        <w:tblInd w:w="20" w:type="dxa"/>
        <w:tblCellMar>
          <w:top w:w="0" w:type="dxa"/>
          <w:left w:w="0" w:type="dxa"/>
          <w:bottom w:w="0" w:type="dxa"/>
          <w:right w:w="0" w:type="dxa"/>
        </w:tblCellMar>
      </w:tblPr>
      <w:tr>
        <w:trPr>
          <w:trHeight w:val="281"/>
        </w:trPr>
        <w:tc>
          <w:tcPr>
            <w:tcW w:w="4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r>
      <w:tr>
        <w:trPr>
          <w:trHeight w:val="259"/>
        </w:trPr>
        <w:tc>
          <w:tcPr>
            <w:tcW w:w="452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28,436</w:t>
            </w:r>
          </w:p>
        </w:tc>
        <w:tc>
          <w:tcPr>
            <w:tcW w:w="100" w:type="dxa"/>
            <w:vAlign w:val="bottom"/>
          </w:tcPr>
          <w:p>
            <w:pPr>
              <w:spacing w:after="0"/>
              <w:rPr>
                <w:sz w:val="22"/>
                <w:szCs w:val="22"/>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33,823</w:t>
            </w:r>
          </w:p>
        </w:tc>
        <w:tc>
          <w:tcPr>
            <w:tcW w:w="80" w:type="dxa"/>
            <w:vAlign w:val="bottom"/>
          </w:tcPr>
          <w:p>
            <w:pPr>
              <w:spacing w:after="0"/>
              <w:rPr>
                <w:sz w:val="22"/>
                <w:szCs w:val="22"/>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59,537</w:t>
            </w:r>
          </w:p>
        </w:tc>
        <w:tc>
          <w:tcPr>
            <w:tcW w:w="80" w:type="dxa"/>
            <w:vAlign w:val="bottom"/>
          </w:tcPr>
          <w:p>
            <w:pPr>
              <w:spacing w:after="0"/>
              <w:rPr>
                <w:sz w:val="22"/>
                <w:szCs w:val="22"/>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69,710</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(2,100)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(3,392)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(4,206)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(6,731)</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(1,505)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(1,003)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(2,825)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(1,928)</w:t>
            </w:r>
          </w:p>
        </w:tc>
      </w:tr>
      <w:tr>
        <w:trPr>
          <w:trHeight w:val="276"/>
        </w:trPr>
        <w:tc>
          <w:tcPr>
            <w:tcW w:w="4520" w:type="dxa"/>
            <w:vAlign w:val="bottom"/>
          </w:tcPr>
          <w:p>
            <w:pPr>
              <w:spacing w:after="0"/>
              <w:rPr>
                <w:sz w:val="20"/>
                <w:szCs w:val="20"/>
                <w:color w:val="auto"/>
              </w:rPr>
            </w:pPr>
            <w:r>
              <w:rPr>
                <w:rFonts w:ascii="Arial" w:cs="Arial" w:eastAsia="Arial" w:hAnsi="Arial"/>
                <w:sz w:val="22"/>
                <w:szCs w:val="22"/>
                <w:color w:val="auto"/>
                <w:w w:val="97"/>
              </w:rPr>
              <w:t>Loss on disposal of property and equipment (e)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(12)</w:t>
            </w:r>
          </w:p>
        </w:tc>
      </w:tr>
      <w:tr>
        <w:trPr>
          <w:trHeight w:val="265"/>
        </w:trPr>
        <w:tc>
          <w:tcPr>
            <w:tcW w:w="452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24,831</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29,423</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52,506</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61,039</w:t>
            </w:r>
          </w:p>
        </w:tc>
      </w:tr>
      <w:tr>
        <w:trPr>
          <w:trHeight w:val="21"/>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520" w:type="dxa"/>
            <w:vAlign w:val="bottom"/>
          </w:tcPr>
          <w:p>
            <w:pPr>
              <w:spacing w:after="0"/>
              <w:rPr>
                <w:sz w:val="24"/>
                <w:szCs w:val="24"/>
                <w:color w:val="auto"/>
              </w:rPr>
            </w:pPr>
          </w:p>
        </w:tc>
        <w:tc>
          <w:tcPr>
            <w:tcW w:w="2960" w:type="dxa"/>
            <w:vAlign w:val="bottom"/>
            <w:gridSpan w:val="6"/>
          </w:tcPr>
          <w:p>
            <w:pPr>
              <w:ind w:left="20"/>
              <w:spacing w:after="0"/>
              <w:rPr>
                <w:sz w:val="20"/>
                <w:szCs w:val="20"/>
                <w:color w:val="auto"/>
              </w:rPr>
            </w:pPr>
            <w:r>
              <w:rPr>
                <w:rFonts w:ascii="Arial" w:cs="Arial" w:eastAsia="Arial" w:hAnsi="Arial"/>
                <w:sz w:val="22"/>
                <w:szCs w:val="22"/>
                <w:b w:val="1"/>
                <w:bCs w:val="1"/>
                <w:color w:val="auto"/>
                <w:w w:val="93"/>
              </w:rPr>
              <w:t>Three Months Ended June 30,</w:t>
            </w:r>
          </w:p>
        </w:tc>
        <w:tc>
          <w:tcPr>
            <w:tcW w:w="2620" w:type="dxa"/>
            <w:vAlign w:val="bottom"/>
            <w:gridSpan w:val="5"/>
          </w:tcPr>
          <w:p>
            <w:pPr>
              <w:ind w:left="20"/>
              <w:spacing w:after="0"/>
              <w:rPr>
                <w:sz w:val="20"/>
                <w:szCs w:val="20"/>
                <w:color w:val="auto"/>
              </w:rPr>
            </w:pPr>
            <w:r>
              <w:rPr>
                <w:rFonts w:ascii="Arial" w:cs="Arial" w:eastAsia="Arial" w:hAnsi="Arial"/>
                <w:sz w:val="22"/>
                <w:szCs w:val="22"/>
                <w:b w:val="1"/>
                <w:bCs w:val="1"/>
                <w:color w:val="auto"/>
                <w:w w:val="90"/>
              </w:rPr>
              <w:t>Six Months Ended June 30,</w:t>
            </w:r>
          </w:p>
        </w:tc>
      </w:tr>
      <w:tr>
        <w:trPr>
          <w:trHeight w:val="265"/>
        </w:trPr>
        <w:tc>
          <w:tcPr>
            <w:tcW w:w="45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8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r>
      <w:tr>
        <w:trPr>
          <w:trHeight w:val="256"/>
        </w:trPr>
        <w:tc>
          <w:tcPr>
            <w:tcW w:w="452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280" w:type="dxa"/>
            <w:vAlign w:val="bottom"/>
          </w:tcPr>
          <w:p>
            <w:pPr>
              <w:ind w:left="40"/>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(16,487)</w:t>
            </w:r>
          </w:p>
        </w:tc>
        <w:tc>
          <w:tcPr>
            <w:tcW w:w="100" w:type="dxa"/>
            <w:vAlign w:val="bottom"/>
          </w:tcPr>
          <w:p>
            <w:pPr>
              <w:spacing w:after="0"/>
              <w:rPr>
                <w:sz w:val="22"/>
                <w:szCs w:val="22"/>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(18,142)</w:t>
            </w:r>
          </w:p>
        </w:tc>
        <w:tc>
          <w:tcPr>
            <w:tcW w:w="8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(34,024)</w:t>
            </w:r>
          </w:p>
        </w:tc>
        <w:tc>
          <w:tcPr>
            <w:tcW w:w="80" w:type="dxa"/>
            <w:vAlign w:val="bottom"/>
          </w:tcPr>
          <w:p>
            <w:pPr>
              <w:spacing w:after="0"/>
              <w:rPr>
                <w:sz w:val="22"/>
                <w:szCs w:val="22"/>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(37,011)</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2,329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3,730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4,775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7,447</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5,600</w:t>
            </w:r>
          </w:p>
        </w:tc>
      </w:tr>
      <w:tr>
        <w:trPr>
          <w:trHeight w:val="270"/>
        </w:trPr>
        <w:tc>
          <w:tcPr>
            <w:tcW w:w="45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8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color w:val="auto"/>
              </w:rPr>
              <w:t>2,048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1,552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22"/>
                <w:szCs w:val="22"/>
                <w:color w:val="auto"/>
              </w:rPr>
              <w:t>3,919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3,016</w:t>
            </w:r>
          </w:p>
        </w:tc>
      </w:tr>
      <w:tr>
        <w:trPr>
          <w:trHeight w:val="276"/>
        </w:trPr>
        <w:tc>
          <w:tcPr>
            <w:tcW w:w="4520" w:type="dxa"/>
            <w:vAlign w:val="bottom"/>
          </w:tcPr>
          <w:p>
            <w:pPr>
              <w:spacing w:after="0"/>
              <w:rPr>
                <w:sz w:val="20"/>
                <w:szCs w:val="20"/>
                <w:color w:val="auto"/>
              </w:rPr>
            </w:pPr>
            <w:r>
              <w:rPr>
                <w:rFonts w:ascii="Arial" w:cs="Arial" w:eastAsia="Arial" w:hAnsi="Arial"/>
                <w:sz w:val="22"/>
                <w:szCs w:val="22"/>
                <w:color w:val="auto"/>
                <w:w w:val="97"/>
              </w:rPr>
              <w:t>Loss on disposal of property and equipment (e)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12</w:t>
            </w:r>
          </w:p>
        </w:tc>
      </w:tr>
      <w:tr>
        <w:trPr>
          <w:trHeight w:val="265"/>
        </w:trPr>
        <w:tc>
          <w:tcPr>
            <w:tcW w:w="452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(9,310)</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(10,055)</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(19,730)</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(20,936)</w:t>
            </w:r>
          </w:p>
        </w:tc>
      </w:tr>
      <w:tr>
        <w:trPr>
          <w:trHeight w:val="21"/>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20" w:hanging="298"/>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20" w:hanging="298"/>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on Senior Convertible Notes</w:t>
      </w:r>
    </w:p>
    <w:p>
      <w:pPr>
        <w:spacing w:after="0" w:line="17" w:lineRule="exact"/>
        <w:rPr>
          <w:rFonts w:ascii="Arial" w:cs="Arial" w:eastAsia="Arial" w:hAnsi="Arial"/>
          <w:sz w:val="22"/>
          <w:szCs w:val="22"/>
          <w:color w:val="auto"/>
        </w:rPr>
      </w:pPr>
    </w:p>
    <w:p>
      <w:pPr>
        <w:ind w:left="320" w:hanging="298"/>
        <w:spacing w:after="0"/>
        <w:tabs>
          <w:tab w:leader="none" w:pos="320" w:val="left"/>
        </w:tabs>
        <w:numPr>
          <w:ilvl w:val="0"/>
          <w:numId w:val="2"/>
        </w:numPr>
        <w:rPr>
          <w:rFonts w:ascii="Arial" w:cs="Arial" w:eastAsia="Arial" w:hAnsi="Arial"/>
          <w:sz w:val="21"/>
          <w:szCs w:val="21"/>
          <w:color w:val="auto"/>
        </w:rPr>
      </w:pPr>
      <w:r>
        <w:rPr>
          <w:rFonts w:ascii="Arial" w:cs="Arial" w:eastAsia="Arial" w:hAnsi="Arial"/>
          <w:sz w:val="21"/>
          <w:szCs w:val="21"/>
          <w:color w:val="auto"/>
        </w:rPr>
        <w:t>represents the tax impact on the purchase of intangible assets in connection with the DVS acquisition</w:t>
      </w:r>
    </w:p>
    <w:p>
      <w:pPr>
        <w:spacing w:after="0" w:line="28" w:lineRule="exact"/>
        <w:rPr>
          <w:rFonts w:ascii="Arial" w:cs="Arial" w:eastAsia="Arial" w:hAnsi="Arial"/>
          <w:sz w:val="21"/>
          <w:szCs w:val="21"/>
          <w:color w:val="auto"/>
        </w:rPr>
      </w:pPr>
    </w:p>
    <w:p>
      <w:pPr>
        <w:ind w:left="320" w:hanging="298"/>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320" w:hanging="298"/>
        <w:spacing w:after="0"/>
        <w:tabs>
          <w:tab w:leader="none" w:pos="32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represents expense associated with research and development, selling, general and administrative activities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238" w:lineRule="auto"/>
        <w:rPr>
          <w:sz w:val="20"/>
          <w:szCs w:val="20"/>
          <w:color w:val="auto"/>
        </w:rPr>
      </w:pPr>
      <w:r>
        <w:rPr>
          <w:rFonts w:ascii="Arial" w:cs="Arial" w:eastAsia="Arial" w:hAnsi="Arial"/>
          <w:sz w:val="22"/>
          <w:szCs w:val="22"/>
          <w:color w:val="auto"/>
        </w:rPr>
        <w:t>Director, Corporate Development and Investor Relations</w:t>
      </w:r>
    </w:p>
    <w:p>
      <w:pPr>
        <w:spacing w:after="0" w:line="230" w:lineRule="auto"/>
        <w:rPr>
          <w:sz w:val="20"/>
          <w:szCs w:val="20"/>
          <w:color w:val="auto"/>
        </w:rPr>
      </w:pPr>
      <w:r>
        <w:rPr>
          <w:rFonts w:ascii="Arial" w:cs="Arial" w:eastAsia="Arial" w:hAnsi="Arial"/>
          <w:sz w:val="22"/>
          <w:szCs w:val="22"/>
          <w:color w:val="auto"/>
        </w:rPr>
        <w:t>650.243.6628 (Office)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ana.petrovic@fluidigm.com</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2019-12-29T04:58:32Z</dcterms:created>
  <dcterms:modified xsi:type="dcterms:W3CDTF">2019-12-29T04:58:32Z</dcterms:modified>
</cp:coreProperties>
</file>