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JONES EVAN/ FA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gridSpan w:val="3"/>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vMerge w:val="restart"/>
          </w:tcPr>
          <w:p>
            <w:pPr>
              <w:spacing w:after="0"/>
              <w:rPr>
                <w:sz w:val="6"/>
                <w:szCs w:val="6"/>
                <w:color w:val="auto"/>
              </w:rPr>
            </w:pPr>
          </w:p>
        </w:tc>
        <w:tc>
          <w:tcPr>
            <w:tcW w:w="1240" w:type="dxa"/>
            <w:vAlign w:val="bottom"/>
            <w:gridSpan w:val="2"/>
            <w:vMerge w:val="restart"/>
          </w:tcPr>
          <w:p>
            <w:pPr>
              <w:ind w:left="120"/>
              <w:spacing w:after="0" w:line="157" w:lineRule="exact"/>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05/20/2011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8"/>
          </w:tcPr>
          <w:p>
            <w:pPr>
              <w:spacing w:after="0" w:line="155" w:lineRule="exact"/>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3"/>
                <w:szCs w:val="13"/>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40" w:type="dxa"/>
            <w:vAlign w:val="bottom"/>
            <w:gridSpan w:val="6"/>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gridSpan w:val="2"/>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40" w:type="dxa"/>
            <w:vAlign w:val="bottom"/>
            <w:tcBorders>
              <w:top w:val="single" w:sz="8" w:color="2C2C2C"/>
            </w:tcBorders>
            <w:gridSpan w:val="19"/>
          </w:tcPr>
          <w:p>
            <w:pPr>
              <w:jc w:val="center"/>
              <w:ind w:right="1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9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jVen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4"/>
          </w:tcPr>
          <w:p>
            <w:pPr>
              <w:ind w:left="620"/>
              <w:spacing w:after="0"/>
              <w:rPr>
                <w:sz w:val="20"/>
                <w:szCs w:val="20"/>
                <w:color w:val="auto"/>
              </w:rPr>
            </w:pPr>
            <w:r>
              <w:rPr>
                <w:rFonts w:ascii="Arial" w:cs="Arial" w:eastAsia="Arial" w:hAnsi="Arial"/>
                <w:sz w:val="18"/>
                <w:szCs w:val="18"/>
                <w:color w:val="0000FF"/>
                <w:w w:val="86"/>
              </w:rPr>
              <w:t>05/20/2011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color w:val="0000FF"/>
              </w:rPr>
              <w:t>P</w:t>
            </w:r>
          </w:p>
        </w:tc>
        <w:tc>
          <w:tcPr>
            <w:tcW w:w="800" w:type="dxa"/>
            <w:vAlign w:val="bottom"/>
          </w:tcPr>
          <w:p>
            <w:pPr>
              <w:jc w:val="center"/>
              <w:ind w:right="72"/>
              <w:spacing w:after="0" w:line="217" w:lineRule="exact"/>
              <w:rPr>
                <w:sz w:val="20"/>
                <w:szCs w:val="20"/>
                <w:color w:val="auto"/>
              </w:rPr>
            </w:pPr>
            <w:r>
              <w:rPr>
                <w:rFonts w:ascii="Arial" w:cs="Arial" w:eastAsia="Arial" w:hAnsi="Arial"/>
                <w:sz w:val="18"/>
                <w:szCs w:val="18"/>
                <w:color w:val="0000FF"/>
                <w:w w:val="98"/>
              </w:rPr>
              <w:t>1,887</w:t>
            </w:r>
            <w:r>
              <w:rPr>
                <w:rFonts w:ascii="Arial" w:cs="Arial" w:eastAsia="Arial" w:hAnsi="Arial"/>
                <w:sz w:val="22"/>
                <w:szCs w:val="22"/>
                <w:color w:val="008000"/>
                <w:w w:val="98"/>
                <w:vertAlign w:val="superscript"/>
              </w:rPr>
              <w:t>(1)</w:t>
            </w:r>
          </w:p>
        </w:tc>
        <w:tc>
          <w:tcPr>
            <w:tcW w:w="500" w:type="dxa"/>
            <w:vAlign w:val="bottom"/>
          </w:tcPr>
          <w:p>
            <w:pPr>
              <w:ind w:left="200"/>
              <w:spacing w:after="0"/>
              <w:rPr>
                <w:sz w:val="20"/>
                <w:szCs w:val="20"/>
                <w:color w:val="auto"/>
              </w:rPr>
            </w:pPr>
            <w:r>
              <w:rPr>
                <w:rFonts w:ascii="Arial" w:cs="Arial" w:eastAsia="Arial" w:hAnsi="Arial"/>
                <w:sz w:val="18"/>
                <w:szCs w:val="18"/>
                <w:color w:val="0000FF"/>
              </w:rPr>
              <w:t>A</w:t>
            </w:r>
          </w:p>
        </w:tc>
        <w:tc>
          <w:tcPr>
            <w:tcW w:w="940" w:type="dxa"/>
            <w:vAlign w:val="bottom"/>
            <w:gridSpan w:val="4"/>
          </w:tcPr>
          <w:p>
            <w:pPr>
              <w:jc w:val="center"/>
              <w:ind w:right="10"/>
              <w:spacing w:after="0" w:line="217" w:lineRule="exact"/>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14.432</w:t>
            </w:r>
            <w:r>
              <w:rPr>
                <w:rFonts w:ascii="Arial" w:cs="Arial" w:eastAsia="Arial" w:hAnsi="Arial"/>
                <w:sz w:val="22"/>
                <w:szCs w:val="22"/>
                <w:color w:val="008000"/>
                <w:w w:val="98"/>
                <w:vertAlign w:val="superscript"/>
              </w:rPr>
              <w:t>(1)</w:t>
            </w:r>
          </w:p>
        </w:tc>
        <w:tc>
          <w:tcPr>
            <w:tcW w:w="340" w:type="dxa"/>
            <w:vAlign w:val="bottom"/>
          </w:tcPr>
          <w:p>
            <w:pPr>
              <w:spacing w:after="0"/>
              <w:rPr>
                <w:sz w:val="18"/>
                <w:szCs w:val="18"/>
                <w:color w:val="auto"/>
              </w:rPr>
            </w:pPr>
          </w:p>
        </w:tc>
        <w:tc>
          <w:tcPr>
            <w:tcW w:w="900" w:type="dxa"/>
            <w:vAlign w:val="bottom"/>
          </w:tcPr>
          <w:p>
            <w:pPr>
              <w:jc w:val="right"/>
              <w:ind w:right="374"/>
              <w:spacing w:after="0"/>
              <w:rPr>
                <w:sz w:val="20"/>
                <w:szCs w:val="20"/>
                <w:color w:val="auto"/>
              </w:rPr>
            </w:pPr>
            <w:r>
              <w:rPr>
                <w:rFonts w:ascii="Arial" w:cs="Arial" w:eastAsia="Arial" w:hAnsi="Arial"/>
                <w:sz w:val="18"/>
                <w:szCs w:val="18"/>
                <w:color w:val="0000FF"/>
                <w:w w:val="97"/>
              </w:rPr>
              <w:t>9,387</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jVen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4"/>
          </w:tcPr>
          <w:p>
            <w:pPr>
              <w:ind w:left="620"/>
              <w:spacing w:after="0"/>
              <w:rPr>
                <w:sz w:val="20"/>
                <w:szCs w:val="20"/>
                <w:color w:val="auto"/>
              </w:rPr>
            </w:pPr>
            <w:r>
              <w:rPr>
                <w:rFonts w:ascii="Arial" w:cs="Arial" w:eastAsia="Arial" w:hAnsi="Arial"/>
                <w:sz w:val="18"/>
                <w:szCs w:val="18"/>
                <w:color w:val="0000FF"/>
                <w:w w:val="86"/>
              </w:rPr>
              <w:t>05/23/2011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color w:val="0000FF"/>
              </w:rPr>
              <w:t>P</w:t>
            </w:r>
          </w:p>
        </w:tc>
        <w:tc>
          <w:tcPr>
            <w:tcW w:w="800" w:type="dxa"/>
            <w:vAlign w:val="bottom"/>
          </w:tcPr>
          <w:p>
            <w:pPr>
              <w:jc w:val="center"/>
              <w:ind w:right="32"/>
              <w:spacing w:after="0" w:line="217" w:lineRule="exact"/>
              <w:rPr>
                <w:sz w:val="20"/>
                <w:szCs w:val="20"/>
                <w:color w:val="auto"/>
              </w:rPr>
            </w:pPr>
            <w:r>
              <w:rPr>
                <w:rFonts w:ascii="Arial" w:cs="Arial" w:eastAsia="Arial" w:hAnsi="Arial"/>
                <w:sz w:val="18"/>
                <w:szCs w:val="18"/>
                <w:color w:val="0000FF"/>
                <w:w w:val="90"/>
              </w:rPr>
              <w:t>27,813</w:t>
            </w:r>
            <w:r>
              <w:rPr>
                <w:rFonts w:ascii="Arial" w:cs="Arial" w:eastAsia="Arial" w:hAnsi="Arial"/>
                <w:sz w:val="22"/>
                <w:szCs w:val="22"/>
                <w:color w:val="008000"/>
                <w:w w:val="90"/>
                <w:vertAlign w:val="superscript"/>
              </w:rPr>
              <w:t>(3)</w:t>
            </w:r>
          </w:p>
        </w:tc>
        <w:tc>
          <w:tcPr>
            <w:tcW w:w="500" w:type="dxa"/>
            <w:vAlign w:val="bottom"/>
          </w:tcPr>
          <w:p>
            <w:pPr>
              <w:ind w:left="200"/>
              <w:spacing w:after="0"/>
              <w:rPr>
                <w:sz w:val="20"/>
                <w:szCs w:val="20"/>
                <w:color w:val="auto"/>
              </w:rPr>
            </w:pPr>
            <w:r>
              <w:rPr>
                <w:rFonts w:ascii="Arial" w:cs="Arial" w:eastAsia="Arial" w:hAnsi="Arial"/>
                <w:sz w:val="18"/>
                <w:szCs w:val="18"/>
                <w:color w:val="0000FF"/>
              </w:rPr>
              <w:t>A</w:t>
            </w:r>
          </w:p>
        </w:tc>
        <w:tc>
          <w:tcPr>
            <w:tcW w:w="940" w:type="dxa"/>
            <w:vAlign w:val="bottom"/>
            <w:gridSpan w:val="4"/>
          </w:tcPr>
          <w:p>
            <w:pPr>
              <w:jc w:val="center"/>
              <w:spacing w:after="0" w:line="217"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14.2774</w:t>
            </w:r>
            <w:r>
              <w:rPr>
                <w:rFonts w:ascii="Arial" w:cs="Arial" w:eastAsia="Arial" w:hAnsi="Arial"/>
                <w:sz w:val="22"/>
                <w:szCs w:val="22"/>
                <w:color w:val="008000"/>
                <w:w w:val="92"/>
                <w:vertAlign w:val="superscript"/>
              </w:rPr>
              <w:t>(3)</w:t>
            </w:r>
          </w:p>
        </w:tc>
        <w:tc>
          <w:tcPr>
            <w:tcW w:w="34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Arial" w:cs="Arial" w:eastAsia="Arial" w:hAnsi="Arial"/>
                <w:sz w:val="18"/>
                <w:szCs w:val="18"/>
                <w:color w:val="0000FF"/>
                <w:w w:val="87"/>
              </w:rPr>
              <w:t>37,200</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jc w:val="center"/>
              <w:ind w:left="5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acquired. These shares were purchased in multiple transactions at prices ranging from $14.26 to $14.50, inclusive. The reporting person undertakes to provide to the issuer, any security holder of the issuer, or the SEC staff, upon request, full information regarding the number of shares purchased at each separate price within the ranges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managing member of jVen Capital, LLC.</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acquired. These shares were purchased in multiple transactions at prices ranging from $14.01 to $14.50, inclusive. The reporting person undertakes to provide to the issuer, any security holder of the issuer, or the SEC staff, upon request, full information regarding the number of shares purchased at each separate price within the ranges set forth herein.</w:t>
      </w:r>
    </w:p>
    <w:p>
      <w:pPr>
        <w:ind w:left="6860"/>
        <w:spacing w:after="0" w:line="183" w:lineRule="auto"/>
        <w:rPr>
          <w:sz w:val="20"/>
          <w:szCs w:val="20"/>
          <w:color w:val="auto"/>
        </w:rPr>
      </w:pPr>
      <w:r>
        <w:rPr>
          <w:rFonts w:ascii="Arial" w:cs="Arial" w:eastAsia="Arial" w:hAnsi="Arial"/>
          <w:sz w:val="17"/>
          <w:szCs w:val="17"/>
          <w:color w:val="0000FF"/>
        </w:rPr>
        <w:t xml:space="preserve">/s/ William M. Smith, attorney- </w:t>
      </w:r>
      <w:r>
        <w:rPr>
          <w:rFonts w:ascii="Arial" w:cs="Arial" w:eastAsia="Arial" w:hAnsi="Arial"/>
          <w:sz w:val="33"/>
          <w:szCs w:val="33"/>
          <w:color w:val="0000FF"/>
          <w:vertAlign w:val="subscript"/>
        </w:rPr>
        <w:t>05/24/2011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1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14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207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2019-12-17T15:25:10Z</dcterms:created>
  <dcterms:modified xsi:type="dcterms:W3CDTF">2019-12-17T15:25:10Z</dcterms:modified>
</cp:coreProperties>
</file>