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4"/>
          <w:szCs w:val="14"/>
          <w:b w:val="1"/>
          <w:bCs w:val="1"/>
          <w:color w:val="auto"/>
        </w:rPr>
        <w:t>As filed with the Securities and Exchange Commission on August 3, 2017</w:t>
      </w:r>
    </w:p>
    <w:p>
      <w:pPr>
        <w:spacing w:after="0" w:line="4" w:lineRule="exact"/>
        <w:rPr>
          <w:sz w:val="24"/>
          <w:szCs w:val="24"/>
          <w:color w:val="auto"/>
        </w:rPr>
      </w:pPr>
    </w:p>
    <w:p>
      <w:pPr>
        <w:ind w:left="98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71755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7"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S-8</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REGISTRATION STATEMENT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UNDER</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75565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FLUIDIGM CORPORATION</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128905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1800" w:type="dxa"/>
            <w:vAlign w:val="bottom"/>
          </w:tcPr>
          <w:p>
            <w:pPr>
              <w:jc w:val="center"/>
              <w:ind w:right="45"/>
              <w:spacing w:after="0"/>
              <w:rPr>
                <w:sz w:val="20"/>
                <w:szCs w:val="20"/>
                <w:color w:val="auto"/>
              </w:rPr>
            </w:pPr>
            <w:r>
              <w:rPr>
                <w:rFonts w:ascii="Arial" w:cs="Arial" w:eastAsia="Arial" w:hAnsi="Arial"/>
                <w:sz w:val="20"/>
                <w:szCs w:val="20"/>
                <w:b w:val="1"/>
                <w:bCs w:val="1"/>
                <w:color w:val="auto"/>
                <w:w w:val="91"/>
              </w:rPr>
              <w:t>Delaware</w:t>
            </w:r>
          </w:p>
        </w:tc>
        <w:tc>
          <w:tcPr>
            <w:tcW w:w="7180" w:type="dxa"/>
            <w:vAlign w:val="bottom"/>
            <w:gridSpan w:val="3"/>
          </w:tcPr>
          <w:p>
            <w:pPr>
              <w:jc w:val="center"/>
              <w:ind w:left="6091"/>
              <w:spacing w:after="0"/>
              <w:rPr>
                <w:sz w:val="20"/>
                <w:szCs w:val="20"/>
                <w:color w:val="auto"/>
              </w:rPr>
            </w:pPr>
            <w:r>
              <w:rPr>
                <w:rFonts w:ascii="Arial" w:cs="Arial" w:eastAsia="Arial" w:hAnsi="Arial"/>
                <w:sz w:val="20"/>
                <w:szCs w:val="20"/>
                <w:b w:val="1"/>
                <w:bCs w:val="1"/>
                <w:color w:val="auto"/>
                <w:w w:val="89"/>
              </w:rPr>
              <w:t>77-0513190</w:t>
            </w:r>
          </w:p>
        </w:tc>
      </w:tr>
      <w:tr>
        <w:trPr>
          <w:trHeight w:val="135"/>
        </w:trPr>
        <w:tc>
          <w:tcPr>
            <w:tcW w:w="1800" w:type="dxa"/>
            <w:vAlign w:val="bottom"/>
          </w:tcPr>
          <w:p>
            <w:pPr>
              <w:jc w:val="center"/>
              <w:ind w:right="65"/>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4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900" w:type="dxa"/>
            <w:vAlign w:val="bottom"/>
          </w:tcPr>
          <w:p>
            <w:pPr>
              <w:jc w:val="center"/>
              <w:ind w:left="1837"/>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1800" w:type="dxa"/>
            <w:vAlign w:val="bottom"/>
          </w:tcPr>
          <w:p>
            <w:pPr>
              <w:jc w:val="center"/>
              <w:ind w:right="65"/>
              <w:spacing w:after="0"/>
              <w:rPr>
                <w:sz w:val="20"/>
                <w:szCs w:val="20"/>
                <w:color w:val="auto"/>
              </w:rPr>
            </w:pPr>
            <w:r>
              <w:rPr>
                <w:rFonts w:ascii="Arial" w:cs="Arial" w:eastAsia="Arial" w:hAnsi="Arial"/>
                <w:sz w:val="13"/>
                <w:szCs w:val="13"/>
                <w:b w:val="1"/>
                <w:bCs w:val="1"/>
                <w:color w:val="auto"/>
                <w:w w:val="89"/>
              </w:rPr>
              <w:t>incorporation or organization)</w:t>
            </w:r>
          </w:p>
        </w:tc>
        <w:tc>
          <w:tcPr>
            <w:tcW w:w="1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900" w:type="dxa"/>
            <w:vAlign w:val="bottom"/>
          </w:tcPr>
          <w:p>
            <w:pPr>
              <w:jc w:val="center"/>
              <w:ind w:left="1837"/>
              <w:spacing w:after="0"/>
              <w:rPr>
                <w:sz w:val="20"/>
                <w:szCs w:val="20"/>
                <w:color w:val="auto"/>
              </w:rPr>
            </w:pPr>
            <w:r>
              <w:rPr>
                <w:rFonts w:ascii="Arial" w:cs="Arial" w:eastAsia="Arial" w:hAnsi="Arial"/>
                <w:sz w:val="13"/>
                <w:szCs w:val="13"/>
                <w:b w:val="1"/>
                <w:bCs w:val="1"/>
                <w:color w:val="auto"/>
                <w:w w:val="91"/>
              </w:rPr>
              <w:t>Identification No.)</w:t>
            </w:r>
          </w:p>
        </w:tc>
      </w:tr>
      <w:tr>
        <w:trPr>
          <w:trHeight w:val="412"/>
        </w:trPr>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760" w:type="dxa"/>
            <w:vAlign w:val="bottom"/>
            <w:gridSpan w:val="2"/>
          </w:tcPr>
          <w:p>
            <w:pPr>
              <w:jc w:val="center"/>
              <w:ind w:right="2817"/>
              <w:spacing w:after="0"/>
              <w:rPr>
                <w:sz w:val="20"/>
                <w:szCs w:val="20"/>
                <w:color w:val="auto"/>
              </w:rPr>
            </w:pPr>
            <w:r>
              <w:rPr>
                <w:rFonts w:ascii="Arial" w:cs="Arial" w:eastAsia="Arial" w:hAnsi="Arial"/>
                <w:sz w:val="20"/>
                <w:szCs w:val="20"/>
                <w:b w:val="1"/>
                <w:bCs w:val="1"/>
                <w:color w:val="auto"/>
                <w:w w:val="89"/>
              </w:rPr>
              <w:t>7000 Shoreline Court, Suite 100</w:t>
            </w:r>
          </w:p>
        </w:tc>
      </w:tr>
      <w:tr>
        <w:trPr>
          <w:trHeight w:val="230"/>
        </w:trPr>
        <w:tc>
          <w:tcPr>
            <w:tcW w:w="1800" w:type="dxa"/>
            <w:vAlign w:val="bottom"/>
          </w:tcPr>
          <w:p>
            <w:pPr>
              <w:spacing w:after="0"/>
              <w:rPr>
                <w:sz w:val="19"/>
                <w:szCs w:val="19"/>
                <w:color w:val="auto"/>
              </w:rPr>
            </w:pPr>
          </w:p>
        </w:tc>
        <w:tc>
          <w:tcPr>
            <w:tcW w:w="7180" w:type="dxa"/>
            <w:vAlign w:val="bottom"/>
            <w:gridSpan w:val="3"/>
          </w:tcPr>
          <w:p>
            <w:pPr>
              <w:jc w:val="center"/>
              <w:ind w:right="1417"/>
              <w:spacing w:after="0"/>
              <w:rPr>
                <w:sz w:val="20"/>
                <w:szCs w:val="20"/>
                <w:color w:val="auto"/>
              </w:rPr>
            </w:pPr>
            <w:r>
              <w:rPr>
                <w:rFonts w:ascii="Arial" w:cs="Arial" w:eastAsia="Arial" w:hAnsi="Arial"/>
                <w:sz w:val="20"/>
                <w:szCs w:val="20"/>
                <w:b w:val="1"/>
                <w:bCs w:val="1"/>
                <w:color w:val="auto"/>
                <w:w w:val="89"/>
              </w:rPr>
              <w:t>South San Francisco, California 94080</w:t>
            </w:r>
          </w:p>
        </w:tc>
      </w:tr>
      <w:tr>
        <w:trPr>
          <w:trHeight w:val="234"/>
        </w:trPr>
        <w:tc>
          <w:tcPr>
            <w:tcW w:w="1800" w:type="dxa"/>
            <w:vAlign w:val="bottom"/>
          </w:tcPr>
          <w:p>
            <w:pPr>
              <w:spacing w:after="0"/>
              <w:rPr>
                <w:sz w:val="20"/>
                <w:szCs w:val="20"/>
                <w:color w:val="auto"/>
              </w:rPr>
            </w:pPr>
          </w:p>
        </w:tc>
        <w:tc>
          <w:tcPr>
            <w:tcW w:w="4280" w:type="dxa"/>
            <w:vAlign w:val="bottom"/>
            <w:gridSpan w:val="2"/>
          </w:tcPr>
          <w:p>
            <w:pPr>
              <w:jc w:val="right"/>
              <w:ind w:right="712"/>
              <w:spacing w:after="0"/>
              <w:rPr>
                <w:sz w:val="20"/>
                <w:szCs w:val="20"/>
                <w:color w:val="auto"/>
              </w:rPr>
            </w:pPr>
            <w:r>
              <w:rPr>
                <w:rFonts w:ascii="Arial" w:cs="Arial" w:eastAsia="Arial" w:hAnsi="Arial"/>
                <w:sz w:val="20"/>
                <w:szCs w:val="20"/>
                <w:b w:val="1"/>
                <w:bCs w:val="1"/>
                <w:color w:val="auto"/>
              </w:rPr>
              <w:t>(650) 266-6000</w:t>
            </w:r>
          </w:p>
        </w:tc>
        <w:tc>
          <w:tcPr>
            <w:tcW w:w="2900" w:type="dxa"/>
            <w:vAlign w:val="bottom"/>
          </w:tcPr>
          <w:p>
            <w:pPr>
              <w:spacing w:after="0"/>
              <w:rPr>
                <w:sz w:val="20"/>
                <w:szCs w:val="20"/>
                <w:color w:val="auto"/>
              </w:rPr>
            </w:pPr>
          </w:p>
        </w:tc>
      </w:tr>
      <w:tr>
        <w:trPr>
          <w:trHeight w:val="164"/>
        </w:trPr>
        <w:tc>
          <w:tcPr>
            <w:tcW w:w="1800" w:type="dxa"/>
            <w:vAlign w:val="bottom"/>
          </w:tcPr>
          <w:p>
            <w:pPr>
              <w:spacing w:after="0"/>
              <w:rPr>
                <w:sz w:val="14"/>
                <w:szCs w:val="14"/>
                <w:color w:val="auto"/>
              </w:rPr>
            </w:pPr>
          </w:p>
        </w:tc>
        <w:tc>
          <w:tcPr>
            <w:tcW w:w="7180" w:type="dxa"/>
            <w:vAlign w:val="bottom"/>
            <w:gridSpan w:val="3"/>
          </w:tcPr>
          <w:p>
            <w:pPr>
              <w:jc w:val="center"/>
              <w:ind w:right="1397"/>
              <w:spacing w:after="0"/>
              <w:rPr>
                <w:sz w:val="20"/>
                <w:szCs w:val="20"/>
                <w:color w:val="auto"/>
              </w:rPr>
            </w:pPr>
            <w:r>
              <w:rPr>
                <w:rFonts w:ascii="Arial" w:cs="Arial" w:eastAsia="Arial" w:hAnsi="Arial"/>
                <w:sz w:val="13"/>
                <w:szCs w:val="13"/>
                <w:b w:val="1"/>
                <w:bCs w:val="1"/>
                <w:color w:val="auto"/>
                <w:w w:val="85"/>
              </w:rPr>
              <w:t>(Address of principal executive offices, including zip code)</w:t>
            </w:r>
          </w:p>
        </w:tc>
      </w:tr>
      <w:tr>
        <w:trPr>
          <w:trHeight w:val="84"/>
        </w:trPr>
        <w:tc>
          <w:tcPr>
            <w:tcW w:w="18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r>
      <w:tr>
        <w:trPr>
          <w:trHeight w:val="326"/>
        </w:trPr>
        <w:tc>
          <w:tcPr>
            <w:tcW w:w="1800" w:type="dxa"/>
            <w:vAlign w:val="bottom"/>
          </w:tcPr>
          <w:p>
            <w:pPr>
              <w:spacing w:after="0"/>
              <w:rPr>
                <w:sz w:val="24"/>
                <w:szCs w:val="24"/>
                <w:color w:val="auto"/>
              </w:rPr>
            </w:pPr>
          </w:p>
        </w:tc>
        <w:tc>
          <w:tcPr>
            <w:tcW w:w="7180" w:type="dxa"/>
            <w:vAlign w:val="bottom"/>
            <w:gridSpan w:val="3"/>
          </w:tcPr>
          <w:p>
            <w:pPr>
              <w:jc w:val="center"/>
              <w:ind w:right="1397"/>
              <w:spacing w:after="0"/>
              <w:rPr>
                <w:sz w:val="20"/>
                <w:szCs w:val="20"/>
                <w:color w:val="auto"/>
              </w:rPr>
            </w:pPr>
            <w:r>
              <w:rPr>
                <w:rFonts w:ascii="Arial" w:cs="Arial" w:eastAsia="Arial" w:hAnsi="Arial"/>
                <w:sz w:val="22"/>
                <w:szCs w:val="22"/>
                <w:b w:val="1"/>
                <w:bCs w:val="1"/>
                <w:color w:val="auto"/>
                <w:w w:val="88"/>
              </w:rPr>
              <w:t>Fluidigm Corporation 2017 Employee Stock Purchase Plan</w:t>
            </w:r>
          </w:p>
        </w:tc>
      </w:tr>
      <w:tr>
        <w:trPr>
          <w:trHeight w:val="164"/>
        </w:trPr>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760" w:type="dxa"/>
            <w:vAlign w:val="bottom"/>
            <w:gridSpan w:val="2"/>
          </w:tcPr>
          <w:p>
            <w:pPr>
              <w:jc w:val="center"/>
              <w:ind w:right="2837"/>
              <w:spacing w:after="0"/>
              <w:rPr>
                <w:sz w:val="20"/>
                <w:szCs w:val="20"/>
                <w:color w:val="auto"/>
              </w:rPr>
            </w:pPr>
            <w:r>
              <w:rPr>
                <w:rFonts w:ascii="Arial" w:cs="Arial" w:eastAsia="Arial" w:hAnsi="Arial"/>
                <w:sz w:val="13"/>
                <w:szCs w:val="13"/>
                <w:b w:val="1"/>
                <w:bCs w:val="1"/>
                <w:color w:val="auto"/>
                <w:w w:val="89"/>
              </w:rPr>
              <w:t>(Full title of the plan)</w:t>
            </w:r>
          </w:p>
        </w:tc>
      </w:tr>
      <w:tr>
        <w:trPr>
          <w:trHeight w:val="84"/>
        </w:trPr>
        <w:tc>
          <w:tcPr>
            <w:tcW w:w="18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2900" w:type="dxa"/>
            <w:vAlign w:val="bottom"/>
          </w:tcPr>
          <w:p>
            <w:pPr>
              <w:spacing w:after="0"/>
              <w:rPr>
                <w:sz w:val="7"/>
                <w:szCs w:val="7"/>
                <w:color w:val="auto"/>
              </w:rPr>
            </w:pPr>
          </w:p>
        </w:tc>
      </w:tr>
      <w:tr>
        <w:trPr>
          <w:trHeight w:val="299"/>
        </w:trPr>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760" w:type="dxa"/>
            <w:vAlign w:val="bottom"/>
            <w:gridSpan w:val="2"/>
          </w:tcPr>
          <w:p>
            <w:pPr>
              <w:jc w:val="center"/>
              <w:ind w:right="2837"/>
              <w:spacing w:after="0"/>
              <w:rPr>
                <w:sz w:val="20"/>
                <w:szCs w:val="20"/>
                <w:color w:val="auto"/>
              </w:rPr>
            </w:pPr>
            <w:r>
              <w:rPr>
                <w:rFonts w:ascii="Arial" w:cs="Arial" w:eastAsia="Arial" w:hAnsi="Arial"/>
                <w:sz w:val="18"/>
                <w:szCs w:val="18"/>
                <w:b w:val="1"/>
                <w:bCs w:val="1"/>
                <w:color w:val="auto"/>
                <w:w w:val="91"/>
              </w:rPr>
              <w:t>Stephen Christopher Linthwaite</w:t>
            </w:r>
          </w:p>
        </w:tc>
      </w:tr>
      <w:tr>
        <w:trPr>
          <w:trHeight w:val="216"/>
        </w:trPr>
        <w:tc>
          <w:tcPr>
            <w:tcW w:w="1800" w:type="dxa"/>
            <w:vAlign w:val="bottom"/>
          </w:tcPr>
          <w:p>
            <w:pPr>
              <w:spacing w:after="0"/>
              <w:rPr>
                <w:sz w:val="18"/>
                <w:szCs w:val="18"/>
                <w:color w:val="auto"/>
              </w:rPr>
            </w:pPr>
          </w:p>
        </w:tc>
        <w:tc>
          <w:tcPr>
            <w:tcW w:w="7180" w:type="dxa"/>
            <w:vAlign w:val="bottom"/>
            <w:gridSpan w:val="3"/>
          </w:tcPr>
          <w:p>
            <w:pPr>
              <w:jc w:val="center"/>
              <w:ind w:right="1397"/>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216"/>
        </w:trPr>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gridSpan w:val="2"/>
          </w:tcPr>
          <w:p>
            <w:pPr>
              <w:jc w:val="center"/>
              <w:ind w:right="2837"/>
              <w:spacing w:after="0"/>
              <w:rPr>
                <w:sz w:val="20"/>
                <w:szCs w:val="20"/>
                <w:color w:val="auto"/>
              </w:rPr>
            </w:pPr>
            <w:r>
              <w:rPr>
                <w:rFonts w:ascii="Arial" w:cs="Arial" w:eastAsia="Arial" w:hAnsi="Arial"/>
                <w:sz w:val="18"/>
                <w:szCs w:val="18"/>
                <w:b w:val="1"/>
                <w:bCs w:val="1"/>
                <w:color w:val="auto"/>
                <w:w w:val="89"/>
              </w:rPr>
              <w:t>7000 Shoreline Court, Suite 100</w:t>
            </w:r>
          </w:p>
        </w:tc>
      </w:tr>
      <w:tr>
        <w:trPr>
          <w:trHeight w:val="216"/>
        </w:trPr>
        <w:tc>
          <w:tcPr>
            <w:tcW w:w="1800" w:type="dxa"/>
            <w:vAlign w:val="bottom"/>
          </w:tcPr>
          <w:p>
            <w:pPr>
              <w:spacing w:after="0"/>
              <w:rPr>
                <w:sz w:val="18"/>
                <w:szCs w:val="18"/>
                <w:color w:val="auto"/>
              </w:rPr>
            </w:pPr>
          </w:p>
        </w:tc>
        <w:tc>
          <w:tcPr>
            <w:tcW w:w="7180" w:type="dxa"/>
            <w:vAlign w:val="bottom"/>
            <w:gridSpan w:val="3"/>
          </w:tcPr>
          <w:p>
            <w:pPr>
              <w:jc w:val="center"/>
              <w:ind w:right="1397"/>
              <w:spacing w:after="0"/>
              <w:rPr>
                <w:sz w:val="20"/>
                <w:szCs w:val="20"/>
                <w:color w:val="auto"/>
              </w:rPr>
            </w:pPr>
            <w:r>
              <w:rPr>
                <w:rFonts w:ascii="Arial" w:cs="Arial" w:eastAsia="Arial" w:hAnsi="Arial"/>
                <w:sz w:val="18"/>
                <w:szCs w:val="18"/>
                <w:b w:val="1"/>
                <w:bCs w:val="1"/>
                <w:color w:val="auto"/>
                <w:w w:val="90"/>
              </w:rPr>
              <w:t>South San Francisco, California 94080</w:t>
            </w:r>
          </w:p>
        </w:tc>
      </w:tr>
      <w:tr>
        <w:trPr>
          <w:trHeight w:val="216"/>
        </w:trPr>
        <w:tc>
          <w:tcPr>
            <w:tcW w:w="1800" w:type="dxa"/>
            <w:vAlign w:val="bottom"/>
          </w:tcPr>
          <w:p>
            <w:pPr>
              <w:spacing w:after="0"/>
              <w:rPr>
                <w:sz w:val="18"/>
                <w:szCs w:val="18"/>
                <w:color w:val="auto"/>
              </w:rPr>
            </w:pPr>
          </w:p>
        </w:tc>
        <w:tc>
          <w:tcPr>
            <w:tcW w:w="4280" w:type="dxa"/>
            <w:vAlign w:val="bottom"/>
            <w:gridSpan w:val="2"/>
          </w:tcPr>
          <w:p>
            <w:pPr>
              <w:jc w:val="right"/>
              <w:ind w:right="772"/>
              <w:spacing w:after="0"/>
              <w:rPr>
                <w:sz w:val="20"/>
                <w:szCs w:val="20"/>
                <w:color w:val="auto"/>
              </w:rPr>
            </w:pPr>
            <w:r>
              <w:rPr>
                <w:rFonts w:ascii="Arial" w:cs="Arial" w:eastAsia="Arial" w:hAnsi="Arial"/>
                <w:sz w:val="18"/>
                <w:szCs w:val="18"/>
                <w:b w:val="1"/>
                <w:bCs w:val="1"/>
                <w:color w:val="auto"/>
              </w:rPr>
              <w:t>(650) 266-6000</w:t>
            </w:r>
          </w:p>
        </w:tc>
        <w:tc>
          <w:tcPr>
            <w:tcW w:w="2900" w:type="dxa"/>
            <w:vAlign w:val="bottom"/>
          </w:tcPr>
          <w:p>
            <w:pPr>
              <w:spacing w:after="0"/>
              <w:rPr>
                <w:sz w:val="18"/>
                <w:szCs w:val="18"/>
                <w:color w:val="auto"/>
              </w:rPr>
            </w:pPr>
          </w:p>
        </w:tc>
      </w:tr>
      <w:tr>
        <w:trPr>
          <w:trHeight w:val="164"/>
        </w:trPr>
        <w:tc>
          <w:tcPr>
            <w:tcW w:w="1800" w:type="dxa"/>
            <w:vAlign w:val="bottom"/>
          </w:tcPr>
          <w:p>
            <w:pPr>
              <w:spacing w:after="0"/>
              <w:rPr>
                <w:sz w:val="14"/>
                <w:szCs w:val="14"/>
                <w:color w:val="auto"/>
              </w:rPr>
            </w:pPr>
          </w:p>
        </w:tc>
        <w:tc>
          <w:tcPr>
            <w:tcW w:w="7180" w:type="dxa"/>
            <w:vAlign w:val="bottom"/>
            <w:gridSpan w:val="3"/>
          </w:tcPr>
          <w:p>
            <w:pPr>
              <w:jc w:val="center"/>
              <w:ind w:right="1417"/>
              <w:spacing w:after="0"/>
              <w:rPr>
                <w:sz w:val="20"/>
                <w:szCs w:val="20"/>
                <w:color w:val="auto"/>
              </w:rPr>
            </w:pPr>
            <w:r>
              <w:rPr>
                <w:rFonts w:ascii="Arial" w:cs="Arial" w:eastAsia="Arial" w:hAnsi="Arial"/>
                <w:sz w:val="13"/>
                <w:szCs w:val="13"/>
                <w:b w:val="1"/>
                <w:bCs w:val="1"/>
                <w:color w:val="auto"/>
                <w:w w:val="85"/>
              </w:rPr>
              <w:t>(Name, address and telephone number, including area code, of agent for service)</w:t>
            </w:r>
          </w:p>
        </w:tc>
      </w:tr>
      <w:tr>
        <w:trPr>
          <w:trHeight w:val="70"/>
        </w:trPr>
        <w:tc>
          <w:tcPr>
            <w:tcW w:w="18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2900" w:type="dxa"/>
            <w:vAlign w:val="bottom"/>
          </w:tcPr>
          <w:p>
            <w:pPr>
              <w:spacing w:after="0"/>
              <w:rPr>
                <w:sz w:val="6"/>
                <w:szCs w:val="6"/>
                <w:color w:val="auto"/>
              </w:rPr>
            </w:pPr>
          </w:p>
        </w:tc>
      </w:tr>
      <w:tr>
        <w:trPr>
          <w:trHeight w:val="286"/>
        </w:trPr>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760" w:type="dxa"/>
            <w:vAlign w:val="bottom"/>
            <w:gridSpan w:val="2"/>
          </w:tcPr>
          <w:p>
            <w:pPr>
              <w:jc w:val="center"/>
              <w:ind w:right="2837"/>
              <w:spacing w:after="0"/>
              <w:rPr>
                <w:sz w:val="20"/>
                <w:szCs w:val="20"/>
                <w:color w:val="auto"/>
              </w:rPr>
            </w:pPr>
            <w:r>
              <w:rPr>
                <w:rFonts w:ascii="Arial" w:cs="Arial" w:eastAsia="Arial" w:hAnsi="Arial"/>
                <w:sz w:val="16"/>
                <w:szCs w:val="16"/>
                <w:i w:val="1"/>
                <w:iCs w:val="1"/>
                <w:color w:val="auto"/>
                <w:w w:val="91"/>
              </w:rPr>
              <w:t>Copies to:</w:t>
            </w:r>
          </w:p>
        </w:tc>
      </w:tr>
      <w:tr>
        <w:trPr>
          <w:trHeight w:val="216"/>
        </w:trPr>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gridSpan w:val="2"/>
          </w:tcPr>
          <w:p>
            <w:pPr>
              <w:jc w:val="center"/>
              <w:ind w:right="2817"/>
              <w:spacing w:after="0"/>
              <w:rPr>
                <w:sz w:val="20"/>
                <w:szCs w:val="20"/>
                <w:color w:val="auto"/>
              </w:rPr>
            </w:pPr>
            <w:r>
              <w:rPr>
                <w:rFonts w:ascii="Arial" w:cs="Arial" w:eastAsia="Arial" w:hAnsi="Arial"/>
                <w:sz w:val="18"/>
                <w:szCs w:val="18"/>
                <w:b w:val="1"/>
                <w:bCs w:val="1"/>
                <w:color w:val="auto"/>
                <w:w w:val="91"/>
              </w:rPr>
              <w:t>Nicholas Khadder</w:t>
            </w:r>
          </w:p>
        </w:tc>
      </w:tr>
      <w:tr>
        <w:trPr>
          <w:trHeight w:val="216"/>
        </w:trPr>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gridSpan w:val="2"/>
          </w:tcPr>
          <w:p>
            <w:pPr>
              <w:jc w:val="center"/>
              <w:ind w:right="2817"/>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gridSpan w:val="2"/>
          </w:tcPr>
          <w:p>
            <w:pPr>
              <w:jc w:val="center"/>
              <w:ind w:right="2837"/>
              <w:spacing w:after="0"/>
              <w:rPr>
                <w:sz w:val="20"/>
                <w:szCs w:val="20"/>
                <w:color w:val="auto"/>
              </w:rPr>
            </w:pPr>
            <w:r>
              <w:rPr>
                <w:rFonts w:ascii="Arial" w:cs="Arial" w:eastAsia="Arial" w:hAnsi="Arial"/>
                <w:sz w:val="18"/>
                <w:szCs w:val="18"/>
                <w:b w:val="1"/>
                <w:bCs w:val="1"/>
                <w:color w:val="auto"/>
                <w:w w:val="89"/>
              </w:rPr>
              <w:t>7000 Shoreline Court, Suite 100</w:t>
            </w:r>
          </w:p>
        </w:tc>
      </w:tr>
      <w:tr>
        <w:trPr>
          <w:trHeight w:val="216"/>
        </w:trPr>
        <w:tc>
          <w:tcPr>
            <w:tcW w:w="1800" w:type="dxa"/>
            <w:vAlign w:val="bottom"/>
          </w:tcPr>
          <w:p>
            <w:pPr>
              <w:spacing w:after="0"/>
              <w:rPr>
                <w:sz w:val="18"/>
                <w:szCs w:val="18"/>
                <w:color w:val="auto"/>
              </w:rPr>
            </w:pPr>
          </w:p>
        </w:tc>
        <w:tc>
          <w:tcPr>
            <w:tcW w:w="7180" w:type="dxa"/>
            <w:vAlign w:val="bottom"/>
            <w:gridSpan w:val="3"/>
          </w:tcPr>
          <w:p>
            <w:pPr>
              <w:jc w:val="center"/>
              <w:ind w:right="1397"/>
              <w:spacing w:after="0"/>
              <w:rPr>
                <w:sz w:val="20"/>
                <w:szCs w:val="20"/>
                <w:color w:val="auto"/>
              </w:rPr>
            </w:pPr>
            <w:r>
              <w:rPr>
                <w:rFonts w:ascii="Arial" w:cs="Arial" w:eastAsia="Arial" w:hAnsi="Arial"/>
                <w:sz w:val="18"/>
                <w:szCs w:val="18"/>
                <w:b w:val="1"/>
                <w:bCs w:val="1"/>
                <w:color w:val="auto"/>
                <w:w w:val="90"/>
              </w:rPr>
              <w:t>South San Francisco, California 94080</w:t>
            </w:r>
          </w:p>
        </w:tc>
      </w:tr>
      <w:tr>
        <w:trPr>
          <w:trHeight w:val="234"/>
        </w:trPr>
        <w:tc>
          <w:tcPr>
            <w:tcW w:w="1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760" w:type="dxa"/>
            <w:vAlign w:val="bottom"/>
            <w:gridSpan w:val="2"/>
          </w:tcPr>
          <w:p>
            <w:pPr>
              <w:jc w:val="center"/>
              <w:ind w:right="2837"/>
              <w:spacing w:after="0"/>
              <w:rPr>
                <w:sz w:val="20"/>
                <w:szCs w:val="20"/>
                <w:color w:val="auto"/>
              </w:rPr>
            </w:pPr>
            <w:r>
              <w:rPr>
                <w:rFonts w:ascii="Arial" w:cs="Arial" w:eastAsia="Arial" w:hAnsi="Arial"/>
                <w:sz w:val="18"/>
                <w:szCs w:val="18"/>
                <w:b w:val="1"/>
                <w:bCs w:val="1"/>
                <w:color w:val="auto"/>
                <w:w w:val="90"/>
              </w:rPr>
              <w:t>Telephone: (650) 266-6000</w:t>
            </w:r>
          </w:p>
        </w:tc>
      </w:tr>
      <w:tr>
        <w:trPr>
          <w:trHeight w:val="414"/>
        </w:trPr>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760" w:type="dxa"/>
            <w:vAlign w:val="bottom"/>
            <w:gridSpan w:val="2"/>
          </w:tcPr>
          <w:p>
            <w:pPr>
              <w:jc w:val="center"/>
              <w:ind w:right="2837"/>
              <w:spacing w:after="0"/>
              <w:rPr>
                <w:sz w:val="20"/>
                <w:szCs w:val="20"/>
                <w:color w:val="auto"/>
              </w:rPr>
            </w:pPr>
            <w:r>
              <w:rPr>
                <w:rFonts w:ascii="Arial" w:cs="Arial" w:eastAsia="Arial" w:hAnsi="Arial"/>
                <w:sz w:val="18"/>
                <w:szCs w:val="18"/>
                <w:b w:val="1"/>
                <w:bCs w:val="1"/>
                <w:color w:val="auto"/>
                <w:w w:val="92"/>
              </w:rPr>
              <w:t>Robert F. Kornegay</w:t>
            </w:r>
          </w:p>
        </w:tc>
      </w:tr>
      <w:tr>
        <w:trPr>
          <w:trHeight w:val="216"/>
        </w:trPr>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gridSpan w:val="2"/>
          </w:tcPr>
          <w:p>
            <w:pPr>
              <w:jc w:val="center"/>
              <w:ind w:right="2837"/>
              <w:spacing w:after="0"/>
              <w:rPr>
                <w:sz w:val="20"/>
                <w:szCs w:val="20"/>
                <w:color w:val="auto"/>
              </w:rPr>
            </w:pPr>
            <w:r>
              <w:rPr>
                <w:rFonts w:ascii="Arial" w:cs="Arial" w:eastAsia="Arial" w:hAnsi="Arial"/>
                <w:sz w:val="18"/>
                <w:szCs w:val="18"/>
                <w:b w:val="1"/>
                <w:bCs w:val="1"/>
                <w:color w:val="auto"/>
                <w:w w:val="90"/>
              </w:rPr>
              <w:t>Wilson Sonsini Goodrich &amp; Rosati,</w:t>
            </w:r>
          </w:p>
        </w:tc>
      </w:tr>
      <w:tr>
        <w:trPr>
          <w:trHeight w:val="216"/>
        </w:trPr>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gridSpan w:val="2"/>
          </w:tcPr>
          <w:p>
            <w:pPr>
              <w:jc w:val="center"/>
              <w:ind w:right="2837"/>
              <w:spacing w:after="0"/>
              <w:rPr>
                <w:sz w:val="20"/>
                <w:szCs w:val="20"/>
                <w:color w:val="auto"/>
              </w:rPr>
            </w:pPr>
            <w:r>
              <w:rPr>
                <w:rFonts w:ascii="Arial" w:cs="Arial" w:eastAsia="Arial" w:hAnsi="Arial"/>
                <w:sz w:val="18"/>
                <w:szCs w:val="18"/>
                <w:b w:val="1"/>
                <w:bCs w:val="1"/>
                <w:color w:val="auto"/>
                <w:w w:val="89"/>
              </w:rPr>
              <w:t>Professional Corporation</w:t>
            </w:r>
          </w:p>
        </w:tc>
      </w:tr>
      <w:tr>
        <w:trPr>
          <w:trHeight w:val="216"/>
        </w:trPr>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gridSpan w:val="2"/>
          </w:tcPr>
          <w:p>
            <w:pPr>
              <w:jc w:val="center"/>
              <w:ind w:right="2837"/>
              <w:spacing w:after="0"/>
              <w:rPr>
                <w:sz w:val="20"/>
                <w:szCs w:val="20"/>
                <w:color w:val="auto"/>
              </w:rPr>
            </w:pPr>
            <w:r>
              <w:rPr>
                <w:rFonts w:ascii="Arial" w:cs="Arial" w:eastAsia="Arial" w:hAnsi="Arial"/>
                <w:sz w:val="18"/>
                <w:szCs w:val="18"/>
                <w:b w:val="1"/>
                <w:bCs w:val="1"/>
                <w:color w:val="auto"/>
                <w:w w:val="91"/>
              </w:rPr>
              <w:t>650 Page Mill Road</w:t>
            </w:r>
          </w:p>
        </w:tc>
      </w:tr>
      <w:tr>
        <w:trPr>
          <w:trHeight w:val="216"/>
        </w:trPr>
        <w:tc>
          <w:tcPr>
            <w:tcW w:w="1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760" w:type="dxa"/>
            <w:vAlign w:val="bottom"/>
            <w:gridSpan w:val="2"/>
          </w:tcPr>
          <w:p>
            <w:pPr>
              <w:jc w:val="center"/>
              <w:ind w:right="2817"/>
              <w:spacing w:after="0"/>
              <w:rPr>
                <w:sz w:val="20"/>
                <w:szCs w:val="20"/>
                <w:color w:val="auto"/>
              </w:rPr>
            </w:pPr>
            <w:r>
              <w:rPr>
                <w:rFonts w:ascii="Arial" w:cs="Arial" w:eastAsia="Arial" w:hAnsi="Arial"/>
                <w:sz w:val="18"/>
                <w:szCs w:val="18"/>
                <w:b w:val="1"/>
                <w:bCs w:val="1"/>
                <w:color w:val="auto"/>
                <w:w w:val="91"/>
              </w:rPr>
              <w:t>Palo Alto, California 94304</w:t>
            </w:r>
          </w:p>
        </w:tc>
      </w:tr>
      <w:tr>
        <w:trPr>
          <w:trHeight w:val="234"/>
        </w:trPr>
        <w:tc>
          <w:tcPr>
            <w:tcW w:w="1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760" w:type="dxa"/>
            <w:vAlign w:val="bottom"/>
            <w:gridSpan w:val="2"/>
          </w:tcPr>
          <w:p>
            <w:pPr>
              <w:jc w:val="center"/>
              <w:ind w:right="2837"/>
              <w:spacing w:after="0"/>
              <w:rPr>
                <w:sz w:val="20"/>
                <w:szCs w:val="20"/>
                <w:color w:val="auto"/>
              </w:rPr>
            </w:pPr>
            <w:r>
              <w:rPr>
                <w:rFonts w:ascii="Arial" w:cs="Arial" w:eastAsia="Arial" w:hAnsi="Arial"/>
                <w:sz w:val="18"/>
                <w:szCs w:val="18"/>
                <w:b w:val="1"/>
                <w:bCs w:val="1"/>
                <w:color w:val="auto"/>
                <w:w w:val="90"/>
              </w:rPr>
              <w:t>Telephone: (650) 493-9300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60325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5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6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rPr>
                <w:sz w:val="20"/>
                <w:szCs w:val="20"/>
                <w:color w:val="auto"/>
              </w:rPr>
            </w:pPr>
            <w:r>
              <w:rPr>
                <w:rFonts w:ascii="Arial" w:cs="Arial" w:eastAsia="Arial" w:hAnsi="Arial"/>
                <w:sz w:val="18"/>
                <w:szCs w:val="18"/>
                <w:color w:val="auto"/>
              </w:rPr>
              <w:t>x</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45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00" w:type="dxa"/>
            <w:vAlign w:val="bottom"/>
          </w:tcPr>
          <w:p>
            <w:pPr>
              <w:ind w:left="6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125095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CALCULATION OF REGISTRATION FEE</w:t>
      </w:r>
    </w:p>
    <w:p>
      <w:pPr>
        <w:sectPr>
          <w:pgSz w:w="11900" w:h="16838" w:orient="portrait"/>
          <w:cols w:equalWidth="0" w:num="1">
            <w:col w:w="11380"/>
          </w:cols>
          <w:pgMar w:left="240" w:top="468" w:right="279" w:bottom="0" w:gutter="0" w:footer="0" w:header="0"/>
        </w:sect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Securities to be Registered</w:t>
      </w:r>
    </w:p>
    <w:p>
      <w:pPr>
        <w:spacing w:after="0" w:line="25" w:lineRule="exact"/>
        <w:rPr>
          <w:sz w:val="24"/>
          <w:szCs w:val="24"/>
          <w:color w:val="auto"/>
        </w:rPr>
      </w:pPr>
    </w:p>
    <w:p>
      <w:pPr>
        <w:jc w:val="both"/>
        <w:spacing w:after="0" w:line="249" w:lineRule="auto"/>
        <w:rPr>
          <w:sz w:val="20"/>
          <w:szCs w:val="20"/>
          <w:color w:val="auto"/>
        </w:rPr>
      </w:pPr>
      <w:r>
        <w:rPr>
          <w:rFonts w:ascii="Arial" w:cs="Arial" w:eastAsia="Arial" w:hAnsi="Arial"/>
          <w:sz w:val="18"/>
          <w:szCs w:val="18"/>
          <w:color w:val="auto"/>
        </w:rPr>
        <w:t>Common Stock, $0.001 par value per share, reserved for issuance pursuant to the Fluidigm Corporation 2017 Employee Stock Purchase Plan</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Proposed</w:t>
            </w: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Proposed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1700" w:type="dxa"/>
            <w:vAlign w:val="bottom"/>
            <w:gridSpan w:val="2"/>
            <w:vMerge w:val="continue"/>
          </w:tcPr>
          <w:p>
            <w:pPr>
              <w:spacing w:after="0"/>
              <w:rPr>
                <w:sz w:val="12"/>
                <w:szCs w:val="12"/>
                <w:color w:val="auto"/>
              </w:rPr>
            </w:pPr>
          </w:p>
        </w:tc>
        <w:tc>
          <w:tcPr>
            <w:tcW w:w="17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7"/>
              </w:rPr>
              <w:t>Maximum Offering</w:t>
            </w:r>
          </w:p>
        </w:tc>
        <w:tc>
          <w:tcPr>
            <w:tcW w:w="16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Maximum Aggregate</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to be Registered</w:t>
            </w:r>
            <w:r>
              <w:rPr>
                <w:rFonts w:ascii="Arial" w:cs="Arial" w:eastAsia="Arial" w:hAnsi="Arial"/>
                <w:sz w:val="20"/>
                <w:szCs w:val="20"/>
                <w:b w:val="1"/>
                <w:bCs w:val="1"/>
                <w:color w:val="auto"/>
                <w:w w:val="94"/>
                <w:vertAlign w:val="superscript"/>
              </w:rPr>
              <w:t>(1)</w:t>
            </w:r>
          </w:p>
        </w:tc>
        <w:tc>
          <w:tcPr>
            <w:tcW w:w="2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 Per Share</w:t>
            </w:r>
          </w:p>
        </w:tc>
        <w:tc>
          <w:tcPr>
            <w:tcW w:w="3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-8255</wp:posOffset>
            </wp:positionV>
            <wp:extent cx="7246620"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345"/>
        </w:trPr>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7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r>
              <w:rPr>
                <w:rFonts w:ascii="Arial" w:cs="Arial" w:eastAsia="Arial" w:hAnsi="Arial"/>
                <w:sz w:val="30"/>
                <w:szCs w:val="30"/>
                <w:color w:val="auto"/>
                <w:vertAlign w:val="superscript"/>
              </w:rPr>
              <w:t>(2)</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3,280,000.00</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380.15</w:t>
            </w:r>
          </w:p>
        </w:tc>
      </w:tr>
      <w:tr>
        <w:trPr>
          <w:trHeight w:val="210"/>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3,280,000.00</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380.15</w:t>
            </w:r>
          </w:p>
        </w:tc>
      </w:tr>
    </w:tbl>
    <w:p>
      <w:pPr>
        <w:spacing w:after="0" w:line="200" w:lineRule="exact"/>
        <w:rPr>
          <w:sz w:val="24"/>
          <w:szCs w:val="24"/>
          <w:color w:val="auto"/>
        </w:rPr>
      </w:pPr>
    </w:p>
    <w:p>
      <w:pPr>
        <w:sectPr>
          <w:pgSz w:w="11900" w:h="16838" w:orient="portrait"/>
          <w:cols w:equalWidth="0" w:num="2">
            <w:col w:w="4580" w:space="120"/>
            <w:col w:w="6680"/>
          </w:cols>
          <w:pgMar w:left="240" w:top="468" w:right="279" w:bottom="0" w:gutter="0" w:footer="0" w:header="0"/>
          <w:type w:val="continuous"/>
        </w:sectPr>
      </w:pPr>
    </w:p>
    <w:p>
      <w:pPr>
        <w:spacing w:after="0" w:line="2" w:lineRule="exact"/>
        <w:rPr>
          <w:sz w:val="24"/>
          <w:szCs w:val="24"/>
          <w:color w:val="auto"/>
        </w:rPr>
      </w:pPr>
    </w:p>
    <w:p>
      <w:pPr>
        <w:ind w:left="340" w:right="14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this Registration Statement shall also cover any additional shares of the Registrant’s common stock that become issuable under the Fluidigm Corporation 2017 Employee Stock Purchase Plan (the “2017 ESPP”) by reason of any stock</w:t>
      </w:r>
    </w:p>
    <w:p>
      <w:pPr>
        <w:sectPr>
          <w:pgSz w:w="11900" w:h="16838" w:orient="portrait"/>
          <w:cols w:equalWidth="0" w:num="1">
            <w:col w:w="11380"/>
          </w:cols>
          <w:pgMar w:left="240" w:top="468" w:right="279" w:bottom="0" w:gutter="0" w:footer="0" w:header="0"/>
          <w:type w:val="continuous"/>
        </w:sectPr>
      </w:pPr>
    </w:p>
    <w:bookmarkStart w:id="1" w:name="page2"/>
    <w:bookmarkEnd w:id="1"/>
    <w:p>
      <w:pPr>
        <w:ind w:left="332" w:right="220"/>
        <w:spacing w:after="0" w:line="258" w:lineRule="auto"/>
        <w:rPr>
          <w:sz w:val="20"/>
          <w:szCs w:val="20"/>
          <w:color w:val="auto"/>
        </w:rPr>
      </w:pPr>
      <w:r>
        <w:rPr>
          <w:rFonts w:ascii="Arial" w:cs="Arial" w:eastAsia="Arial" w:hAnsi="Arial"/>
          <w:sz w:val="18"/>
          <w:szCs w:val="18"/>
          <w:color w:val="auto"/>
        </w:rPr>
        <w:t>dividend, stock split, recapitalization or other similar transaction effected without receipt of consideration that increases the number of the Registrant’s outstanding shares of common stock.</w:t>
      </w:r>
    </w:p>
    <w:p>
      <w:pPr>
        <w:spacing w:after="0" w:line="1" w:lineRule="exact"/>
        <w:rPr>
          <w:sz w:val="20"/>
          <w:szCs w:val="20"/>
          <w:color w:val="auto"/>
        </w:rPr>
      </w:pPr>
    </w:p>
    <w:p>
      <w:pPr>
        <w:ind w:left="332" w:hanging="332"/>
        <w:spacing w:after="0" w:line="295" w:lineRule="auto"/>
        <w:tabs>
          <w:tab w:leader="none" w:pos="332"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in accordance with Rule 457(h) solely for the purpose of calculating the total registration fee. Computation based upon 85% (see explanation in following sentence) of $3.85, the average of the high and low prices of the Registrant’s common stock as reported on the Nasdaq Global Select Market on July 28, 2017. Pursuant to the 2017 ESPP, the purchase price of the shares of common stock reserved for issuance thereunder will be 85% of the lower of the fair market value of the common stock on (i) the first trading day of the offering period or (ii) the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583565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This Registration Statement is filed by Fluidigm Corporation (the “Registrant”) for the purpose of registering 1,000,000 shares of common stock of the Registrant that are currently reserved for issuance under the Fluidigm Corporation 2017 Employee Stock Purchase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 covered by this Registration Statement as specified by Rule 428(b)(1) under the Securities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Registrant hereby incorporates by reference into this Registration Statement the following documents previously filed with the Commission:</w:t>
      </w:r>
    </w:p>
    <w:p>
      <w:pPr>
        <w:spacing w:after="0" w:line="237" w:lineRule="exact"/>
        <w:rPr>
          <w:sz w:val="20"/>
          <w:szCs w:val="20"/>
          <w:color w:val="auto"/>
        </w:rPr>
      </w:pPr>
    </w:p>
    <w:p>
      <w:pPr>
        <w:ind w:left="1140" w:right="20" w:hanging="700"/>
        <w:spacing w:after="0" w:line="258"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2016, filed with the Commission on March 3, 2017 and the Registrant’s Amendment No. 1 to the Registrant’s Form 10-K, filed with the Commission on April 28, 2017;</w:t>
      </w:r>
    </w:p>
    <w:p>
      <w:pPr>
        <w:spacing w:after="0" w:line="1" w:lineRule="exact"/>
        <w:rPr>
          <w:rFonts w:ascii="Arial" w:cs="Arial" w:eastAsia="Arial" w:hAnsi="Arial"/>
          <w:sz w:val="18"/>
          <w:szCs w:val="18"/>
          <w:color w:val="auto"/>
        </w:rPr>
      </w:pPr>
    </w:p>
    <w:p>
      <w:pPr>
        <w:ind w:left="1140" w:hanging="700"/>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Quarterly Report on Form 10-Q for the three months ended March 31, 2017, filed with the Commission on May 9, 2017;</w:t>
      </w:r>
    </w:p>
    <w:p>
      <w:pPr>
        <w:spacing w:after="0" w:line="20" w:lineRule="exact"/>
        <w:rPr>
          <w:rFonts w:ascii="Arial" w:cs="Arial" w:eastAsia="Arial" w:hAnsi="Arial"/>
          <w:sz w:val="17"/>
          <w:szCs w:val="17"/>
          <w:color w:val="auto"/>
        </w:rPr>
      </w:pPr>
    </w:p>
    <w:p>
      <w:pPr>
        <w:ind w:left="1140" w:hanging="700"/>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January 11, 2017, February 10, 2017, March 2, 2017, March 27, 2017, May 24, 2017, August 2, 2017, August 2, 2017, August 3, 2017, and August 3, 2017 only to the extent that the items therein are specifically stated to be “filed” rather than “furnished” for the purposes of Section 18 of the Securities Exchange Act of 1934, as amended (the “Exchange Act”); and</w:t>
      </w:r>
    </w:p>
    <w:p>
      <w:pPr>
        <w:spacing w:after="0" w:line="1" w:lineRule="exact"/>
        <w:rPr>
          <w:rFonts w:ascii="Arial" w:cs="Arial" w:eastAsia="Arial" w:hAnsi="Arial"/>
          <w:sz w:val="18"/>
          <w:szCs w:val="18"/>
          <w:color w:val="auto"/>
        </w:rPr>
      </w:pPr>
    </w:p>
    <w:p>
      <w:pPr>
        <w:ind w:left="1140" w:right="180" w:hanging="700"/>
        <w:spacing w:after="0" w:line="255"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Company’s Registration Statements on Form 8-A (File No. 001-34180) filed with the Commission on February 7, 2011, pursuant to Section 12(b) of the Exchange Act, including any amendment or report filed for the purpose of updating such description.</w:t>
      </w:r>
    </w:p>
    <w:p>
      <w:pPr>
        <w:spacing w:after="0" w:line="190"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2"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as permitted by Section 145 of the Delaware General Corporation Law, the bylaws of the Registrant provide that:</w:t>
      </w:r>
    </w:p>
    <w:p>
      <w:pPr>
        <w:spacing w:after="0" w:line="225" w:lineRule="exact"/>
        <w:rPr>
          <w:sz w:val="20"/>
          <w:szCs w:val="20"/>
          <w:color w:val="auto"/>
        </w:rPr>
      </w:pPr>
    </w:p>
    <w:p>
      <w:pPr>
        <w:ind w:left="1300" w:right="140" w:hanging="320"/>
        <w:spacing w:after="0" w:line="25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88"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 may, in its discretion, indemnify employees and agents in those circumstances where indemnification is not required by law.</w:t>
      </w:r>
    </w:p>
    <w:p>
      <w:pPr>
        <w:spacing w:after="0" w:line="248" w:lineRule="exact"/>
        <w:rPr>
          <w:rFonts w:ascii="Arial" w:cs="Arial" w:eastAsia="Arial" w:hAnsi="Arial"/>
          <w:sz w:val="16"/>
          <w:szCs w:val="16"/>
          <w:color w:val="auto"/>
        </w:rPr>
      </w:pPr>
    </w:p>
    <w:p>
      <w:pPr>
        <w:ind w:left="1300" w:right="140" w:hanging="320"/>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81" w:lineRule="exact"/>
        <w:rPr>
          <w:rFonts w:ascii="Arial" w:cs="Arial" w:eastAsia="Arial" w:hAnsi="Arial"/>
          <w:sz w:val="18"/>
          <w:szCs w:val="18"/>
          <w:color w:val="auto"/>
        </w:rPr>
      </w:pPr>
    </w:p>
    <w:p>
      <w:pPr>
        <w:ind w:left="1300" w:right="460" w:hanging="320"/>
        <w:spacing w:after="0" w:line="34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23" w:lineRule="exact"/>
        <w:rPr>
          <w:rFonts w:ascii="Arial" w:cs="Arial" w:eastAsia="Arial" w:hAnsi="Arial"/>
          <w:sz w:val="16"/>
          <w:szCs w:val="16"/>
          <w:color w:val="auto"/>
        </w:rPr>
      </w:pPr>
    </w:p>
    <w:p>
      <w:pPr>
        <w:ind w:left="1300" w:right="46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70" w:lineRule="exact"/>
        <w:rPr>
          <w:rFonts w:ascii="Arial" w:cs="Arial" w:eastAsia="Arial" w:hAnsi="Arial"/>
          <w:sz w:val="18"/>
          <w:szCs w:val="18"/>
          <w:color w:val="auto"/>
        </w:rPr>
      </w:pPr>
    </w:p>
    <w:p>
      <w:pPr>
        <w:ind w:left="1300" w:right="4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may not retroactively amend the bylaw provisions to reduce its indemnification obligations to directors, officers, employees, and agents.</w:t>
      </w:r>
    </w:p>
    <w:p>
      <w:pPr>
        <w:spacing w:after="0" w:line="170"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4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Registrant’s undertakings in Section 9 of this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Incorporated</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Incorporated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5380" w:type="dxa"/>
            <w:vAlign w:val="bottom"/>
            <w:gridSpan w:val="2"/>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71"/>
        </w:trPr>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5380" w:type="dxa"/>
            <w:vAlign w:val="bottom"/>
            <w:gridSpan w:val="2"/>
            <w:vMerge w:val="continue"/>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From Form</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Specimen Common Stock Certificate of the Registrant.</w:t>
            </w:r>
          </w:p>
        </w:tc>
        <w:tc>
          <w:tcPr>
            <w:tcW w:w="240" w:type="dxa"/>
            <w:vAlign w:val="bottom"/>
          </w:tcPr>
          <w:p>
            <w:pPr>
              <w:spacing w:after="0"/>
              <w:rPr>
                <w:sz w:val="16"/>
                <w:szCs w:val="16"/>
                <w:color w:val="auto"/>
              </w:rPr>
            </w:pPr>
          </w:p>
        </w:tc>
        <w:tc>
          <w:tcPr>
            <w:tcW w:w="1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2017 Employee Stock Purchase Plan.</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442"/>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rPr>
              <w:t>8/2/2017</w:t>
            </w:r>
          </w:p>
        </w:tc>
        <w:tc>
          <w:tcPr>
            <w:tcW w:w="0" w:type="dxa"/>
            <w:vAlign w:val="bottom"/>
          </w:tcPr>
          <w:p>
            <w:pPr>
              <w:spacing w:after="0"/>
              <w:rPr>
                <w:sz w:val="1"/>
                <w:szCs w:val="1"/>
                <w:color w:val="auto"/>
              </w:rPr>
            </w:pPr>
          </w:p>
        </w:tc>
      </w:tr>
      <w:tr>
        <w:trPr>
          <w:trHeight w:val="216"/>
        </w:trPr>
        <w:tc>
          <w:tcPr>
            <w:tcW w:w="1040" w:type="dxa"/>
            <w:vAlign w:val="bottom"/>
          </w:tcPr>
          <w:p>
            <w:pPr>
              <w:ind w:left="36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Indenture, dated February 4, 2014, by and between Fluidigm</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482"/>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rPr>
              <w:t>2/4/2014</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Corporation and U.S. Bank National Association.</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Incorporated</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Incorporated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5380" w:type="dxa"/>
            <w:vAlign w:val="bottom"/>
            <w:gridSpan w:val="2"/>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71"/>
        </w:trPr>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5380" w:type="dxa"/>
            <w:vAlign w:val="bottom"/>
            <w:gridSpan w:val="2"/>
            <w:vMerge w:val="continue"/>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From Form</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Borders>
              <w:top w:val="single" w:sz="8" w:color="auto"/>
            </w:tcBorders>
          </w:tcPr>
          <w:p>
            <w:pPr>
              <w:jc w:val="right"/>
              <w:ind w:right="374"/>
              <w:spacing w:after="0" w:line="195" w:lineRule="exact"/>
              <w:rPr>
                <w:sz w:val="20"/>
                <w:szCs w:val="20"/>
                <w:color w:val="auto"/>
              </w:rPr>
            </w:pPr>
            <w:r>
              <w:rPr>
                <w:rFonts w:ascii="Arial" w:cs="Arial" w:eastAsia="Arial" w:hAnsi="Arial"/>
                <w:sz w:val="18"/>
                <w:szCs w:val="18"/>
                <w:color w:val="auto"/>
              </w:rPr>
              <w:t>4.6</w:t>
            </w:r>
          </w:p>
        </w:tc>
        <w:tc>
          <w:tcPr>
            <w:tcW w:w="2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First Supplement Indenture, dated February 4, 2014, by and between</w:t>
            </w:r>
          </w:p>
        </w:tc>
        <w:tc>
          <w:tcPr>
            <w:tcW w:w="240" w:type="dxa"/>
            <w:vAlign w:val="bottom"/>
          </w:tcPr>
          <w:p>
            <w:pPr>
              <w:spacing w:after="0"/>
              <w:rPr>
                <w:sz w:val="16"/>
                <w:szCs w:val="16"/>
                <w:color w:val="auto"/>
              </w:rPr>
            </w:pPr>
          </w:p>
        </w:tc>
        <w:tc>
          <w:tcPr>
            <w:tcW w:w="1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4.2</w:t>
            </w:r>
          </w:p>
        </w:tc>
        <w:tc>
          <w:tcPr>
            <w:tcW w:w="220" w:type="dxa"/>
            <w:vAlign w:val="bottom"/>
          </w:tcPr>
          <w:p>
            <w:pPr>
              <w:spacing w:after="0"/>
              <w:rPr>
                <w:sz w:val="16"/>
                <w:szCs w:val="16"/>
                <w:color w:val="auto"/>
              </w:rPr>
            </w:pPr>
          </w:p>
        </w:tc>
        <w:tc>
          <w:tcPr>
            <w:tcW w:w="13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rPr>
              <w:t>2/4/2014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Fluidigm Corporation and U.S. Bank National Association.</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ind w:right="374"/>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Form of Global Note (included in Exhibit 4.6).</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220" w:type="dxa"/>
            <w:vAlign w:val="bottom"/>
          </w:tcPr>
          <w:p>
            <w:pPr>
              <w:spacing w:after="0"/>
              <w:rPr>
                <w:sz w:val="18"/>
                <w:szCs w:val="18"/>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rPr>
              <w:t>2/4/2014</w:t>
            </w:r>
          </w:p>
        </w:tc>
        <w:tc>
          <w:tcPr>
            <w:tcW w:w="0" w:type="dxa"/>
            <w:vAlign w:val="bottom"/>
          </w:tcPr>
          <w:p>
            <w:pPr>
              <w:spacing w:after="0"/>
              <w:rPr>
                <w:sz w:val="1"/>
                <w:szCs w:val="1"/>
                <w:color w:val="auto"/>
              </w:rPr>
            </w:pPr>
          </w:p>
        </w:tc>
      </w:tr>
      <w:tr>
        <w:trPr>
          <w:trHeight w:val="216"/>
        </w:trPr>
        <w:tc>
          <w:tcPr>
            <w:tcW w:w="1040" w:type="dxa"/>
            <w:vAlign w:val="bottom"/>
          </w:tcPr>
          <w:p>
            <w:pPr>
              <w:jc w:val="right"/>
              <w:ind w:right="374"/>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Opinion of Wilson Sonsini Goodrich &amp; Rosati, Professional</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Filed herewith.</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ind w:right="374"/>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Consent of PricewaterhouseCoopers LLP, Independent Registered</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Filed herewith.</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Public Accounting Firm.</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ind w:right="374"/>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Consent of Ernst &amp; Young LLP, Independent Registered Public</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Filed herewith.</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ind w:right="374"/>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Consent of Wilson Sonsini Goodrich &amp; Rosati, Professional</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Corporation (contained in Exhibit 5.1 hereto).</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jc w:val="right"/>
              <w:ind w:right="374"/>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Power of Attorney (contained on signature page hereto).</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contract or arrangement.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300" w:right="200" w:firstLine="5"/>
        <w:spacing w:after="0" w:line="272" w:lineRule="auto"/>
        <w:tabs>
          <w:tab w:leader="none" w:pos="1565"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7" w:lineRule="exact"/>
        <w:rPr>
          <w:rFonts w:ascii="Arial" w:cs="Arial" w:eastAsia="Arial" w:hAnsi="Arial"/>
          <w:sz w:val="17"/>
          <w:szCs w:val="17"/>
          <w:color w:val="auto"/>
        </w:rPr>
      </w:pPr>
    </w:p>
    <w:p>
      <w:pPr>
        <w:ind w:left="1300" w:right="280" w:firstLine="5"/>
        <w:spacing w:after="0" w:line="277" w:lineRule="auto"/>
        <w:tabs>
          <w:tab w:leader="none" w:pos="161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(1)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81" w:lineRule="exact"/>
        <w:rPr>
          <w:sz w:val="20"/>
          <w:szCs w:val="20"/>
          <w:color w:val="auto"/>
        </w:rPr>
      </w:pPr>
    </w:p>
    <w:p>
      <w:pPr>
        <w:ind w:left="660" w:right="160" w:hanging="4"/>
        <w:spacing w:after="0" w:line="264" w:lineRule="auto"/>
        <w:tabs>
          <w:tab w:leader="none" w:pos="915"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820" w:hanging="4"/>
        <w:spacing w:after="0" w:line="277" w:lineRule="auto"/>
        <w:tabs>
          <w:tab w:leader="none" w:pos="915"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5" w:name="page6"/>
    <w:bookmarkEnd w:id="5"/>
    <w:p>
      <w:pPr>
        <w:ind w:right="100"/>
        <w:spacing w:after="0" w:line="259" w:lineRule="auto"/>
        <w:rPr>
          <w:sz w:val="20"/>
          <w:szCs w:val="20"/>
          <w:color w:val="auto"/>
        </w:rPr>
      </w:pPr>
      <w:r>
        <w:rPr>
          <w:rFonts w:ascii="Arial" w:cs="Arial" w:eastAsia="Arial" w:hAnsi="Arial"/>
          <w:sz w:val="18"/>
          <w:szCs w:val="18"/>
          <w:color w:val="auto"/>
        </w:rPr>
        <w:t>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August 3, 2017.</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Stephen Christopher Linthwaite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Stephen Christopher Linthwaite and Vikram Jog, and each of them severally, as his or her true and lawful attorneys-in-fact and agents, with full power of substitution and resubstitution, for him or her and in his or her name, place and stead, in any and all capacities, to sign the Registration Statement on Form S-8 of Fluidigm Corporation, and to sign, date and file any and all amendments thereto (including post-effective amendments to this Registration Statement, in each case on his or her behalf, in any and all capacities stated below, as appropriate, in such forms as they or any one of them may approve),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to the end that such Registration Statement or Registration Statements shall comply with the Securities Act of 1933, as amended, and the applicable Rules and Regulations adopted or issued pursuant thereto, as fully for all intents and purposes as he or she might or could do in person, hereby and about the premises hereby ratifying and confirming all that said attorneys-in-fact and agent, proxy and agent, or his, her or their substitute or substitutes, may lawfully do or cause to be done by virtue hereof, and generally to do all such things on their behalf in their capacities as officers and directors to enable the Registrant to comply with the provisions of the Securities Act of 1933, and all requirements of the Securities and Exchange Commission..</w:t>
      </w:r>
    </w:p>
    <w:p>
      <w:pPr>
        <w:spacing w:after="0" w:line="16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40" w:type="dxa"/>
            <w:vAlign w:val="bottom"/>
          </w:tcPr>
          <w:p>
            <w:pPr>
              <w:spacing w:after="0"/>
              <w:rPr>
                <w:sz w:val="14"/>
                <w:szCs w:val="1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4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Stephen Christopher Linthwaite</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3, 2017</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91"/>
              </w:rPr>
              <w:t>Stephen Christopher Linthwaite</w:t>
            </w:r>
          </w:p>
        </w:tc>
        <w:tc>
          <w:tcPr>
            <w:tcW w:w="240" w:type="dxa"/>
            <w:vAlign w:val="bottom"/>
          </w:tcPr>
          <w:p>
            <w:pPr>
              <w:spacing w:after="0"/>
              <w:rPr>
                <w:sz w:val="19"/>
                <w:szCs w:val="19"/>
                <w:color w:val="auto"/>
              </w:rPr>
            </w:pPr>
          </w:p>
        </w:tc>
        <w:tc>
          <w:tcPr>
            <w:tcW w:w="47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(Principal Executive Officer)</w:t>
            </w:r>
          </w:p>
        </w:tc>
        <w:tc>
          <w:tcPr>
            <w:tcW w:w="1940" w:type="dxa"/>
            <w:vAlign w:val="bottom"/>
          </w:tcPr>
          <w:p>
            <w:pPr>
              <w:spacing w:after="0"/>
              <w:rPr>
                <w:sz w:val="19"/>
                <w:szCs w:val="19"/>
                <w:color w:val="auto"/>
              </w:rPr>
            </w:pPr>
          </w:p>
        </w:tc>
      </w:tr>
      <w:tr>
        <w:trPr>
          <w:trHeight w:val="418"/>
        </w:trPr>
        <w:tc>
          <w:tcPr>
            <w:tcW w:w="4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Vikram Jog</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3, 2017</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93"/>
              </w:rPr>
              <w:t>Vikram Jog</w:t>
            </w:r>
          </w:p>
        </w:tc>
        <w:tc>
          <w:tcPr>
            <w:tcW w:w="240" w:type="dxa"/>
            <w:vAlign w:val="bottom"/>
          </w:tcPr>
          <w:p>
            <w:pPr>
              <w:spacing w:after="0"/>
              <w:rPr>
                <w:sz w:val="19"/>
                <w:szCs w:val="19"/>
                <w:color w:val="auto"/>
              </w:rPr>
            </w:pPr>
          </w:p>
        </w:tc>
        <w:tc>
          <w:tcPr>
            <w:tcW w:w="47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(Principal Financial Officer)</w:t>
            </w:r>
          </w:p>
        </w:tc>
        <w:tc>
          <w:tcPr>
            <w:tcW w:w="1940" w:type="dxa"/>
            <w:vAlign w:val="bottom"/>
          </w:tcPr>
          <w:p>
            <w:pPr>
              <w:spacing w:after="0"/>
              <w:rPr>
                <w:sz w:val="19"/>
                <w:szCs w:val="19"/>
                <w:color w:val="auto"/>
              </w:rPr>
            </w:pPr>
          </w:p>
        </w:tc>
      </w:tr>
      <w:tr>
        <w:trPr>
          <w:trHeight w:val="418"/>
        </w:trPr>
        <w:tc>
          <w:tcPr>
            <w:tcW w:w="4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Jennifer Lee</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Vice President, Controller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3, 2017</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90"/>
              </w:rPr>
              <w:t>Jennifer Lee</w:t>
            </w:r>
          </w:p>
        </w:tc>
        <w:tc>
          <w:tcPr>
            <w:tcW w:w="240" w:type="dxa"/>
            <w:vAlign w:val="bottom"/>
          </w:tcPr>
          <w:p>
            <w:pPr>
              <w:spacing w:after="0"/>
              <w:rPr>
                <w:sz w:val="19"/>
                <w:szCs w:val="19"/>
                <w:color w:val="auto"/>
              </w:rPr>
            </w:pPr>
          </w:p>
        </w:tc>
        <w:tc>
          <w:tcPr>
            <w:tcW w:w="47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(Principal Accounting Officer)</w:t>
            </w:r>
          </w:p>
        </w:tc>
        <w:tc>
          <w:tcPr>
            <w:tcW w:w="1940" w:type="dxa"/>
            <w:vAlign w:val="bottom"/>
          </w:tcPr>
          <w:p>
            <w:pPr>
              <w:spacing w:after="0"/>
              <w:rPr>
                <w:sz w:val="19"/>
                <w:szCs w:val="19"/>
                <w:color w:val="auto"/>
              </w:rPr>
            </w:pPr>
          </w:p>
        </w:tc>
      </w:tr>
      <w:tr>
        <w:trPr>
          <w:trHeight w:val="418"/>
        </w:trPr>
        <w:tc>
          <w:tcPr>
            <w:tcW w:w="4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Samuel D. Colella</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3, 2017</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91"/>
              </w:rPr>
              <w:t>Samuel D. Colella</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4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Gerhard F. Burbach</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3, 2017</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89"/>
              </w:rPr>
              <w:t>Gerhard F. Burbach</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4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Carlos Paya</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3, 2017</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87"/>
              </w:rPr>
              <w:t>Carlos Paya</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4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Patrick S. Jones</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3, 2017</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87"/>
              </w:rPr>
              <w:t>Patrick S. Jones</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4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Nicolas Barthelemy</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3, 2017</w:t>
            </w:r>
          </w:p>
        </w:tc>
      </w:tr>
      <w:tr>
        <w:trPr>
          <w:trHeight w:val="224"/>
        </w:trPr>
        <w:tc>
          <w:tcPr>
            <w:tcW w:w="4460" w:type="dxa"/>
            <w:vAlign w:val="bottom"/>
          </w:tcPr>
          <w:p>
            <w:pPr>
              <w:jc w:val="center"/>
              <w:spacing w:after="0"/>
              <w:rPr>
                <w:sz w:val="20"/>
                <w:szCs w:val="20"/>
                <w:color w:val="auto"/>
              </w:rPr>
            </w:pPr>
            <w:r>
              <w:rPr>
                <w:rFonts w:ascii="Arial" w:cs="Arial" w:eastAsia="Arial" w:hAnsi="Arial"/>
                <w:sz w:val="18"/>
                <w:szCs w:val="18"/>
                <w:color w:val="auto"/>
                <w:w w:val="92"/>
              </w:rPr>
              <w:t>Nicolas Barthelemy</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661"/>
        </w:trPr>
        <w:tc>
          <w:tcPr>
            <w:tcW w:w="4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Incorporated</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Incorporated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5380" w:type="dxa"/>
            <w:vAlign w:val="bottom"/>
            <w:gridSpan w:val="2"/>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71"/>
        </w:trPr>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5380" w:type="dxa"/>
            <w:vAlign w:val="bottom"/>
            <w:gridSpan w:val="2"/>
            <w:vMerge w:val="continue"/>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From Form</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0" w:type="dxa"/>
            <w:vAlign w:val="bottom"/>
            <w:tcBorders>
              <w:top w:val="single" w:sz="8" w:color="auto"/>
            </w:tcBorders>
          </w:tcPr>
          <w:p>
            <w:pPr>
              <w:jc w:val="right"/>
              <w:ind w:right="373"/>
              <w:spacing w:after="0" w:line="195"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Specimen Common Stock Certificate of the Registrant.</w:t>
            </w:r>
          </w:p>
        </w:tc>
        <w:tc>
          <w:tcPr>
            <w:tcW w:w="240" w:type="dxa"/>
            <w:vAlign w:val="bottom"/>
          </w:tcPr>
          <w:p>
            <w:pPr>
              <w:spacing w:after="0"/>
              <w:rPr>
                <w:sz w:val="16"/>
                <w:szCs w:val="16"/>
                <w:color w:val="auto"/>
              </w:rPr>
            </w:pPr>
          </w:p>
        </w:tc>
        <w:tc>
          <w:tcPr>
            <w:tcW w:w="1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2017 Employee Stock Purchase Plan.</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8"/>
                <w:szCs w:val="18"/>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rPr>
              <w:t>8/2/2017</w:t>
            </w:r>
          </w:p>
        </w:tc>
        <w:tc>
          <w:tcPr>
            <w:tcW w:w="0" w:type="dxa"/>
            <w:vAlign w:val="bottom"/>
          </w:tcPr>
          <w:p>
            <w:pPr>
              <w:spacing w:after="0"/>
              <w:rPr>
                <w:sz w:val="1"/>
                <w:szCs w:val="1"/>
                <w:color w:val="auto"/>
              </w:rPr>
            </w:pPr>
          </w:p>
        </w:tc>
      </w:tr>
      <w:tr>
        <w:trPr>
          <w:trHeight w:val="216"/>
        </w:trPr>
        <w:tc>
          <w:tcPr>
            <w:tcW w:w="1040" w:type="dxa"/>
            <w:vAlign w:val="bottom"/>
          </w:tcPr>
          <w:p>
            <w:pPr>
              <w:jc w:val="right"/>
              <w:ind w:right="373"/>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Indenture, dated February 4, 2014, by and between Fluidigm</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18"/>
                <w:szCs w:val="18"/>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rPr>
              <w:t>2/4/2014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Corporation and U.S. Bank National Association.</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ind w:right="373"/>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w w:val="97"/>
              </w:rPr>
              <w:t>First Supplement Indenture, dated February 4, 2014, by and between</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220" w:type="dxa"/>
            <w:vAlign w:val="bottom"/>
          </w:tcPr>
          <w:p>
            <w:pPr>
              <w:spacing w:after="0"/>
              <w:rPr>
                <w:sz w:val="18"/>
                <w:szCs w:val="18"/>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rPr>
              <w:t>2/4/2014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Fluidigm Corporation and U.S. Bank National Association.</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ind w:right="373"/>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Form of Global Note (included in Exhibit 4.6).</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220" w:type="dxa"/>
            <w:vAlign w:val="bottom"/>
          </w:tcPr>
          <w:p>
            <w:pPr>
              <w:spacing w:after="0"/>
              <w:rPr>
                <w:sz w:val="18"/>
                <w:szCs w:val="18"/>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rPr>
              <w:t>2/4/2014</w:t>
            </w:r>
          </w:p>
        </w:tc>
        <w:tc>
          <w:tcPr>
            <w:tcW w:w="0" w:type="dxa"/>
            <w:vAlign w:val="bottom"/>
          </w:tcPr>
          <w:p>
            <w:pPr>
              <w:spacing w:after="0"/>
              <w:rPr>
                <w:sz w:val="1"/>
                <w:szCs w:val="1"/>
                <w:color w:val="auto"/>
              </w:rPr>
            </w:pPr>
          </w:p>
        </w:tc>
      </w:tr>
      <w:tr>
        <w:trPr>
          <w:trHeight w:val="216"/>
        </w:trPr>
        <w:tc>
          <w:tcPr>
            <w:tcW w:w="1040" w:type="dxa"/>
            <w:vAlign w:val="bottom"/>
          </w:tcPr>
          <w:p>
            <w:pPr>
              <w:jc w:val="right"/>
              <w:ind w:right="373"/>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Opinion of Wilson Sonsini Goodrich &amp; Rosati, Professional</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Filed herewith.</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ind w:right="373"/>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Consent of PricewaterhouseCoopers LLP, Independent Registered</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Filed herewith.</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Public Accounting Firm.</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ind w:right="373"/>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Consent of Ernst &amp; Young LLP, Independent Registered Public</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Filed herewith.</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right"/>
              <w:ind w:right="373"/>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Consent of Wilson Sonsini Goodrich &amp; Rosati, Professional</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Corporation (contained in Exhibit 5.1 hereto).</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jc w:val="right"/>
              <w:ind w:right="373"/>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Power of Attorney (contained on signature page hereto).</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9220"/>
        <w:spacing w:after="0"/>
        <w:rPr>
          <w:sz w:val="20"/>
          <w:szCs w:val="20"/>
          <w:color w:val="auto"/>
        </w:rPr>
      </w:pPr>
      <w:r>
        <w:rPr>
          <w:rFonts w:ascii="Arial" w:cs="Arial" w:eastAsia="Arial" w:hAnsi="Arial"/>
          <w:sz w:val="19"/>
          <w:szCs w:val="19"/>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5238750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4408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40817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773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77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OPINION OF WILSON SONSINI GOODRICH &amp; ROSATI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We have examined the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be filed by Fluidigm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with the Securities and Exchange Commission on or about the date hereof, in connection with the registration under the Securities Act of 1933, as amended, of an aggregate of 1,000,000 shares of the Company’s common stock, par value $0.001 per share, reserved for future issuance pursuant to the Fluidigm Corporation 2017 Employee Stock Purchase Plan (the “</w:t>
      </w:r>
      <w:r>
        <w:rPr>
          <w:rFonts w:ascii="Arial" w:cs="Arial" w:eastAsia="Arial" w:hAnsi="Arial"/>
          <w:sz w:val="16"/>
          <w:szCs w:val="16"/>
          <w:b w:val="1"/>
          <w:bCs w:val="1"/>
          <w:color w:val="auto"/>
        </w:rPr>
        <w:t>Plan</w:t>
      </w:r>
      <w:r>
        <w:rPr>
          <w:rFonts w:ascii="Arial" w:cs="Arial" w:eastAsia="Arial" w:hAnsi="Arial"/>
          <w:sz w:val="16"/>
          <w:szCs w:val="16"/>
          <w:color w:val="auto"/>
        </w:rPr>
        <w:t>” and which shares of common stock are referred to herein as the “</w:t>
      </w:r>
      <w:r>
        <w:rPr>
          <w:rFonts w:ascii="Arial" w:cs="Arial" w:eastAsia="Arial" w:hAnsi="Arial"/>
          <w:sz w:val="16"/>
          <w:szCs w:val="16"/>
          <w:b w:val="1"/>
          <w:bCs w:val="1"/>
          <w:color w:val="auto"/>
        </w:rPr>
        <w:t>Shares</w:t>
      </w:r>
      <w:r>
        <w:rPr>
          <w:rFonts w:ascii="Arial" w:cs="Arial" w:eastAsia="Arial" w:hAnsi="Arial"/>
          <w:sz w:val="16"/>
          <w:szCs w:val="16"/>
          <w:color w:val="auto"/>
        </w:rPr>
        <w:t>”). As your legal counsel, we have examined the proceedings taken and are familiar with the actions proposed to be taken by you in connection with the issuance and sale of the Shares under the Plan and pursuant to the agreements related thereto. In such examination, we have assumed the following:</w:t>
      </w:r>
    </w:p>
    <w:p>
      <w:pPr>
        <w:spacing w:after="0" w:line="4" w:lineRule="exact"/>
        <w:rPr>
          <w:sz w:val="20"/>
          <w:szCs w:val="20"/>
          <w:color w:val="auto"/>
        </w:rPr>
      </w:pPr>
    </w:p>
    <w:p>
      <w:pPr>
        <w:jc w:val="both"/>
        <w:ind w:firstLine="8"/>
        <w:spacing w:after="0" w:line="255" w:lineRule="auto"/>
        <w:tabs>
          <w:tab w:leader="none" w:pos="24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19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It is our opinion that the Shares, when issued and sold in the manner referred to in the Plan and pursuant to the agreements that accompany the Plan, will be legally and validly issued, fully paid and nonassessable.</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1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March 2, 2017 relating to the financial statements, financial statement schedule and the effectiveness of internal control over financial reporting, which appears in Fluidigm Corporation's Annual Report on Form 10-K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for the registration of 1,000,000 shares of common stock pertaining to the Fluidigm Corporation 2017 Employee Stock Purchase Plan of our report dated February 29, 2016, with respect to the consolidated financial statements and schedule of Fluidigm Corporation included in its Annual Report (Form 10-K) for the year ended December 31, 2016, filed with the Securities and Exchange Commission.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1000760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Roman"/>
      <w:start w:val="1"/>
    </w:lvl>
  </w:abstractNum>
  <w:abstractNum w:abstractNumId="5">
    <w:nsid w:val="41B71EFB"/>
    <w:multiLevelType w:val="hybridMultilevel"/>
    <w:lvl w:ilvl="0">
      <w:lvlJc w:val="left"/>
      <w:lvlText w:val="%1"/>
      <w:numFmt w:val="upperLetter"/>
      <w:start w:val="1"/>
    </w:lvl>
    <w:lvl w:ilvl="1">
      <w:lvlJc w:val="left"/>
      <w:lvlText w:val="(%2)"/>
      <w:numFmt w:val="decimal"/>
      <w:start w:val="2"/>
    </w:lvl>
  </w:abstractNum>
  <w:abstractNum w:abstractNumId="6">
    <w:nsid w:val="79E2A9E3"/>
    <w:multiLevelType w:val="hybridMultilevel"/>
    <w:lvl w:ilvl="0">
      <w:lvlJc w:val="left"/>
      <w:lvlText w:val="%1."/>
      <w:numFmt w:val="upperLetter"/>
      <w:start w:val="2"/>
    </w:lvl>
    <w:lvl w:ilvl="1">
      <w:lvlJc w:val="left"/>
      <w:lvlText w:val="%2"/>
      <w:numFmt w:val="decimal"/>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2019-12-06T17:51:41Z</dcterms:created>
  <dcterms:modified xsi:type="dcterms:W3CDTF">2019-12-06T17:51:41Z</dcterms:modified>
</cp:coreProperties>
</file>