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August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6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16, 2012, Fluidigm Corporation (the “Company”) entered into an underwriting agreement (the “Underwriting Agreement”) with Piper Jaffray &amp; Co. and Cowen and Company, LLC, as joint book-running managers and representatives of the several underwriters party thereto (collectively, the “Underwriters”) relating to the public offering (the “Offering”) of 3,660,000 shares of the Company’s common stock, $0.001 par value per share (the “Common Stock”), at a price to the public of $14.25 per share (the “Offering Price”), less underwriting discounts and commissions. Under the terms of the Underwriting Agreement, the Company has also granted the Underwriters a 30-day option to purchase up to an additional 549,000 shares of Common Stock to cover over-allotments, if any, at the Offering Price. The net proceeds to the Company from the sale of the Common Stock, after deducting the underwriting discounts and commissions and other estimated offering expenses payable by the Company, are expected to be approximately $48.7 million assuming no exercise by the Underwriters of their over-allotment option, or $56.1 million if the Underwriters exercise their over-allotment option in full. The Offering is expected to close on August 21, 2012, subject to the satisfaction of customary closing conditions.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Common Stock is being offered and sold pursuant to a prospectus dated May 10, 2012 and a preliminary prospectus supplement filed with the U.S. Securities and Exchange Commission (the “SEC”) on August 16, 2012, in connection with a takedown from the Company’s effective shelf registration statement on Form S-3 (File No. 333-180550), as amended, declared effective by the SEC on May 10, 2012.</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Underwriting Agreement has been filed with this report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including being qualified by confidential disclosures exchanged between the parties in connection with the execution of the Underwriting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foregoing is only a brief description of the material terms of the Underwriting Agreement, does not purport to be a complete description of the rights and obligations of the parties thereunder, and is qualified in its entirety by reference to the Underwriting Agreement that is filed as Exhibit 1.1 to this Current Report on Form 8-K and incorporated by reference herein.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legal opinion of Wilson Sonsini Goodrich &amp; Rosati, Professional Corporation relating to the Common Stock being offered is filed as Exhibit 5.1 to this Current Report on Form 8-K.</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16, 2012, the Company issued a press release announcing the pricing of the Offering. A copy of the press release is attached as Exhibit 99.1 to this report and is incorporated by reference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rules and regulations of the Securities and Exchange Commission, the attached exhibits are deemed to have been filed with the Securities and Exchange Commission: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3420" w:type="dxa"/>
            <w:vAlign w:val="bottom"/>
          </w:tcPr>
          <w:p>
            <w:pPr>
              <w:spacing w:after="0"/>
              <w:rPr>
                <w:sz w:val="14"/>
                <w:szCs w:val="14"/>
                <w:color w:val="auto"/>
              </w:rPr>
            </w:pPr>
          </w:p>
        </w:tc>
      </w:tr>
      <w:tr>
        <w:trPr>
          <w:trHeight w:val="316"/>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w w:val="88"/>
              </w:rPr>
              <w:t>Underwriting Agreement, dated as of August 16, 2012, among Fluidigm Corporation and the several underwriters party thereto.</w:t>
            </w: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5.1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23.1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rPr>
              <w:t>Press Release issued by Fluidigm Corporation dated August 16, 2012.</w:t>
            </w:r>
          </w:p>
        </w:tc>
      </w:tr>
    </w:tbl>
    <w:p>
      <w:pPr>
        <w:sectPr>
          <w:pgSz w:w="11900" w:h="16838" w:orient="portrait"/>
          <w:cols w:equalWidth="0" w:num="1">
            <w:col w:w="11200"/>
          </w:cols>
          <w:pgMar w:left="240" w:top="274" w:right="4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54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3420" w:type="dxa"/>
            <w:vAlign w:val="bottom"/>
          </w:tcPr>
          <w:p>
            <w:pPr>
              <w:spacing w:after="0"/>
              <w:rPr>
                <w:sz w:val="14"/>
                <w:szCs w:val="14"/>
                <w:color w:val="auto"/>
              </w:rPr>
            </w:pPr>
          </w:p>
        </w:tc>
      </w:tr>
      <w:tr>
        <w:trPr>
          <w:trHeight w:val="316"/>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w w:val="88"/>
              </w:rPr>
              <w:t>Underwriting Agreement, dated as of August 16, 2012, among Fluidigm Corporation and the several underwriters party thereto.</w:t>
            </w: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5.1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23.1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9540" w:type="dxa"/>
            <w:vAlign w:val="bottom"/>
            <w:gridSpan w:val="3"/>
          </w:tcPr>
          <w:p>
            <w:pPr>
              <w:ind w:left="560"/>
              <w:spacing w:after="0"/>
              <w:rPr>
                <w:sz w:val="20"/>
                <w:szCs w:val="20"/>
                <w:color w:val="auto"/>
              </w:rPr>
            </w:pPr>
            <w:r>
              <w:rPr>
                <w:rFonts w:ascii="Arial" w:cs="Arial" w:eastAsia="Arial" w:hAnsi="Arial"/>
                <w:sz w:val="18"/>
                <w:szCs w:val="18"/>
                <w:color w:val="auto"/>
              </w:rPr>
              <w:t>Press Release issued by Fluidigm Corporation dated August 16, 2012.</w:t>
            </w:r>
          </w:p>
        </w:tc>
      </w:tr>
      <w:tr>
        <w:trPr>
          <w:trHeight w:val="365"/>
        </w:trPr>
        <w:tc>
          <w:tcPr>
            <w:tcW w:w="460" w:type="dxa"/>
            <w:vAlign w:val="bottom"/>
          </w:tcPr>
          <w:p>
            <w:pPr>
              <w:spacing w:after="0"/>
              <w:rPr>
                <w:sz w:val="24"/>
                <w:szCs w:val="24"/>
                <w:color w:val="auto"/>
              </w:rPr>
            </w:pPr>
          </w:p>
        </w:tc>
        <w:tc>
          <w:tcPr>
            <w:tcW w:w="5400" w:type="dxa"/>
            <w:vAlign w:val="bottom"/>
          </w:tcPr>
          <w:p>
            <w:pPr>
              <w:ind w:left="5100"/>
              <w:spacing w:after="0"/>
              <w:rPr>
                <w:sz w:val="20"/>
                <w:szCs w:val="20"/>
                <w:color w:val="auto"/>
              </w:rPr>
            </w:pPr>
            <w:r>
              <w:rPr>
                <w:rFonts w:ascii="Arial" w:cs="Arial" w:eastAsia="Arial" w:hAnsi="Arial"/>
                <w:sz w:val="18"/>
                <w:szCs w:val="18"/>
                <w:color w:val="auto"/>
                <w:w w:val="87"/>
              </w:rPr>
              <w:t>- 4 -</w:t>
            </w:r>
          </w:p>
        </w:tc>
        <w:tc>
          <w:tcPr>
            <w:tcW w:w="7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 FOR EQUITY OFFERING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3,660,000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Fluidigm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Fluidigm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sell to the several underwriters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for whom you are acting as representatives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an aggregate of 3,660,000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of the Company’s common stock, $0.001 par value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The respective amounts of the Firm Shares to be so purchased by the several Underwriters are set forth opposite their names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Company also proposes to sell at the Underwriters’ option an aggregate of up to 549,000 shares of Common Stock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the Representatives, you have advised the Company (a) that you are authorized to enter into this Agreement on behalf of the several Underwriters, and</w:t>
      </w:r>
    </w:p>
    <w:p>
      <w:pPr>
        <w:spacing w:after="0" w:line="38" w:lineRule="exact"/>
        <w:rPr>
          <w:sz w:val="20"/>
          <w:szCs w:val="20"/>
          <w:color w:val="auto"/>
        </w:rPr>
      </w:pPr>
    </w:p>
    <w:p>
      <w:pPr>
        <w:ind w:right="140" w:firstLine="8"/>
        <w:spacing w:after="0" w:line="261"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that the several Underwriters are willing, acting severally and not jointly, to purchase the numbers of Firm Shares set forth opposite their respective names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plus their pro rata portion of the Option Shares if you</w:t>
      </w:r>
    </w:p>
    <w:p>
      <w:pPr>
        <w:sectPr>
          <w:pgSz w:w="11900" w:h="16838" w:orient="portrait"/>
          <w:cols w:equalWidth="0" w:num="1">
            <w:col w:w="11420"/>
          </w:cols>
          <w:pgMar w:left="240" w:top="125" w:right="239" w:bottom="1440" w:gutter="0" w:footer="0" w:header="0"/>
        </w:sectPr>
      </w:pPr>
    </w:p>
    <w:bookmarkStart w:id="6" w:name="page7"/>
    <w:bookmarkEnd w:id="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 to exercise the over-allotment option in whole or in part for the accounts of the several Underwriters. The Firm Shares and the Option Shares (to the extent the aforementioned option is exercised) are herein collectively called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13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EPRESENTATIONS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4"/>
          <w:szCs w:val="14"/>
          <w:u w:val="single" w:color="auto"/>
          <w:color w:val="auto"/>
        </w:rPr>
        <w:t>ARRANTIES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 The Company represents and warrants as follows:</w:t>
      </w:r>
    </w:p>
    <w:p>
      <w:pPr>
        <w:spacing w:after="0" w:line="171" w:lineRule="exact"/>
        <w:rPr>
          <w:rFonts w:ascii="Arial" w:cs="Arial" w:eastAsia="Arial" w:hAnsi="Arial"/>
          <w:sz w:val="18"/>
          <w:szCs w:val="18"/>
          <w:color w:val="auto"/>
        </w:rPr>
      </w:pPr>
    </w:p>
    <w:p>
      <w:pPr>
        <w:ind w:right="20" w:firstLine="464"/>
        <w:spacing w:after="0" w:line="285" w:lineRule="auto"/>
        <w:tabs>
          <w:tab w:leader="none" w:pos="695" w:val="left"/>
        </w:tabs>
        <w:numPr>
          <w:ilvl w:val="1"/>
          <w:numId w:val="3"/>
        </w:numPr>
        <w:rPr>
          <w:rFonts w:ascii="Arial" w:cs="Arial" w:eastAsia="Arial" w:hAnsi="Arial"/>
          <w:sz w:val="16"/>
          <w:szCs w:val="16"/>
          <w:color w:val="auto"/>
        </w:rPr>
      </w:pPr>
      <w:r>
        <w:rPr>
          <w:rFonts w:ascii="Arial" w:cs="Arial" w:eastAsia="Arial" w:hAnsi="Arial"/>
          <w:sz w:val="16"/>
          <w:szCs w:val="16"/>
          <w:color w:val="auto"/>
        </w:rPr>
        <w:t>A registration statement on Form S-3 (File No. 333-180550) (including such amendments and supplements thereto as may have been filed before execution of this Agreement,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respect of the Shares has been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Rule 415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Company meets the requirements for use of Form S-3 under the Securities Act and the rules and regulations of the Commission thereunder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The Registration Statement and any post-effective amendment thereto, excluding exhibits thereto, each in the form heretofore delivered to you as Representative of the other Underwriters, have been declared effective by the Commission in such form and meet the requirements of the Securities Act and the Rules and Regulations. The proposed offering of the Stock may be made pursuant to General Instruction I.B.1. of Form S-3. Other than the Preliminary Prospectus (as defined below) and any Issuer Free Writing Prospectus (as defined below), no other document with respect to the offer and sale of the Shares has heretofore been filed with the Commission. No stop order suspending the effectiveness of the Registration Statement has been issued and no proceeding for that purpose or pursuant to Section 8A of the Securities Act has been initiated or, to the Company’s knowledge, threatened by the Commission. The base prospectus included in the Registration Statement at the time of effectiveness thereof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the preliminary prospectus supplement, dated August 15, 2012, relating to the offer and sale of the Shares in the form filed pursuant to and within the time limit described in Rule 424(b) under the Rules and Regulations, is hereinafter called the “</w:t>
      </w:r>
      <w:r>
        <w:rPr>
          <w:rFonts w:ascii="Arial" w:cs="Arial" w:eastAsia="Arial" w:hAnsi="Arial"/>
          <w:sz w:val="16"/>
          <w:szCs w:val="16"/>
          <w:u w:val="single" w:color="auto"/>
          <w:color w:val="auto"/>
        </w:rPr>
        <w:t>Preliminary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The Base Prospectus, as supplemented by the final prospectus supplement relating to the offer and sale of the Shares, in the form to be filed pursuant to and within the time limits described in Rule 424(b) under the Rules and Regulations, is hereinafter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reference herein to any Registration Statement, the Base Prospectus, the Preliminary Prospectus or the Prospectus shall be deemed to refer to and include the documents incorporated by reference therein. Any reference to any amendment or supplement to the Preliminary Prospectus or the Prospectus shall be deemed to refer to and include any documents filed after the date of the Preliminary Prospectus or the Prospectus, respectively,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incorporated by reference in the Preliminary Prospectus or the Prospectus, respectively. Any reference to any amendment to the Registration Statement shall be deemed to refer to and include any annual report of the Company filed pursuant to Section 13(a) or 15(d) of the Exchange Act after the date of this Agreement that is incorporated by reference in the Registration Statement.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7" w:name="page8"/>
    <w:bookmarkEnd w:id="7"/>
    <w:p>
      <w:pPr>
        <w:ind w:right="260" w:firstLine="464"/>
        <w:spacing w:after="0" w:line="310" w:lineRule="auto"/>
        <w:tabs>
          <w:tab w:leader="none" w:pos="705"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of the Applicable Time (as defined below) and as of the Closing Date or the Option Closing Date, as the case may be, neither (i) the General Use Free Writing Prospectus(es) (as defined below) issued at or prior to the Applicable Time and the information included on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considered together (collectively, the “</w:t>
      </w:r>
      <w:r>
        <w:rPr>
          <w:rFonts w:ascii="Arial" w:cs="Arial" w:eastAsia="Arial" w:hAnsi="Arial"/>
          <w:sz w:val="15"/>
          <w:szCs w:val="15"/>
          <w:u w:val="single" w:color="auto"/>
          <w:color w:val="auto"/>
        </w:rPr>
        <w:t>General Disclosure Package</w:t>
      </w:r>
      <w:r>
        <w:rPr>
          <w:rFonts w:ascii="Arial" w:cs="Arial" w:eastAsia="Arial" w:hAnsi="Arial"/>
          <w:sz w:val="15"/>
          <w:szCs w:val="15"/>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Company makes no representations or warranties as to information contained in or omitted from any Issuer Free Writing Prospectus, in reliance upon, and in conformity with, written information furnished to the Company by or on behalf of any Underwriter through the Representatives, specifically for use therein, it being understood and agreed that the only such information is that described in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herein. As used in this subsection and elsewhere in this Agreement: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8:00 a.m. (New York time) on August 16, 2012.</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Use Free Writing Prospectus</w:t>
      </w:r>
      <w:r>
        <w:rPr>
          <w:rFonts w:ascii="Arial" w:cs="Arial" w:eastAsia="Arial" w:hAnsi="Arial"/>
          <w:sz w:val="18"/>
          <w:szCs w:val="18"/>
          <w:color w:val="auto"/>
        </w:rPr>
        <w:t xml:space="preserve">” means any Issuer Free Writing Prospectus that is identified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Use Free Writing Prospectus</w:t>
      </w:r>
      <w:r>
        <w:rPr>
          <w:rFonts w:ascii="Arial" w:cs="Arial" w:eastAsia="Arial" w:hAnsi="Arial"/>
          <w:sz w:val="18"/>
          <w:szCs w:val="18"/>
          <w:color w:val="auto"/>
        </w:rPr>
        <w:t>” means any Issuer Free Writing Prospectus that is not a General Use Free Writing Prospectus.</w:t>
      </w:r>
    </w:p>
    <w:p>
      <w:pPr>
        <w:spacing w:after="0" w:line="171" w:lineRule="exact"/>
        <w:rPr>
          <w:sz w:val="20"/>
          <w:szCs w:val="20"/>
          <w:color w:val="auto"/>
        </w:rPr>
      </w:pPr>
    </w:p>
    <w:p>
      <w:pPr>
        <w:ind w:firstLine="464"/>
        <w:spacing w:after="0" w:line="286"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 corporation in good standing under the laws of the State of Delaware, with corporate power and authority to own or lease its properties and conduct its business as described in the Registration Statement, the General Disclosure Package and the Prospectus. Each of the subsidiaries of the Company as listed in Exhibit 21.1 to Item 15 of the Annual Report on Form 10-K filed with the Commission on March 26, 2012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has been duly organized and is validly existing as a corporation, limited liability company or similar entity in good standing (to the extent that the concept of “good standing” exists in a specified jurisdiction) under the laws of its jurisdiction of organization, with requisite power and authority to own or lease its properties and conduct its business as described in the Registration Statement, the General Disclosure Package and the Prospectus. The Subsidiaries are the only subsidiaries, direct or indirect, of the Company. The Company and each of the Subsidiaries are duly qualified to transact business in all jurisdictions in which the conduct of their business requires such qualification, except where the failure to be so qualified would not either (i) have, individually or in the aggregate, a material adverse effect on the earnings, business, management, properties, assets, rights, operations, condition (financial or otherwise), or prospects of the Company and the Subsidiaries, taken as a whole, or (ii) prevent the consummation of the transactions contemplated hereby (the occurrence of any such effect or any such prevention described in the foregoing clauses (i) and (ii) being</w:t>
      </w:r>
    </w:p>
    <w:p>
      <w:pPr>
        <w:spacing w:after="0" w:line="113" w:lineRule="exact"/>
        <w:rPr>
          <w:rFonts w:ascii="Arial" w:cs="Arial" w:eastAsia="Arial" w:hAnsi="Arial"/>
          <w:sz w:val="16"/>
          <w:szCs w:val="16"/>
          <w:color w:val="auto"/>
        </w:rPr>
      </w:pPr>
    </w:p>
    <w:p>
      <w:pPr>
        <w:ind w:left="5680" w:hanging="11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8" w:name="page9"/>
    <w:bookmarkEnd w:id="8"/>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as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43" w:lineRule="exact"/>
        <w:rPr>
          <w:sz w:val="20"/>
          <w:szCs w:val="20"/>
          <w:color w:val="auto"/>
        </w:rPr>
      </w:pPr>
    </w:p>
    <w:p>
      <w:pPr>
        <w:ind w:right="20" w:firstLine="464"/>
        <w:spacing w:after="0" w:line="294"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outstanding shares of Common Stock of the Company have been duly authorized and validly issued and are fully paid and non-assessable; the Shares to be issued and sold by the Company have been duly authorized and when issued and paid for as contemplated herein will be validly issued, fully paid and non-assessable; and except as waived or terminated prior to the date hereof, no preemptive rights of stockholders exist with respect to any of the Shares or the issue and sale thereof. Neither the filing of the Registration Statement nor the offering or sale of the Shares as contemplated by this Agreement gives rise to any rights, other than those which have been waived or satisfied, for or relating to the registration of any shares of Common Stock.</w:t>
      </w:r>
    </w:p>
    <w:p>
      <w:pPr>
        <w:spacing w:after="0" w:line="115" w:lineRule="exact"/>
        <w:rPr>
          <w:rFonts w:ascii="Arial" w:cs="Arial" w:eastAsia="Arial" w:hAnsi="Arial"/>
          <w:sz w:val="16"/>
          <w:szCs w:val="16"/>
          <w:color w:val="auto"/>
        </w:rPr>
      </w:pPr>
    </w:p>
    <w:p>
      <w:pPr>
        <w:ind w:right="40" w:firstLine="464"/>
        <w:spacing w:after="0" w:line="25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set forth under the caption “Description of Capital Stock” in the Preliminary Prospectus and the Prospectus (and any similar section or information contained in the General Disclosure Package) is true and correct. All of the Shares conform in all material respects to the description thereof contained in the Registration Statement, the General Disclosure Package and the Prospectus. The form of certificates for the Shares conforms to the corporate law of the jurisdiction of the Company’s incorporation and to any requirements of the Company’s organizational documents. Subsequent to the respective dates as of which information is given in the Registration Statement, the General Disclosure Package and the Prospectus, except as otherwise specifically stated therein or in this Agreement, the Company has not: (i) issued any securities (other than pursuant to the equity incentive plan of the Company); (ii) incurred any material liability or obligation, direct or contingent, for borrowed money; or (iii) declared or paid any dividend or made any other distribution on or in respect to its capital stock.</w:t>
      </w:r>
    </w:p>
    <w:p>
      <w:pPr>
        <w:spacing w:after="0" w:line="145" w:lineRule="exact"/>
        <w:rPr>
          <w:rFonts w:ascii="Arial" w:cs="Arial" w:eastAsia="Arial" w:hAnsi="Arial"/>
          <w:sz w:val="18"/>
          <w:szCs w:val="18"/>
          <w:color w:val="auto"/>
        </w:rPr>
      </w:pPr>
    </w:p>
    <w:p>
      <w:pPr>
        <w:ind w:firstLine="464"/>
        <w:spacing w:after="0" w:line="288" w:lineRule="auto"/>
        <w:tabs>
          <w:tab w:leader="none" w:pos="6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Commission has not issued an order preventing or suspending the use of the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and the General Disclosure Package contains, and the Prospectus and any amendments or supplements thereto will contain, all statements which are required to be stated therein by, and will conform to, the requirements of the Act and the Rules and Regulations. The documents incorporated, or to be incorporated, by reference in the Prospectus and the General Disclosure Package, at the time filed with the Commission conformed or will conform, in all respects to the requirements of the Exchange Act or the Act, as applicable, and the rules and regulations of the Commission thereunder. The Registration Statement and any amendments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9" w:name="page10"/>
    <w:bookmarkEnd w:id="9"/>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omit, and will not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any Underwriter through the Representatives, specifically for use therein, it being understood and agreed that the only such information is that described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w:t>
      </w:r>
    </w:p>
    <w:p>
      <w:pPr>
        <w:spacing w:after="0" w:line="143" w:lineRule="exact"/>
        <w:rPr>
          <w:sz w:val="20"/>
          <w:szCs w:val="20"/>
          <w:color w:val="auto"/>
        </w:rPr>
      </w:pPr>
    </w:p>
    <w:p>
      <w:pPr>
        <w:jc w:val="both"/>
        <w:ind w:right="60" w:firstLine="464"/>
        <w:spacing w:after="0" w:line="255"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when taken together with the Preliminary Prospectus accompanying or delivered prior to delivery of such Issuer Free Writing Prospectus, as of its issue date and at all subsequent times through the completion of the public offer and sale of the Shares or until any earlier date that the Company notified or notifies the Representatives, did not, does not and will not include any information that conflicted, conflicts or will conflict with the information contained in the Registration Statement or the Prospectus, including any document incorporated by reference therein that has not been superseded or modified.</w:t>
      </w:r>
    </w:p>
    <w:p>
      <w:pPr>
        <w:spacing w:after="0" w:line="142" w:lineRule="exact"/>
        <w:rPr>
          <w:rFonts w:ascii="Arial" w:cs="Arial" w:eastAsia="Arial" w:hAnsi="Arial"/>
          <w:sz w:val="18"/>
          <w:szCs w:val="18"/>
          <w:color w:val="auto"/>
        </w:rPr>
      </w:pPr>
    </w:p>
    <w:p>
      <w:pPr>
        <w:jc w:val="both"/>
        <w:ind w:right="380" w:firstLine="464"/>
        <w:spacing w:after="0" w:line="306"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Company has not, directly or indirectly, distributed and will not distribute any offering material in connection with the offering and sale of the Shares other than the Preliminary Prospectus, the Prospectus and other materials, if any, permitted under the Act and consistent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below. The Company will file with the Commission all Issuer Free Writing Prospectuses in the time required under Rule 433(d) under the Act.</w:t>
      </w:r>
    </w:p>
    <w:p>
      <w:pPr>
        <w:spacing w:after="0" w:line="106" w:lineRule="exact"/>
        <w:rPr>
          <w:rFonts w:ascii="Arial" w:cs="Arial" w:eastAsia="Arial" w:hAnsi="Arial"/>
          <w:sz w:val="16"/>
          <w:szCs w:val="16"/>
          <w:color w:val="auto"/>
        </w:rPr>
      </w:pPr>
    </w:p>
    <w:p>
      <w:pPr>
        <w:ind w:right="60" w:firstLine="464"/>
        <w:spacing w:after="0" w:line="298"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12" w:lineRule="exact"/>
        <w:rPr>
          <w:rFonts w:ascii="Arial" w:cs="Arial" w:eastAsia="Arial" w:hAnsi="Arial"/>
          <w:sz w:val="16"/>
          <w:szCs w:val="16"/>
          <w:color w:val="auto"/>
        </w:rPr>
      </w:pPr>
    </w:p>
    <w:p>
      <w:pPr>
        <w:ind w:firstLine="464"/>
        <w:spacing w:after="0" w:line="288"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Subsidiaries, together with related notes and schedules as set forth or incorporated by reference in the Registration Statement, the General Disclosure Package and the Prospectus, present fairly the financial position and the results of operations and cash flows of the Company and the consolidated Subsidiaries, at the indicated dates and for the indicated periods. Such financial statements and related schedules have been prepared in accordance with U.S. generally accepted principles of accounting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throughout the periods involved, except as disclosed therein, and all adjustments necessary for a fair presentation of results for such periods have been made. The summary and selected consolidated financial and statistical data included or incorporated by reference in the Registration Statement, the General Disclosure Package and the Prospectus present fairly the information shown therein and such data has been compiled on a basis consistent with the financial statements presented therein and the books and records of the Company. The Company and the Subsidiaries do not have any material liabilities or obligations, direct or contingent (including any off-balance sheet obligations or any “variable interest entities” within the meaning of Financial Accounting Standards Board Interpretation No.</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10" w:name="page11"/>
    <w:bookmarkEnd w:id="10"/>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85" w:lineRule="exact"/>
        <w:rPr>
          <w:sz w:val="20"/>
          <w:szCs w:val="20"/>
          <w:color w:val="auto"/>
        </w:rPr>
      </w:pPr>
    </w:p>
    <w:p>
      <w:pPr>
        <w:ind w:right="20" w:firstLine="464"/>
        <w:spacing w:after="0" w:line="256"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Ernst &amp; Young LLP, who have certified certain of the financial statements filed with the Commission as part of, or incorporated by reference in, the Registration Statement, the General Disclosure Package and the Prospectus, is an independent registered public accounting firm with respect to the Company and the Subsidiaries within the meaning of the Act and the applicable Rules and Regulations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80" w:firstLine="464"/>
        <w:spacing w:after="0" w:line="306"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neither the Company nor any of the Subsidiaries is aware of (i) any material weakness in its internal control over financial reporting or (ii) change in internal control over financial reporting that has materially affected, or is reasonably likely to materially affect, the Company’s internal control over financial reporting.</w:t>
      </w:r>
    </w:p>
    <w:p>
      <w:pPr>
        <w:spacing w:after="0" w:line="106" w:lineRule="exact"/>
        <w:rPr>
          <w:rFonts w:ascii="Arial" w:cs="Arial" w:eastAsia="Arial" w:hAnsi="Arial"/>
          <w:sz w:val="16"/>
          <w:szCs w:val="16"/>
          <w:color w:val="auto"/>
        </w:rPr>
      </w:pPr>
    </w:p>
    <w:p>
      <w:pPr>
        <w:ind w:right="20" w:firstLine="464"/>
        <w:spacing w:after="0" w:line="268" w:lineRule="auto"/>
        <w:tabs>
          <w:tab w:leader="none" w:pos="7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all applicable provisions of the Sarbanes-Oxley Act of 2002, as amended, and all rules and regulations promulgated thereunder or supplementing the provisions thereof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that are in effect.</w:t>
      </w:r>
    </w:p>
    <w:p>
      <w:pPr>
        <w:spacing w:after="0" w:line="131" w:lineRule="exact"/>
        <w:rPr>
          <w:rFonts w:ascii="Arial" w:cs="Arial" w:eastAsia="Arial" w:hAnsi="Arial"/>
          <w:sz w:val="18"/>
          <w:szCs w:val="18"/>
          <w:color w:val="auto"/>
        </w:rPr>
      </w:pPr>
    </w:p>
    <w:p>
      <w:pPr>
        <w:jc w:val="both"/>
        <w:ind w:right="100" w:firstLine="464"/>
        <w:spacing w:after="0" w:line="306"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Company, threatened against the Company or any of the Subsidiaries before any court or administrative agency or otherwise which if determined adversely to the Company or any of the Subsidiaries would have a Material Adverse Effect, except as set forth in the Registration Statement, the General Disclosure Package and the Prospectus.</w:t>
      </w:r>
    </w:p>
    <w:p>
      <w:pPr>
        <w:spacing w:after="0" w:line="106" w:lineRule="exact"/>
        <w:rPr>
          <w:rFonts w:ascii="Arial" w:cs="Arial" w:eastAsia="Arial" w:hAnsi="Arial"/>
          <w:sz w:val="16"/>
          <w:szCs w:val="16"/>
          <w:color w:val="auto"/>
        </w:rPr>
      </w:pPr>
    </w:p>
    <w:p>
      <w:pPr>
        <w:ind w:firstLine="464"/>
        <w:spacing w:after="0" w:line="25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the Subsidiaries own any real property. The Company and the Subsidiaries have good title to all of the properties and assets reflected in the consolidated financial statements hereinabove described or described in the Registration Statement, the General Disclosure Package and the Prospectus, subject to no lien, mortgage, pledge, charge or encumbrance of any kind except those reflected in such financial statements or described in the Registration Statement, the General Disclosure Package and the Prospectus or which are not material in amount. The Company and the Subsidiaries occupy their leased properties under valid and binding leases conforming in all material respects to the description thereof set forth in the Registration Statement, the General Disclosure Package and the Prospectus.</w:t>
      </w:r>
    </w:p>
    <w:p>
      <w:pPr>
        <w:spacing w:after="0" w:line="144" w:lineRule="exact"/>
        <w:rPr>
          <w:rFonts w:ascii="Arial" w:cs="Arial" w:eastAsia="Arial" w:hAnsi="Arial"/>
          <w:sz w:val="18"/>
          <w:szCs w:val="18"/>
          <w:color w:val="auto"/>
        </w:rPr>
      </w:pPr>
    </w:p>
    <w:p>
      <w:pPr>
        <w:ind w:right="80" w:firstLine="464"/>
        <w:spacing w:after="0" w:line="255"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the Subsidiaries have filed all federal, state, local and foreign tax returns (or timely filed applicable extensions therefor) which have been required to be filed and have paid all taxes indicated by such returns and all assessments received by them to the extent that such taxes have become due, except for such taxes as are being contested in good faith and for which an adequate reserve or accrual has been established in accordance with GAAP or which would not, singularly or in the aggregate, have a Material Adverse Effect. The accruals and reserves on the books and records of the Company and the Subsidiaries in respect of</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80"/>
          </w:cols>
          <w:pgMar w:left="240" w:top="280" w:right="279" w:bottom="1440" w:gutter="0" w:footer="0" w:header="0"/>
        </w:sectPr>
      </w:pPr>
    </w:p>
    <w:bookmarkStart w:id="11" w:name="page12"/>
    <w:bookmarkEnd w:id="11"/>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liabilities for any taxable period are adequate to meet any assessments and related liabilities for any such period, and neither the Company has no knowledge of any actual or proposed additional material tax assessments for any such period. Since June 30, 2012 the Company and the Subsidiaries have not incurred any liability for taxes other than in the ordinary course of business.</w:t>
      </w:r>
    </w:p>
    <w:p>
      <w:pPr>
        <w:spacing w:after="0" w:line="140" w:lineRule="exact"/>
        <w:rPr>
          <w:sz w:val="20"/>
          <w:szCs w:val="20"/>
          <w:color w:val="auto"/>
        </w:rPr>
      </w:pPr>
    </w:p>
    <w:p>
      <w:pPr>
        <w:ind w:right="80" w:firstLine="464"/>
        <w:spacing w:after="0" w:line="289"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Registration Statement, the General Disclosure Package and the Prospectus, as each may be amended or supplemented, there has not been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occurring in the ordinary course of business, and there has not been any material transaction entered into or any material transaction that is probable of being entered into by the Company or the Subsidiaries, other than transactions in the ordinary course of business and changes and transactions described in the Registration Statement, the General Disclosure Package and the Prospectus, as each may be amended or supplemented. The Company and the Subsidiaries have no material contingent obligations which are not disclosed in the Company’s financial statements which are included in the Registration Statement, the General Disclosure Package and the Prospectus.</w:t>
      </w:r>
    </w:p>
    <w:p>
      <w:pPr>
        <w:spacing w:after="0" w:line="118" w:lineRule="exact"/>
        <w:rPr>
          <w:rFonts w:ascii="Arial" w:cs="Arial" w:eastAsia="Arial" w:hAnsi="Arial"/>
          <w:sz w:val="16"/>
          <w:szCs w:val="16"/>
          <w:color w:val="auto"/>
        </w:rPr>
      </w:pPr>
    </w:p>
    <w:p>
      <w:pPr>
        <w:ind w:firstLine="464"/>
        <w:spacing w:after="0" w:line="288" w:lineRule="auto"/>
        <w:tabs>
          <w:tab w:leader="none" w:pos="676"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or, with the giving of notice or lapse of time or both, would currently be (i) in violation of its certificate or articles of incorporation, by-laws, certificate of formation, limited liability agreement, partnership agreement or other organizational documents, as applicable, or (ii) in violation of or in default under any agreement, lease, contract, indenture or other instrument or obligation to which it is a party or by which it, or any of its properties, is bound and, solely with respect to this clause (ii), which violation or default would have a Material Adverse Effect. The execution and delivery of this Agreement and the consummation of the transactions herein contemplated and the fulfillment of the terms hereof do not and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or of the certificate or articles of incorporation or by-laws of the Company or any law, order, rule or regulation judgment, order, writ or decree applicable to the Company or any Subsidiary of any court or of any government, regulatory body or administrative agency or other governmental body having jurisdiction.</w:t>
      </w:r>
    </w:p>
    <w:p>
      <w:pPr>
        <w:spacing w:after="0" w:line="119" w:lineRule="exact"/>
        <w:rPr>
          <w:rFonts w:ascii="Arial" w:cs="Arial" w:eastAsia="Arial" w:hAnsi="Arial"/>
          <w:sz w:val="16"/>
          <w:szCs w:val="16"/>
          <w:color w:val="auto"/>
        </w:rPr>
      </w:pPr>
    </w:p>
    <w:p>
      <w:pPr>
        <w:ind w:right="200" w:firstLine="464"/>
        <w:spacing w:after="0" w:line="332" w:lineRule="auto"/>
        <w:tabs>
          <w:tab w:leader="none" w:pos="68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85" w:lineRule="exact"/>
        <w:rPr>
          <w:rFonts w:ascii="Arial" w:cs="Arial" w:eastAsia="Arial" w:hAnsi="Arial"/>
          <w:sz w:val="16"/>
          <w:szCs w:val="16"/>
          <w:color w:val="auto"/>
        </w:rPr>
      </w:pPr>
    </w:p>
    <w:p>
      <w:pPr>
        <w:ind w:right="340" w:firstLine="464"/>
        <w:spacing w:after="0" w:line="259"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by or with any regulatory, administrative or other governmental body necessary in connection with the execution and delivery by the Company of this Agreement and the consummation of the transactions herein contemplated (except such additional steps as may be required by the</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80" w:right="25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or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or such additional steps as may be necessary to qualify the Shares for public offering by the Underwriters under state securities or Blue Sky laws) has been obtained or made and is in full force and effect.</w:t>
      </w:r>
    </w:p>
    <w:p>
      <w:pPr>
        <w:spacing w:after="0" w:line="132" w:lineRule="exact"/>
        <w:rPr>
          <w:sz w:val="20"/>
          <w:szCs w:val="20"/>
          <w:color w:val="auto"/>
        </w:rPr>
      </w:pPr>
    </w:p>
    <w:p>
      <w:pPr>
        <w:ind w:firstLine="464"/>
        <w:spacing w:after="0" w:line="254"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each of the Subsidiaries hold all licenses, certificates and permits (collectively, “</w:t>
      </w:r>
      <w:r>
        <w:rPr>
          <w:rFonts w:ascii="Arial" w:cs="Arial" w:eastAsia="Arial" w:hAnsi="Arial"/>
          <w:sz w:val="18"/>
          <w:szCs w:val="18"/>
          <w:u w:val="single" w:color="auto"/>
          <w:color w:val="auto"/>
        </w:rPr>
        <w:t>Governmental Licenses</w:t>
      </w:r>
      <w:r>
        <w:rPr>
          <w:rFonts w:ascii="Arial" w:cs="Arial" w:eastAsia="Arial" w:hAnsi="Arial"/>
          <w:sz w:val="18"/>
          <w:szCs w:val="18"/>
          <w:color w:val="auto"/>
        </w:rPr>
        <w:t>”) from governmental authorities which are necessary to the conduct of their respective businesses, except where the failure to hold such licenses, certificates and permits would not have a Material Adverse Effect. The Company and the Subsidiaries are in compliance with the terms and conditions of all Governmental Licenses, and all of the Governmental Licenses are valid and in full force and effect, except where the failure to be in such compliance would not have a Material Adverse Effect. Neither the Company nor any of the Subsidiaries has received any written or other notice of proceedings relating to the revocation or modification of any Governmental License.</w:t>
      </w:r>
    </w:p>
    <w:p>
      <w:pPr>
        <w:spacing w:after="0" w:line="144" w:lineRule="exact"/>
        <w:rPr>
          <w:rFonts w:ascii="Arial" w:cs="Arial" w:eastAsia="Arial" w:hAnsi="Arial"/>
          <w:sz w:val="18"/>
          <w:szCs w:val="18"/>
          <w:color w:val="auto"/>
        </w:rPr>
      </w:pPr>
    </w:p>
    <w:p>
      <w:pPr>
        <w:ind w:firstLine="464"/>
        <w:spacing w:after="0" w:line="305" w:lineRule="auto"/>
        <w:tabs>
          <w:tab w:leader="none" w:pos="7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Except as described in the Registration Statement, the General Disclosure Package, and the Prospectus, the Company and the Subsidiaries each own, possess, have rights to, or can acquire on reasonable terms all material patents, patent rights, trademarks, trade names, service marks, service names, copyrights, license rights, know-how (including trade secrets and other unpatented and unpatentable proprietary or confidential information, systems or procedures) and other intellectual property rights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necessary to carry on their respective business, except where the failure to own or possess or inability to acquire on reasonable terms any such Intellectual Property would not have a Material Adverse Effect. There are no outstanding options, licenses or agreements of any kind relating to the Intellectual Property of the Company that are required to be described in the Registration Statement, the General Disclosure Package and the Prospectus and that are not described in all material respects. None of the technology employed by the Company or any of the Subsidiaries has been obtained or is being used by the Company in violation of any contractual obligation binding on the Company, any of the Subsidiaries or, to the knowledge of the Company, any of the officers, directors or employees of the Company or any of the Subsidiaries, other than such violations as would not individually or in the aggregate if the subject of an unfavorable decision, ruling or finding, have a Material Adverse Effect. To the Company’s knowledge, neither the Company nor the Subsidiaries has infringed or violated the valid and enforceable Intellectual Property of any other person that would, individually or in the aggregate, have a Material Adverse Effect. Except as described in the Registration Statement, the General Disclosure Package, and the Prospectus, neither the Company nor any of the Subsidiaries has received any written or oral notice or communications alleging that the Company or any of the Subsidiaries has violated, infringed or conflicted with, or by conducting its business as set forth in the Registration Statement, the General Disclosure Package and the Prospectus, would violate, infringe or conflict with, any of the Intellectual Property of any other person or entity, other than such violations, infringements or conflicts which, individually or in the aggregate if the subject of an unfavorable decision, ruling or finding, would not have a Material Adverse Effect. The Company knows of no infringement by others of Intellectual Property owned by or licensed to the Company or any of the Subsidiaries, which would have a Material Adverse Effect.</w:t>
      </w:r>
    </w:p>
    <w:p>
      <w:pPr>
        <w:spacing w:after="0" w:line="328" w:lineRule="exact"/>
        <w:rPr>
          <w:rFonts w:ascii="Arial" w:cs="Arial" w:eastAsia="Arial" w:hAnsi="Arial"/>
          <w:sz w:val="15"/>
          <w:szCs w:val="15"/>
          <w:color w:val="auto"/>
        </w:rPr>
      </w:pPr>
    </w:p>
    <w:p>
      <w:pPr>
        <w:ind w:right="100" w:firstLine="464"/>
        <w:spacing w:after="0" w:line="268" w:lineRule="auto"/>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affiliates, has taken or may take, directly or indirectly, any action designed to cause or result in, or which has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80" w:right="25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constituted or which might reasonably be expected to constitute, the stabilization or manipulation of the price of the shares of Common Stock to facilitate the sale or resale of the Shares. The Company acknowledges that the Underwriters may engage in passive market making transactions in the Shares on the NASDAQ Global Market in accordance with Regulation M under the Exchange Act.</w:t>
      </w:r>
    </w:p>
    <w:p>
      <w:pPr>
        <w:spacing w:after="0" w:line="140" w:lineRule="exact"/>
        <w:rPr>
          <w:sz w:val="20"/>
          <w:szCs w:val="20"/>
          <w:color w:val="auto"/>
        </w:rPr>
      </w:pPr>
    </w:p>
    <w:p>
      <w:pPr>
        <w:ind w:right="80" w:firstLine="464"/>
        <w:spacing w:after="0" w:line="256"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Subsidiary is or, after giving effect to the offering and sale of the Shares contemplated hereunder and the application of the net proceeds from such sale as described in the Registration Statement, General Disclosure Package and the Prospectus, will be required to register as an “investment company” within the meaning of such term 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the rules and regulations of the Commission thereunder.</w:t>
      </w:r>
    </w:p>
    <w:p>
      <w:pPr>
        <w:spacing w:after="0" w:line="143" w:lineRule="exact"/>
        <w:rPr>
          <w:rFonts w:ascii="Arial" w:cs="Arial" w:eastAsia="Arial" w:hAnsi="Arial"/>
          <w:sz w:val="18"/>
          <w:szCs w:val="18"/>
          <w:color w:val="auto"/>
        </w:rPr>
      </w:pPr>
    </w:p>
    <w:p>
      <w:pPr>
        <w:ind w:firstLine="464"/>
        <w:spacing w:after="0" w:line="255"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the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42" w:lineRule="exact"/>
        <w:rPr>
          <w:rFonts w:ascii="Arial" w:cs="Arial" w:eastAsia="Arial" w:hAnsi="Arial"/>
          <w:sz w:val="18"/>
          <w:szCs w:val="18"/>
          <w:color w:val="auto"/>
        </w:rPr>
      </w:pPr>
    </w:p>
    <w:p>
      <w:pPr>
        <w:ind w:right="120" w:firstLine="464"/>
        <w:spacing w:after="0" w:line="291"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of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120" w:lineRule="exact"/>
        <w:rPr>
          <w:sz w:val="20"/>
          <w:szCs w:val="20"/>
          <w:color w:val="auto"/>
        </w:rPr>
      </w:pPr>
    </w:p>
    <w:p>
      <w:pPr>
        <w:ind w:right="60" w:firstLine="464"/>
        <w:spacing w:after="0" w:line="306" w:lineRule="auto"/>
        <w:tabs>
          <w:tab w:leader="none" w:pos="7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w:t>
      </w:r>
    </w:p>
    <w:p>
      <w:pPr>
        <w:spacing w:after="0" w:line="106" w:lineRule="exact"/>
        <w:rPr>
          <w:rFonts w:ascii="Arial" w:cs="Arial" w:eastAsia="Arial" w:hAnsi="Arial"/>
          <w:sz w:val="16"/>
          <w:szCs w:val="16"/>
          <w:color w:val="auto"/>
        </w:rPr>
      </w:pPr>
    </w:p>
    <w:p>
      <w:pPr>
        <w:ind w:right="20" w:firstLine="464"/>
        <w:spacing w:after="0" w:line="255" w:lineRule="auto"/>
        <w:tabs>
          <w:tab w:leader="none" w:pos="7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operations of the Company and the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the Subsidiaries with respect to the Money Laundering Laws is pending or, to the Company’s knowledge, threatened.</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14" w:name="page15"/>
    <w:bookmarkEnd w:id="14"/>
    <w:p>
      <w:pPr>
        <w:ind w:left="-464" w:right="300" w:firstLine="464"/>
        <w:spacing w:after="0" w:line="298" w:lineRule="auto"/>
        <w:tabs>
          <w:tab w:leader="none" w:pos="309"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to the Company’s knowledge, any director, officer, agent, employee or controlled affiliate of the Company is currently subject to any U.S. sanctions administered by the Office of Foreign Assets Control of the U.S. Treasury Department (“</w:t>
      </w:r>
      <w:r>
        <w:rPr>
          <w:rFonts w:ascii="Arial" w:cs="Arial" w:eastAsia="Arial" w:hAnsi="Arial"/>
          <w:sz w:val="16"/>
          <w:szCs w:val="16"/>
          <w:u w:val="single" w:color="auto"/>
          <w:color w:val="auto"/>
        </w:rPr>
        <w:t>OFAC</w:t>
      </w:r>
      <w:r>
        <w:rPr>
          <w:rFonts w:ascii="Arial" w:cs="Arial" w:eastAsia="Arial" w:hAnsi="Arial"/>
          <w:sz w:val="16"/>
          <w:szCs w:val="16"/>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12" w:lineRule="exact"/>
        <w:rPr>
          <w:rFonts w:ascii="Arial" w:cs="Arial" w:eastAsia="Arial" w:hAnsi="Arial"/>
          <w:sz w:val="16"/>
          <w:szCs w:val="16"/>
          <w:color w:val="auto"/>
        </w:rPr>
      </w:pPr>
    </w:p>
    <w:p>
      <w:pPr>
        <w:ind w:left="-464" w:right="100" w:firstLine="464"/>
        <w:spacing w:after="0" w:line="332"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of the Subsidiaries carry, or are covered by, insurance in such amounts and covering such risks as is adequate for the conduct of their respective businesses and the value of their respective properties and as is customary for companies engaged in similar businesses.</w:t>
      </w:r>
    </w:p>
    <w:p>
      <w:pPr>
        <w:spacing w:after="0" w:line="85" w:lineRule="exact"/>
        <w:rPr>
          <w:rFonts w:ascii="Arial" w:cs="Arial" w:eastAsia="Arial" w:hAnsi="Arial"/>
          <w:sz w:val="16"/>
          <w:szCs w:val="16"/>
          <w:color w:val="auto"/>
        </w:rPr>
      </w:pPr>
    </w:p>
    <w:p>
      <w:pPr>
        <w:ind w:left="-464" w:right="100" w:firstLine="464"/>
        <w:spacing w:after="0" w:line="289" w:lineRule="auto"/>
        <w:tabs>
          <w:tab w:leader="none" w:pos="3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Subsidiary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the Company and each Subsidiary would have any liability; the Company and each Subsidiary has not incurred and does not expect to incur liability under (i) Title IV of ERISA with respect to termination of, or withdrawal from, any “pension plan” or (ii) Sections 412 or 4971 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and each “pension plan” for which the Company or any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18" w:lineRule="exact"/>
        <w:rPr>
          <w:rFonts w:ascii="Arial" w:cs="Arial" w:eastAsia="Arial" w:hAnsi="Arial"/>
          <w:sz w:val="16"/>
          <w:szCs w:val="16"/>
          <w:color w:val="auto"/>
        </w:rPr>
      </w:pPr>
    </w:p>
    <w:p>
      <w:pPr>
        <w:ind w:left="-464" w:right="80" w:firstLine="464"/>
        <w:spacing w:after="0" w:line="268"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5% or greater securityholders, except as set forth in the Registration Statement.</w:t>
      </w:r>
    </w:p>
    <w:p>
      <w:pPr>
        <w:spacing w:after="0" w:line="131" w:lineRule="exact"/>
        <w:rPr>
          <w:rFonts w:ascii="Arial" w:cs="Arial" w:eastAsia="Arial" w:hAnsi="Arial"/>
          <w:sz w:val="18"/>
          <w:szCs w:val="18"/>
          <w:color w:val="auto"/>
        </w:rPr>
      </w:pPr>
    </w:p>
    <w:p>
      <w:pPr>
        <w:ind w:left="-464" w:firstLine="464"/>
        <w:spacing w:after="0" w:line="291"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owns or operates any real property that is, to the knowledge of the Company, contaminated with any substance that is subject to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20" w:lineRule="exact"/>
        <w:rPr>
          <w:rFonts w:ascii="Arial" w:cs="Arial" w:eastAsia="Arial" w:hAnsi="Arial"/>
          <w:sz w:val="16"/>
          <w:szCs w:val="16"/>
          <w:color w:val="auto"/>
        </w:rPr>
      </w:pPr>
    </w:p>
    <w:p>
      <w:pPr>
        <w:ind w:left="336" w:hanging="336"/>
        <w:spacing w:after="0"/>
        <w:tabs>
          <w:tab w:leader="none" w:pos="3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notice of issuance on the NASDAQ Global Market.</w:t>
      </w:r>
    </w:p>
    <w:p>
      <w:pPr>
        <w:spacing w:after="0" w:line="171" w:lineRule="exact"/>
        <w:rPr>
          <w:rFonts w:ascii="Arial" w:cs="Arial" w:eastAsia="Arial" w:hAnsi="Arial"/>
          <w:sz w:val="18"/>
          <w:szCs w:val="18"/>
          <w:color w:val="auto"/>
        </w:rPr>
      </w:pPr>
    </w:p>
    <w:p>
      <w:pPr>
        <w:ind w:left="-464" w:right="140" w:firstLine="464"/>
        <w:spacing w:after="0" w:line="268" w:lineRule="auto"/>
        <w:tabs>
          <w:tab w:leader="none" w:pos="2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relationships or related-party transactions involving the Company or any of the Subsidiaries or any other person required to be described in the Prospectus which have not been described as required.</w:t>
      </w:r>
    </w:p>
    <w:p>
      <w:pPr>
        <w:spacing w:after="0" w:line="118" w:lineRule="exact"/>
        <w:rPr>
          <w:rFonts w:ascii="Arial" w:cs="Arial" w:eastAsia="Arial" w:hAnsi="Arial"/>
          <w:sz w:val="18"/>
          <w:szCs w:val="18"/>
          <w:color w:val="auto"/>
        </w:rPr>
      </w:pPr>
    </w:p>
    <w:p>
      <w:pPr>
        <w:ind w:left="5156" w:hanging="96"/>
        <w:spacing w:after="0"/>
        <w:tabs>
          <w:tab w:leader="none" w:pos="5156"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16"/>
          </w:cols>
          <w:pgMar w:left="704" w:top="280" w:right="279" w:bottom="1440" w:gutter="0" w:footer="0" w:header="0"/>
        </w:sectPr>
      </w:pPr>
    </w:p>
    <w:bookmarkStart w:id="15" w:name="page16"/>
    <w:bookmarkEnd w:id="15"/>
    <w:p>
      <w:pPr>
        <w:ind w:left="-464" w:right="220" w:firstLine="464"/>
        <w:spacing w:after="0" w:line="268" w:lineRule="auto"/>
        <w:tabs>
          <w:tab w:leader="none" w:pos="251"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Subsidiaries has made any contribution or other payment to any official of, or candidate for, any federal, state or foreign office in violation of any law which violation is required to be disclosed in the Prospectus.</w:t>
      </w:r>
    </w:p>
    <w:p>
      <w:pPr>
        <w:spacing w:after="0" w:line="131" w:lineRule="exact"/>
        <w:rPr>
          <w:rFonts w:ascii="Arial" w:cs="Arial" w:eastAsia="Arial" w:hAnsi="Arial"/>
          <w:sz w:val="18"/>
          <w:szCs w:val="18"/>
          <w:color w:val="auto"/>
        </w:rPr>
      </w:pPr>
    </w:p>
    <w:p>
      <w:pPr>
        <w:ind w:left="-464" w:right="60" w:firstLine="464"/>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 of the date of the initial filing of the registration statement referred to in </w:t>
      </w:r>
      <w:r>
        <w:rPr>
          <w:rFonts w:ascii="Arial" w:cs="Arial" w:eastAsia="Arial" w:hAnsi="Arial"/>
          <w:sz w:val="18"/>
          <w:szCs w:val="18"/>
          <w:u w:val="single" w:color="auto"/>
          <w:color w:val="auto"/>
        </w:rPr>
        <w:t>Section 1(a)(i)</w:t>
      </w:r>
      <w:r>
        <w:rPr>
          <w:rFonts w:ascii="Arial" w:cs="Arial" w:eastAsia="Arial" w:hAnsi="Arial"/>
          <w:sz w:val="18"/>
          <w:szCs w:val="18"/>
          <w:color w:val="auto"/>
        </w:rPr>
        <w:t>, there were no outstanding personal loans made, directly or indirectly, by the Company to any director or executive officer of the Company.</w:t>
      </w:r>
    </w:p>
    <w:p>
      <w:pPr>
        <w:spacing w:after="0" w:line="131" w:lineRule="exact"/>
        <w:rPr>
          <w:rFonts w:ascii="Arial" w:cs="Arial" w:eastAsia="Arial" w:hAnsi="Arial"/>
          <w:sz w:val="18"/>
          <w:szCs w:val="18"/>
          <w:color w:val="auto"/>
        </w:rPr>
      </w:pPr>
    </w:p>
    <w:p>
      <w:pPr>
        <w:ind w:left="-464" w:right="80" w:firstLine="464"/>
        <w:spacing w:after="0" w:line="259" w:lineRule="auto"/>
        <w:tabs>
          <w:tab w:leader="none" w:pos="2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 of the information on (or hyperlinked from) the Company’s websites at www.fluidigm.com or www.fluidigm.co.jp includes or constitutes a “free writing prospectus” as defined in Rule 405 under the Act and the Company does not maintain or support any websites other than www.fluidigm.com and www.fluidigm.co.jp.</w:t>
      </w:r>
    </w:p>
    <w:p>
      <w:pPr>
        <w:spacing w:after="0" w:line="140" w:lineRule="exact"/>
        <w:rPr>
          <w:rFonts w:ascii="Arial" w:cs="Arial" w:eastAsia="Arial" w:hAnsi="Arial"/>
          <w:sz w:val="18"/>
          <w:szCs w:val="18"/>
          <w:color w:val="auto"/>
        </w:rPr>
      </w:pPr>
    </w:p>
    <w:p>
      <w:pPr>
        <w:ind w:left="-464" w:right="160" w:firstLine="464"/>
        <w:spacing w:after="0" w:line="259" w:lineRule="auto"/>
        <w:tabs>
          <w:tab w:leader="none" w:pos="4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40" w:lineRule="exact"/>
        <w:rPr>
          <w:rFonts w:ascii="Arial" w:cs="Arial" w:eastAsia="Arial" w:hAnsi="Arial"/>
          <w:sz w:val="18"/>
          <w:szCs w:val="18"/>
          <w:color w:val="auto"/>
        </w:rPr>
      </w:pPr>
    </w:p>
    <w:p>
      <w:pPr>
        <w:ind w:left="-464" w:firstLine="464"/>
        <w:spacing w:after="0" w:line="289" w:lineRule="auto"/>
        <w:tabs>
          <w:tab w:leader="none" w:pos="3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any director or officer of the Company nor, to the knowledge of the Company, any agent, employee or controlled affiliate of the Company or any of the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Subsidiaries and their affiliates have conducted their businesses in compliance with the FCPA and have instituted and maintain policies and procedures designed to ensure, and which are reasonably expected to continue to ensure, continued compliance therewith.</w:t>
      </w:r>
    </w:p>
    <w:p>
      <w:pPr>
        <w:spacing w:after="0" w:line="118" w:lineRule="exact"/>
        <w:rPr>
          <w:rFonts w:ascii="Arial" w:cs="Arial" w:eastAsia="Arial" w:hAnsi="Arial"/>
          <w:sz w:val="16"/>
          <w:szCs w:val="16"/>
          <w:color w:val="auto"/>
        </w:rPr>
      </w:pPr>
    </w:p>
    <w:p>
      <w:pPr>
        <w:ind w:left="-464" w:right="40" w:firstLine="464"/>
        <w:spacing w:after="0" w:line="288" w:lineRule="auto"/>
        <w:tabs>
          <w:tab w:leader="none" w:pos="3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General Disclosure Package and the Prospectus, and except as would not, singly or in the aggregate, result in a Material Adverse Effect: (i) neither the Company nor any of the Subsidiaries has received any unresolved FDA Form 483, notice of adverse filing, warning letter, untitled letter or other correspondence or notice from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or any other court or arbitrator or federal, state, local or foreign governmental or regulatory authority, alleging or asserting noncompliance with the Federal Food, Drug and Cosmetic Act (21 U.S.C. § 301 et seq.) (the “</w:t>
      </w:r>
      <w:r>
        <w:rPr>
          <w:rFonts w:ascii="Arial" w:cs="Arial" w:eastAsia="Arial" w:hAnsi="Arial"/>
          <w:sz w:val="16"/>
          <w:szCs w:val="16"/>
          <w:u w:val="single" w:color="auto"/>
          <w:color w:val="auto"/>
        </w:rPr>
        <w:t>FFDCA</w:t>
      </w:r>
      <w:r>
        <w:rPr>
          <w:rFonts w:ascii="Arial" w:cs="Arial" w:eastAsia="Arial" w:hAnsi="Arial"/>
          <w:sz w:val="16"/>
          <w:szCs w:val="16"/>
          <w:color w:val="auto"/>
        </w:rPr>
        <w:t>”); (ii) the Company and each of the Subsidiaries is and has been in compliance with applicable health care laws, including without limitation, the FFDCA, the federal Anti-Kickback Statute (42 U.S.C. § 1320a-7b(b)), the civil False Claims Act (31 U.S.C. §§ 3729 et seq.), the administrative False Claims Law (42 U.S.C. § 1320a-7b(a)), the Anti-Inducement Law (42 U.S.C. § 1320a-7a(a)(5)), the Health Insurance Portability and Accountability Act of 1996 (42 U.S.C. § 1320d et seq.), the exclusion laws, Social Security Act § 1128 (42 U.S.C. § 1320a-7), Medicare (Title XVIII of the Social Security Act), Medicaid (Title</w:t>
      </w:r>
    </w:p>
    <w:p>
      <w:pPr>
        <w:spacing w:after="0" w:line="106" w:lineRule="exact"/>
        <w:rPr>
          <w:rFonts w:ascii="Arial" w:cs="Arial" w:eastAsia="Arial" w:hAnsi="Arial"/>
          <w:sz w:val="16"/>
          <w:szCs w:val="16"/>
          <w:color w:val="auto"/>
        </w:rPr>
      </w:pPr>
    </w:p>
    <w:p>
      <w:pPr>
        <w:ind w:left="5156" w:hanging="93"/>
        <w:spacing w:after="0"/>
        <w:tabs>
          <w:tab w:leader="none" w:pos="51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36"/>
          </w:cols>
          <w:pgMar w:left="704" w:top="280" w:right="259" w:bottom="1440" w:gutter="0" w:footer="0" w:header="0"/>
        </w:sectPr>
      </w:pPr>
    </w:p>
    <w:bookmarkStart w:id="16" w:name="page17"/>
    <w:bookmarkEnd w:id="1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XIX of the Social Security Act), and the Patient Protection and Affordable Care Act of 2010 (Public Law 111-148), as amended by the Health Care and Education Affordability Reconciliation Act of 2010 (Public Law 111-152),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Arial" w:cs="Arial" w:eastAsia="Arial" w:hAnsi="Arial"/>
          <w:sz w:val="16"/>
          <w:szCs w:val="16"/>
          <w:u w:val="single" w:color="auto"/>
          <w:color w:val="auto"/>
        </w:rPr>
        <w:t>Health Care Laws</w:t>
      </w:r>
      <w:r>
        <w:rPr>
          <w:rFonts w:ascii="Arial" w:cs="Arial" w:eastAsia="Arial" w:hAnsi="Arial"/>
          <w:sz w:val="16"/>
          <w:szCs w:val="16"/>
          <w:color w:val="auto"/>
        </w:rPr>
        <w:t>”); (iii) the Company and each of the Subsidiaries possesses all licenses, certificates, approvals, clearances, authorizations, permits and supplements or amendments thereto required by any such Health Care Laws and/or to carry on its businesses as now or proposed to be conducted (“</w:t>
      </w:r>
      <w:r>
        <w:rPr>
          <w:rFonts w:ascii="Arial" w:cs="Arial" w:eastAsia="Arial" w:hAnsi="Arial"/>
          <w:sz w:val="16"/>
          <w:szCs w:val="16"/>
          <w:u w:val="single" w:color="auto"/>
          <w:color w:val="auto"/>
        </w:rPr>
        <w:t>Authorizations</w:t>
      </w:r>
      <w:r>
        <w:rPr>
          <w:rFonts w:ascii="Arial" w:cs="Arial" w:eastAsia="Arial" w:hAnsi="Arial"/>
          <w:sz w:val="16"/>
          <w:szCs w:val="16"/>
          <w:color w:val="auto"/>
        </w:rPr>
        <w:t>”) and such Authorizations are valid and in full force and effect and the Company is not in violation of any term of any such Authorizations;</w:t>
      </w:r>
    </w:p>
    <w:p>
      <w:pPr>
        <w:spacing w:after="0" w:line="1" w:lineRule="exact"/>
        <w:rPr>
          <w:sz w:val="20"/>
          <w:szCs w:val="20"/>
          <w:color w:val="auto"/>
        </w:rPr>
      </w:pPr>
    </w:p>
    <w:p>
      <w:pPr>
        <w:ind w:right="100" w:firstLine="8"/>
        <w:spacing w:after="0" w:line="285" w:lineRule="auto"/>
        <w:tabs>
          <w:tab w:leader="none" w:pos="297"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neither the Company nor any of the Subsidiaries has received notice of any ongoing claim, action, suit, proceeding, hearing, enforcement, investigation, arbitration or other action from any U.S. or non-U.S. federal, state, local or other governmental or regulatory authority, governmental or regulatory agency or body, court, arbitrator or self-regulatory organization (each, a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or third party alleging that any product operation or activity is in violation of any Health Care Laws or Authorizations or has any knowledge that any such Governmental Authority or third party is considering any such claim, litigation, arbitration, action, suit, investigation or proceeding; (v) neither the Company nor any of the Subsidiaries has received notice that any Governmental Authority has taken, is taking or intends to take action to limit, suspend, modify or revoke any Authorizations or has any knowledge that any such Governmental Authority is considering such action; (vi) the Company and each of the Subsidiaries has filed, obtained, maintained or submitted all reports, documents, forms, notices, applications, records, claims, submissions and supplements or amendments as required by any Health Care Laws or Authorizations and that all such reports, documents, forms, notices, applications, records, claims, submissions and supplements or amendments were complete, correct and not misleading on the date filed (or were corrected or supplemented by a subsequent submission); and (vii) neither the Company nor any of the Subsidiaries has,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or conducted any such notice or action.</w:t>
      </w:r>
    </w:p>
    <w:p>
      <w:pPr>
        <w:spacing w:after="0" w:line="124" w:lineRule="exact"/>
        <w:rPr>
          <w:rFonts w:ascii="Arial" w:cs="Arial" w:eastAsia="Arial" w:hAnsi="Arial"/>
          <w:sz w:val="16"/>
          <w:szCs w:val="16"/>
          <w:color w:val="auto"/>
        </w:rPr>
      </w:pPr>
    </w:p>
    <w:p>
      <w:pPr>
        <w:ind w:right="60" w:firstLine="464"/>
        <w:spacing w:after="0" w:line="289" w:lineRule="auto"/>
        <w:tabs>
          <w:tab w:leader="none" w:pos="793"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the knowledge of the Company, the research, studies and tests conducted by or on behalf of the Company and the Subsidiaries have been and, if still pending, are being conducted with reasonable care and in accordance with experimental protocols, procedures and controls pursuant to all Health Care Laws and Authorizations; the descriptions of the results of such research, studies and tests contained in the Registration Statement, the General Disclosure Package and the Prospectus are accurate and complete and fairly present the data derived from such research, studies and tests; except to the extent disclosed in the Registration Statement, the General Disclosure Package and the Prospectus, the Company is not aware of any research, studies or tests, the results of which the Company believes reasonably call into question the research, study or test results described or referred to in the Registration Statement, the General Disclosure Package and the Prospectus when viewed in the context in which such results are described; and neither the Company nor any of the Subsidiaries has received any notices or correspondence from any Governmental Authority requiring the termination, suspension or</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80" w:right="239" w:bottom="1440" w:gutter="0" w:footer="0" w:header="0"/>
        </w:sectPr>
      </w:pPr>
    </w:p>
    <w:bookmarkStart w:id="17" w:name="page18"/>
    <w:bookmarkEnd w:id="17"/>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modification of any research, study or test conducted by or on behalf of the Company or the Subsidiaries, as applicable. To the knowledge of the Company, there have been no adverse episodes or complications resulting from any research, study or test conducted by or on behalf of the Company or the Subsidiaries.</w:t>
      </w:r>
    </w:p>
    <w:p>
      <w:pPr>
        <w:spacing w:after="0" w:line="140" w:lineRule="exact"/>
        <w:rPr>
          <w:sz w:val="20"/>
          <w:szCs w:val="20"/>
          <w:color w:val="auto"/>
        </w:rPr>
      </w:pPr>
    </w:p>
    <w:p>
      <w:pPr>
        <w:jc w:val="both"/>
        <w:ind w:right="100" w:firstLine="464"/>
        <w:spacing w:after="0" w:line="256" w:lineRule="auto"/>
        <w:tabs>
          <w:tab w:leader="none" w:pos="793"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the Subsidiaries exists, except as described in the Registration Statement, the General Disclosure Package and the Prospectus,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w:t>
      </w:r>
    </w:p>
    <w:p>
      <w:pPr>
        <w:spacing w:after="0" w:line="143" w:lineRule="exact"/>
        <w:rPr>
          <w:rFonts w:ascii="Arial" w:cs="Arial" w:eastAsia="Arial" w:hAnsi="Arial"/>
          <w:sz w:val="18"/>
          <w:szCs w:val="18"/>
          <w:color w:val="auto"/>
        </w:rPr>
      </w:pPr>
    </w:p>
    <w:p>
      <w:pPr>
        <w:ind w:right="160" w:firstLine="464"/>
        <w:spacing w:after="0" w:line="259" w:lineRule="auto"/>
        <w:tabs>
          <w:tab w:leader="none" w:pos="7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40" w:lineRule="exact"/>
        <w:rPr>
          <w:rFonts w:ascii="Arial" w:cs="Arial" w:eastAsia="Arial" w:hAnsi="Arial"/>
          <w:sz w:val="18"/>
          <w:szCs w:val="18"/>
          <w:color w:val="auto"/>
        </w:rPr>
      </w:pPr>
    </w:p>
    <w:p>
      <w:pPr>
        <w:ind w:right="60" w:firstLine="464"/>
        <w:spacing w:after="0" w:line="298" w:lineRule="auto"/>
        <w:tabs>
          <w:tab w:leader="none" w:pos="75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 Company has not sold, issued or distributed any shares of Common Stock during the six-month period preceding the date hereof, including any sales pursuant to Rule 144A, Regulation D or Regulation S under the Act, other than shares issued pursuant to employee benefit plans, qualified stock option plans or other employee compensation plans or pursuant to outstanding options, rights or warrants.</w:t>
      </w:r>
    </w:p>
    <w:p>
      <w:pPr>
        <w:spacing w:after="0" w:line="112" w:lineRule="exact"/>
        <w:rPr>
          <w:rFonts w:ascii="Arial" w:cs="Arial" w:eastAsia="Arial" w:hAnsi="Arial"/>
          <w:sz w:val="16"/>
          <w:szCs w:val="16"/>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URCHASE</w:t>
      </w:r>
      <w:r>
        <w:rPr>
          <w:rFonts w:ascii="Arial" w:cs="Arial" w:eastAsia="Arial" w:hAnsi="Arial"/>
          <w:sz w:val="18"/>
          <w:szCs w:val="18"/>
          <w:u w:val="single" w:color="auto"/>
          <w:color w:val="auto"/>
        </w:rPr>
        <w:t>, S</w:t>
      </w:r>
      <w:r>
        <w:rPr>
          <w:rFonts w:ascii="Arial" w:cs="Arial" w:eastAsia="Arial" w:hAnsi="Arial"/>
          <w:sz w:val="14"/>
          <w:szCs w:val="14"/>
          <w:u w:val="single" w:color="auto"/>
          <w:color w:val="auto"/>
        </w:rPr>
        <w:t>ALE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306" w:lineRule="auto"/>
        <w:tabs>
          <w:tab w:leader="none" w:pos="695"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On the basis of the representations, warranties and covenants herein contained, and subject to the conditions herein set forth, the Company agrees to sell to the Underwriters and each Underwriter agrees, severally and not jointly, to purchase, at a price of $13.395 per share, the number of Firm Shares set forth opposite the name of each Underwriter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hereof, subject to adjustments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06" w:lineRule="exact"/>
        <w:rPr>
          <w:rFonts w:ascii="Arial" w:cs="Arial" w:eastAsia="Arial" w:hAnsi="Arial"/>
          <w:sz w:val="16"/>
          <w:szCs w:val="16"/>
          <w:color w:val="auto"/>
        </w:rPr>
      </w:pPr>
    </w:p>
    <w:p>
      <w:pPr>
        <w:ind w:right="60" w:firstLine="464"/>
        <w:spacing w:after="0" w:line="291" w:lineRule="auto"/>
        <w:tabs>
          <w:tab w:leader="none" w:pos="705" w:val="left"/>
        </w:tabs>
        <w:numPr>
          <w:ilvl w:val="1"/>
          <w:numId w:val="17"/>
        </w:numPr>
        <w:rPr>
          <w:rFonts w:ascii="Arial" w:cs="Arial" w:eastAsia="Arial" w:hAnsi="Arial"/>
          <w:sz w:val="16"/>
          <w:szCs w:val="16"/>
          <w:color w:val="auto"/>
        </w:rPr>
      </w:pPr>
      <w:r>
        <w:rPr>
          <w:rFonts w:ascii="Arial" w:cs="Arial" w:eastAsia="Arial" w:hAnsi="Arial"/>
          <w:sz w:val="16"/>
          <w:szCs w:val="16"/>
          <w:color w:val="auto"/>
        </w:rPr>
        <w:t>Payment for the Firm Shares to be sold hereunder is to be made in Federal (same day) funds to an account designated by the Company against delivery of certificates or book-entry securities entitlements therefor to the Representatives for the several accounts of the Underwriters. Such payment and delivery are to be made through the facilities of The Depository Trust Company, New York, New York at 10:00 a.m., New York time, on the third business day after the date of this Agreement or at such other time and date not later than five business days thereafter as you and the Company shall agree upon, such time and date being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on which the New York Stock Exchange is open for trading and on which banks in New York are open for business and not permitted by law or executive order to be closed.</w:t>
      </w:r>
    </w:p>
    <w:p>
      <w:pPr>
        <w:spacing w:after="0" w:line="120" w:lineRule="exact"/>
        <w:rPr>
          <w:rFonts w:ascii="Arial" w:cs="Arial" w:eastAsia="Arial" w:hAnsi="Arial"/>
          <w:sz w:val="16"/>
          <w:szCs w:val="16"/>
          <w:color w:val="auto"/>
        </w:rPr>
      </w:pPr>
    </w:p>
    <w:p>
      <w:pPr>
        <w:ind w:right="260" w:firstLine="464"/>
        <w:spacing w:after="0" w:line="268"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addition, on the basis of the representations and warranties herein contained and subject to the terms and conditions herein set forth, the Company grants an option to the several Underwriters to purchase the Option Shares at the price per share as set forth in the first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80" w:right="25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paragraph of this </w:t>
      </w:r>
      <w:r>
        <w:rPr>
          <w:rFonts w:ascii="Arial" w:cs="Arial" w:eastAsia="Arial" w:hAnsi="Arial"/>
          <w:sz w:val="16"/>
          <w:szCs w:val="16"/>
          <w:u w:val="single" w:color="auto"/>
          <w:color w:val="auto"/>
        </w:rPr>
        <w:t>Section 2</w:t>
      </w:r>
      <w:r>
        <w:rPr>
          <w:rFonts w:ascii="Arial" w:cs="Arial" w:eastAsia="Arial" w:hAnsi="Arial"/>
          <w:sz w:val="16"/>
          <w:szCs w:val="16"/>
          <w:color w:val="auto"/>
        </w:rPr>
        <w:t>. The maximum number of Option Shares to be sold by the Company is 549,000. The option granted hereby may be exercised in whole or in part by giving written notice (i) at any time before the Closing Date and (ii) at any time, from time to time thereafter within 30 days after the date of this Agreement, by you, as Representatives of the several Underwriters, to the Company setting forth the number of Option Shares as to which the several Underwriters are exercising the option and the time and date at which such certificates are to be delivered. The time and date at which certificates for Option Shares are to be delivered shall be determined by the Representatives but shall not be earlier than three nor later than 10 full business days after the exercise of such option, nor in any event prior to the Closing Date (such time and date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If the date of exercise of the option is three or more days before the Closing Date, the notice of exercise shall set the Closing Date as the Option Closing Date. The number of Option Shares to be purchased by each Underwriter shall be in the same proportion to the total number of Option Shares being purchased as the number of Firm Shares being purchased by such Underwriter bears to the total number of Firm Shares, adjusted by you in such manner as to avoid fractional shares. The option with respect to the Option Shares granted hereunder may be exercised only to cover over-allotments in the sale of the Firm Shares by the Underwriters. You, as Representatives of the several Underwriters, may cancel such option at any time prior to its expiration by giving written notice of such cancellation to the Company. To the extent, if any, that the option is exercised, payment and delivery for the Option Shares shall be made on the Option Closing Date through the facilities of the Depository Trust Company, New York, New York at 10:00 a.m., New York time.</w:t>
      </w:r>
    </w:p>
    <w:p>
      <w:pPr>
        <w:spacing w:after="0" w:line="121"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FFERING BY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It is understood that the several Underwriters are to make a public offering of the Firm Shares as soon as the Representatives deem it advisable to do so. The Firm Shares are to be initially offered to the public at the initial public offering price set forth in the Prospectus. The Representatives may from time to time thereafter change the public offering price and other selling terms.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among you and the several other Underwriters.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OVENANTS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 The Company covenants and agrees with the several Underwriters that:</w:t>
      </w:r>
    </w:p>
    <w:p>
      <w:pPr>
        <w:spacing w:after="0" w:line="171" w:lineRule="exact"/>
        <w:rPr>
          <w:sz w:val="20"/>
          <w:szCs w:val="20"/>
          <w:color w:val="auto"/>
        </w:rPr>
      </w:pPr>
    </w:p>
    <w:p>
      <w:pPr>
        <w:ind w:right="280" w:firstLine="464"/>
        <w:spacing w:after="0" w:line="294"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(A) prepare and timely file with the Commission under Rule 424(b) under the Act a Prospectus in a form approved by the Representatives containing information previously omitted at the time of effectiveness of the Registration Statement in reliance on Rules 430A, 430B or 430C under the Act, (B) not file any amendment to the Registration Statement or distribute an amendment or supplement to the General Disclosure Package or the Prospectus or document incorporated by reference therein of which the Representatives shall not previously have been advised and furnished with a copy or to which the Representatives shall have reasonably objected in writing or which is not in compliance with the</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80" w:right="239" w:bottom="1440" w:gutter="0" w:footer="0" w:header="0"/>
        </w:sectPr>
      </w:pPr>
    </w:p>
    <w:bookmarkStart w:id="19" w:name="page20"/>
    <w:bookmarkEnd w:id="19"/>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 and (C)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85" w:lineRule="exact"/>
        <w:rPr>
          <w:sz w:val="20"/>
          <w:szCs w:val="20"/>
          <w:color w:val="auto"/>
        </w:rPr>
      </w:pPr>
    </w:p>
    <w:p>
      <w:pPr>
        <w:ind w:firstLine="464"/>
        <w:spacing w:after="0" w:line="288"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Representatives approve its use in writing prior to first use (each,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(ii) treat each Permitted Free Writing Prospectus as an Issuer Free Writing Prospectus, (iii) comply with the requirements of Rules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 The Company will satisfy the conditions in Rule 433 under the Act to avoid a requirement to file with the Commission any electronic road show.</w:t>
      </w:r>
    </w:p>
    <w:p>
      <w:pPr>
        <w:spacing w:after="0" w:line="119" w:lineRule="exact"/>
        <w:rPr>
          <w:rFonts w:ascii="Arial" w:cs="Arial" w:eastAsia="Arial" w:hAnsi="Arial"/>
          <w:sz w:val="16"/>
          <w:szCs w:val="16"/>
          <w:color w:val="auto"/>
        </w:rPr>
      </w:pPr>
    </w:p>
    <w:p>
      <w:pPr>
        <w:ind w:right="40" w:firstLine="464"/>
        <w:spacing w:after="0" w:line="291"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advise the Representatives promptly (A) when the Registration Statement or any post-effective amendment thereto shall have become effective, (B) of receipt of any comments from the Commission, (C) of any request of the Commission for amendment of the Registration Statement or for supplement to the General Disclosure Package or the Prospectus or for any additional information, and (D) of the issuance by the Commission of any stop order suspending the effectiveness of the Registration Statement or any order preventing or suspending the use of the Preliminary Prospectus,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120" w:lineRule="exact"/>
        <w:rPr>
          <w:rFonts w:ascii="Arial" w:cs="Arial" w:eastAsia="Arial" w:hAnsi="Arial"/>
          <w:sz w:val="16"/>
          <w:szCs w:val="16"/>
          <w:color w:val="auto"/>
        </w:rPr>
      </w:pPr>
    </w:p>
    <w:p>
      <w:pPr>
        <w:ind w:right="40" w:firstLine="464"/>
        <w:spacing w:after="0" w:line="254"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Company will cooperate with the Representatives in endeavoring to qualify the Shares for sale under the securities laws of such jurisdictions as the Representatives may reasonably have designated in writing and will make such applications, file such documents, and furnish such information as may be reasonably required for that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Representatives may reasonably request for distribution of the Shares.</w:t>
      </w:r>
    </w:p>
    <w:p>
      <w:pPr>
        <w:spacing w:after="0" w:line="144" w:lineRule="exact"/>
        <w:rPr>
          <w:rFonts w:ascii="Arial" w:cs="Arial" w:eastAsia="Arial" w:hAnsi="Arial"/>
          <w:sz w:val="18"/>
          <w:szCs w:val="18"/>
          <w:color w:val="auto"/>
        </w:rPr>
      </w:pPr>
    </w:p>
    <w:p>
      <w:pPr>
        <w:ind w:right="8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deliver to, or upon the order of, the Representatives, from time to time, as many copies of the Preliminary Prospectus as the Representatives may reasonably request. The Company will deliver to, or upon the order of, the Representatives, from time to time, as many copies of any Issuer Free Writing Prospectus as the Representatives may</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00"/>
          </w:cols>
          <w:pgMar w:left="240" w:top="280" w:right="259" w:bottom="1440" w:gutter="0" w:footer="0" w:header="0"/>
        </w:sectPr>
      </w:pPr>
    </w:p>
    <w:bookmarkStart w:id="20" w:name="page21"/>
    <w:bookmarkEnd w:id="2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request. The Company will deliver to, or upon the order of, the Representatives during the period when delivery of a Prospectus (or, in lieu thereof, the notice referred to under Rule 173(a) under the Act) is required under the Act, as many copies of the Prospectus in final form, or as thereafter amended or supplemented, as the Representatives may reasonably request. The Company will deliver to the Representatives at or before the Closing Date, four signed copies of the Registration Statement and all amendments thereto including all exhibits filed therewith, and will deliver to the Representatives such number of copies of the Registration Statement (including such number of copies of the exhibits filed therewith that may reasonably be requested), including documents incorporated by reference therein, and of all amendments thereto, as the Representatives may reasonably request.</w:t>
      </w:r>
    </w:p>
    <w:p>
      <w:pPr>
        <w:spacing w:after="0" w:line="120" w:lineRule="exact"/>
        <w:rPr>
          <w:sz w:val="20"/>
          <w:szCs w:val="20"/>
          <w:color w:val="auto"/>
        </w:rPr>
      </w:pPr>
    </w:p>
    <w:p>
      <w:pPr>
        <w:ind w:right="60" w:firstLine="464"/>
        <w:spacing w:after="0" w:line="289" w:lineRule="auto"/>
        <w:tabs>
          <w:tab w:leader="none" w:pos="6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and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dealer, any event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 or, if it is necessary at any time to amend or supplement the Prospectus to comply with any law, the Company promptly will prepare and file with the Commission an appropriate amendment to the Registration Statement or supplement to the Prospectus so that the Prospectus as so amended or supplemented will not, in the light of the circumstances when it is so delivered, be misleading, or so that the Prospectus will comply with the law.</w:t>
      </w:r>
    </w:p>
    <w:p>
      <w:pPr>
        <w:spacing w:after="0" w:line="118" w:lineRule="exact"/>
        <w:rPr>
          <w:rFonts w:ascii="Arial" w:cs="Arial" w:eastAsia="Arial" w:hAnsi="Arial"/>
          <w:sz w:val="16"/>
          <w:szCs w:val="16"/>
          <w:color w:val="auto"/>
        </w:rPr>
      </w:pPr>
    </w:p>
    <w:p>
      <w:pPr>
        <w:ind w:right="60" w:firstLine="464"/>
        <w:spacing w:after="0" w:line="289"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118" w:lineRule="exact"/>
        <w:rPr>
          <w:rFonts w:ascii="Arial" w:cs="Arial" w:eastAsia="Arial" w:hAnsi="Arial"/>
          <w:sz w:val="16"/>
          <w:szCs w:val="16"/>
          <w:color w:val="auto"/>
        </w:rPr>
      </w:pPr>
    </w:p>
    <w:p>
      <w:pPr>
        <w:ind w:right="200" w:firstLine="464"/>
        <w:spacing w:after="0" w:line="298"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as soon as it is practicable to do so, but in any event not later than 15 months after the effective date of the Registration Statement, an earnings statement (which need not be audited) in reasonable detail, covering a period of at least 12 consecutive months beginning after the effective date of the Registration Statement, which earnings statement shall satisfy the requirements of Section 11(a) of the Act and Rule 158 under the Act and will advise you in writing when such statement has been so made available.</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20"/>
          </w:cols>
          <w:pgMar w:left="240" w:top="280" w:right="239" w:bottom="1440" w:gutter="0" w:footer="0" w:header="0"/>
        </w:sectPr>
      </w:pPr>
    </w:p>
    <w:bookmarkStart w:id="21" w:name="page22"/>
    <w:bookmarkEnd w:id="21"/>
    <w:p>
      <w:pPr>
        <w:ind w:right="280" w:firstLine="464"/>
        <w:spacing w:after="0" w:line="256" w:lineRule="auto"/>
        <w:tabs>
          <w:tab w:leader="none" w:pos="666"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prior to the Closing Date, any unaudited interim financial statements of the Company for any period subsequent to the period covered by the most recent financial statements appearing in the Registration Statement, the General Disclosure Package and the Prospectus are prepared by or available to the Company, the Company will furnish a copy of such unaudited interim financial statements of the Company to the Underwriters as soon as they have been so prepared or made available.</w:t>
      </w:r>
    </w:p>
    <w:p>
      <w:pPr>
        <w:spacing w:after="0" w:line="143" w:lineRule="exact"/>
        <w:rPr>
          <w:rFonts w:ascii="Arial" w:cs="Arial" w:eastAsia="Arial" w:hAnsi="Arial"/>
          <w:sz w:val="18"/>
          <w:szCs w:val="18"/>
          <w:color w:val="auto"/>
        </w:rPr>
      </w:pPr>
    </w:p>
    <w:p>
      <w:pPr>
        <w:jc w:val="both"/>
        <w:ind w:right="520" w:firstLine="8"/>
        <w:spacing w:after="0" w:line="306"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offering, sale, short sale or other disposition of any shares of Common Stock of the Company or other securities convertible into or exchangeable or exercisable for shares of Common Stock or derivative of Common Stock (or agreement for such) will be made for a period of 90 days after the date of the Prospectus, directly or indirectly, by the Company otherwise than hereunder or with the prior written consent of the Representatives.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restrictions contained in the preceding paragraph shall not apply to (a) the sale and issuance of the Shares to be sold hereunder; (b) the issuance of Shares of Common Stock upon exercise of outstanding warrants, or other derivative securities disclosed in the Prospectus; (c) the issuance of shares of, or options to purchase shares of, Common Stock to employees, officers, directors, advisors or consultants of the Company pursuant to employee benefit plans disclosed in the Prospectus; or (d) the filing of a registration statement on Form S-8 for the registration of shares of Common Stock issued pursuant to employee benefit plans disclosed in the Prospectus.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the foregoing, if (1) during the last 17 days of the 90-day restricted period, the Company issues an earnings release or material news or a material event relating to the Company occurs; or (2) prior to the expiration of the 90-day restricted period, the Company announces that it will release earnings results during the 16-day period following the last day of the 90-day restricted period, then in each case the restrictions imposed by this Agreement shall continue to apply until the expiration of the 18-day period beginning on the date of the release of the earnings results or the occurrence of material news or a material event relating to the Company, as the case may be, unless the Representatives waive, in writing, such extension. The Company shall promptly notify the Representatives of any earnings release, news or event that may give rise to an extension of the initial 90-day restricted period.</w:t>
      </w:r>
    </w:p>
    <w:p>
      <w:pPr>
        <w:spacing w:after="0" w:line="120" w:lineRule="exact"/>
        <w:rPr>
          <w:sz w:val="20"/>
          <w:szCs w:val="20"/>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use its best efforts to list the Shares for quotation on the NASDAQ Global Market.</w:t>
      </w:r>
    </w:p>
    <w:p>
      <w:pPr>
        <w:spacing w:after="0" w:line="171" w:lineRule="exact"/>
        <w:rPr>
          <w:rFonts w:ascii="Arial" w:cs="Arial" w:eastAsia="Arial" w:hAnsi="Arial"/>
          <w:sz w:val="18"/>
          <w:szCs w:val="18"/>
          <w:color w:val="auto"/>
        </w:rPr>
      </w:pPr>
    </w:p>
    <w:p>
      <w:pPr>
        <w:ind w:right="280" w:firstLine="464"/>
        <w:spacing w:after="0" w:line="268"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has caused each officer and director of the Company to execute and deliver to you, on or prior to the date of this agreement, a letter or letters,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20" w:firstLine="464"/>
        <w:spacing w:after="0" w:line="259" w:lineRule="auto"/>
        <w:tabs>
          <w:tab w:leader="none" w:pos="7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Registration Statement, the General Disclosure Package and the Prospectus and shall file such reports with the Commission with respect to the sale of the Shares and the application of the proceeds therefrom as may be required in accordance with Rule 463 under the Act.</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280" w:right="259" w:bottom="1440" w:gutter="0" w:footer="0" w:header="0"/>
        </w:sectPr>
      </w:pPr>
    </w:p>
    <w:bookmarkStart w:id="22" w:name="page23"/>
    <w:bookmarkEnd w:id="22"/>
    <w:p>
      <w:pPr>
        <w:ind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will maintain a transfer agent and, if necessary under the jurisdiction of incorporation of the Company, a registrar for the Common Stock.</w:t>
      </w:r>
    </w:p>
    <w:p>
      <w:pPr>
        <w:spacing w:after="0" w:line="194"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32"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OSTS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XPENSES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The Company will pay all costs, expenses and fees incident to the performance of the obligations of the Company under this Agreement, including, without limiting the generality of the foregoing, the following: accounting fees of the Company; the fees and disbursements of counsel for the Company; any roadshow expenses (other than the cost of any aircraft chartered for flights within the United States in connection with the roadshow, which cost shall be borne fifty percent (50%) by the Company, on the one hand, and fifty percent (50%) by the Underwriters, on the other hand); the cost of printing and delivering to, or as requested by, the Underwriters copies of the Registration Statement, the Issuer Free Writing Prospectuses, the Prospectus, this Agreement, the Listing Application, the Blue Sky Survey and any supplements or amendments thereto; the filing fees of the Commission; the filing fees and expenses (including the reasonable fees and disbursements of counsel for the Underwriters) incident to securing any required review by FINRA of the terms of the sale of the Shares; the Listing Fee of the NASDAQ Global Market; the costs and expenses (including without limitation any damages or other amounts payable in connection with legal or contractual liability) associated with the reforming of any contracts for sale of the Shares made by the Underwriters caused by a breach of the representation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hereof); and the expenses, including the reasonable fees and disbursements of counsel for the Underwriters, incurred in connection with the qualification of the Shares under State securities or Blue Sky laws. Any transfer taxes imposed on the sale of the Shares to the Underwriters will be paid by the Company. The Company shall not, however, be required to pay for any of the Underwriter’s expenses (other than those related to qualification under FINRA regulation and State securities or Blue Sky laws which shall be paid by the Company) except that, if this Agreement shall not be consummated because the conditions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are not satisfied, or because this Agreement is terminated by the Representatives pursuant to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hereof, or by reason of any failure, refusal or inability on the part of the Company to perform any undertaking or satisfy any condition of this Agreement or to comply with any of the terms hereof on their part to be performed, unless such failure, refusal or inability is due primarily to the default or omission of any Underwriter, the Company shall reimburse the several Underwriters for reasonable out-of-pocket expenses, including fees and disbursements of counsel, reasonably incurred in connection with investigating, marketing and proposing to market the Shares or performing their obligations hereunder; but the Company shall not in any event be liable to the several Underwriters for damages on account of loss of anticipated profits from the sale by them of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80" w:right="239" w:bottom="1440" w:gutter="0" w:footer="0" w:header="0"/>
        </w:sectPr>
      </w:pPr>
    </w:p>
    <w:bookmarkStart w:id="23" w:name="page24"/>
    <w:bookmarkEnd w:id="23"/>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4"/>
          <w:szCs w:val="14"/>
          <w:u w:val="single" w:color="auto"/>
          <w:color w:val="auto"/>
        </w:rPr>
        <w:t>ONDITIONS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and to the performance by the Company of its covenants and obligations hereunder and to the following additional conditions:</w:t>
      </w:r>
    </w:p>
    <w:p>
      <w:pPr>
        <w:spacing w:after="0" w:line="107" w:lineRule="exact"/>
        <w:rPr>
          <w:sz w:val="20"/>
          <w:szCs w:val="20"/>
          <w:color w:val="auto"/>
        </w:rPr>
      </w:pPr>
    </w:p>
    <w:p>
      <w:pPr>
        <w:ind w:right="20" w:firstLine="464"/>
        <w:spacing w:after="0" w:line="290"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Registration Statement and all post-effective amendments thereto shall have become effective and the Prospectus and each Issuer Free Writing Prospectus required shall have been filed as required by Rules 424,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Representatives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18" w:lineRule="exact"/>
        <w:rPr>
          <w:rFonts w:ascii="Arial" w:cs="Arial" w:eastAsia="Arial" w:hAnsi="Arial"/>
          <w:sz w:val="16"/>
          <w:szCs w:val="16"/>
          <w:color w:val="auto"/>
        </w:rPr>
      </w:pPr>
    </w:p>
    <w:p>
      <w:pPr>
        <w:ind w:right="40" w:firstLine="464"/>
        <w:spacing w:after="0" w:line="332"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the Option Closing Date, as the case may be, the opinion of Wilson Sonsini Goodrich &amp; Rosati, P.C., counsel for the Company, dated the Closing Date or the Option Closing Date, as the case may be,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80" w:firstLine="464"/>
        <w:spacing w:after="0" w:line="259" w:lineRule="auto"/>
        <w:tabs>
          <w:tab w:leader="none" w:pos="6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or the Option Closing Date, as the case may be, the negative assurance letter of Wilson Sonsini Goodrich &amp; Rosati, P.C., counsel for the Company, dated the Closing Date or the Option Closing Date, as the case may be,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or the Option Closing Date, as the case may be, the opinion of Kilpatrick Townsend &amp; Stockton LLP, outside intellectual property counsel for the Company, dated the Closing Date or the Option Closing Date, as the case may be,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40" w:lineRule="exact"/>
        <w:rPr>
          <w:sz w:val="20"/>
          <w:szCs w:val="20"/>
          <w:color w:val="auto"/>
        </w:rPr>
      </w:pPr>
    </w:p>
    <w:p>
      <w:pPr>
        <w:jc w:val="both"/>
        <w:ind w:right="16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Company shall have used its best efforts to deliver to the Representatives on the Closing Date or the Option Closing Date, as the case may be, the opinion of ATMD Bird &amp; Bird LLP, outside counsel for Fluidigm Singapore Pte. Ltd, dated the Closing Date or the Option Closing Date, as the case may be, in the form attached hereto as </w:t>
      </w:r>
      <w:r>
        <w:rPr>
          <w:rFonts w:ascii="Arial" w:cs="Arial" w:eastAsia="Arial" w:hAnsi="Arial"/>
          <w:sz w:val="18"/>
          <w:szCs w:val="18"/>
          <w:u w:val="single" w:color="auto"/>
          <w:color w:val="auto"/>
        </w:rPr>
        <w:t>Exhibit E.</w:t>
      </w:r>
    </w:p>
    <w:p>
      <w:pPr>
        <w:spacing w:after="0" w:line="140" w:lineRule="exact"/>
        <w:rPr>
          <w:rFonts w:ascii="Arial" w:cs="Arial" w:eastAsia="Arial" w:hAnsi="Arial"/>
          <w:sz w:val="18"/>
          <w:szCs w:val="18"/>
          <w:color w:val="auto"/>
        </w:rPr>
      </w:pPr>
    </w:p>
    <w:p>
      <w:pPr>
        <w:ind w:right="400" w:firstLine="464"/>
        <w:spacing w:after="0" w:line="332"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Representatives shall have received from Latham &amp; Watkins LLP, counsel for the Underwriters, an opinion and negative assurance letter, each dated the Closing Date or the Option Closing Date, as the case may be, in a form satisfactory to the Representatives.</w:t>
      </w:r>
    </w:p>
    <w:p>
      <w:pPr>
        <w:spacing w:after="0" w:line="85" w:lineRule="exact"/>
        <w:rPr>
          <w:rFonts w:ascii="Arial" w:cs="Arial" w:eastAsia="Arial" w:hAnsi="Arial"/>
          <w:sz w:val="16"/>
          <w:szCs w:val="16"/>
          <w:color w:val="auto"/>
        </w:rPr>
      </w:pPr>
    </w:p>
    <w:p>
      <w:pPr>
        <w:ind w:firstLine="464"/>
        <w:spacing w:after="0" w:line="268"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at or prior to the Closing Date from Latham &amp; Watkins LLP a memorandum or summary, in form and substance satisfactory to the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80" w:right="239" w:bottom="1440" w:gutter="0" w:footer="0" w:header="0"/>
        </w:sectPr>
      </w:pPr>
    </w:p>
    <w:bookmarkStart w:id="24" w:name="page25"/>
    <w:bookmarkEnd w:id="24"/>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with respect to the qualification for offering and sale by the Underwriters of the Shares under the State securities or Blue Sky laws of such jurisdictions as the Representatives may reasonably have designated to the Company.</w:t>
      </w:r>
    </w:p>
    <w:p>
      <w:pPr>
        <w:spacing w:after="0" w:line="132" w:lineRule="exact"/>
        <w:rPr>
          <w:sz w:val="20"/>
          <w:szCs w:val="20"/>
          <w:color w:val="auto"/>
        </w:rPr>
      </w:pPr>
    </w:p>
    <w:p>
      <w:pPr>
        <w:ind w:firstLine="464"/>
        <w:spacing w:after="0" w:line="289"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Representatives shall have received, on each of the date hereof, the Closing Date and, if applicable, the Option Closing Date, a letter dated the date hereof, the Closing Date or the Option Closing Date, as the case may be, in form and substance satisfactory to you, of Ernst &amp; Young LLP confirming that they are an independent registered public accounting firm with respect to the Company and the Subsidiaries within the meaning of the Act and the applicable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Rules and Regulations; and containing such other statements and information as is ordinarily included in accountants’ “comfort letters” to underwriters with respect to the financial statements and certain financial and statistical information contained in the Registration Statement, the General Disclosure Package and the Prospectus.</w:t>
      </w:r>
    </w:p>
    <w:p>
      <w:pPr>
        <w:spacing w:after="0" w:line="118" w:lineRule="exact"/>
        <w:rPr>
          <w:rFonts w:ascii="Arial" w:cs="Arial" w:eastAsia="Arial" w:hAnsi="Arial"/>
          <w:sz w:val="16"/>
          <w:szCs w:val="16"/>
          <w:color w:val="auto"/>
        </w:rPr>
      </w:pPr>
    </w:p>
    <w:p>
      <w:pPr>
        <w:ind w:right="60"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and, if applicable, the Option Closing Date, as the case may be, a certificate or certificates of the Chief Executive Officer and the Chief Financial Officer of the Company to the effect that, as of the Closing Date or the Option Closing Date, as the case may be, each of them severally represents as follows:</w:t>
      </w:r>
    </w:p>
    <w:p>
      <w:pPr>
        <w:spacing w:after="0" w:line="140" w:lineRule="exact"/>
        <w:rPr>
          <w:rFonts w:ascii="Arial" w:cs="Arial" w:eastAsia="Arial" w:hAnsi="Arial"/>
          <w:sz w:val="18"/>
          <w:szCs w:val="18"/>
          <w:color w:val="auto"/>
        </w:rPr>
      </w:pPr>
    </w:p>
    <w:p>
      <w:pPr>
        <w:ind w:firstLine="921"/>
        <w:spacing w:after="0" w:line="306" w:lineRule="auto"/>
        <w:tabs>
          <w:tab w:leader="none" w:pos="1123"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Registration Statement has become effective under the Act and no stop order suspending the effectiveness of the Registration Statement or no order preventing or suspending the use of any Issuer Free Writing Prospectus or the Prospectus has been issued, and no proceedings for such purpose or pursuant to Section 8A of the Act have been taken or are, to his or her knowledge, contemplated or threatened by the Commission;</w:t>
      </w:r>
    </w:p>
    <w:p>
      <w:pPr>
        <w:spacing w:after="0" w:line="106" w:lineRule="exact"/>
        <w:rPr>
          <w:rFonts w:ascii="Arial" w:cs="Arial" w:eastAsia="Arial" w:hAnsi="Arial"/>
          <w:sz w:val="16"/>
          <w:szCs w:val="16"/>
          <w:color w:val="auto"/>
        </w:rPr>
      </w:pPr>
    </w:p>
    <w:p>
      <w:pPr>
        <w:ind w:right="500" w:firstLine="921"/>
        <w:spacing w:after="0" w:line="268" w:lineRule="auto"/>
        <w:tabs>
          <w:tab w:leader="none" w:pos="1171"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are true and correct as of the Closing Date or the Option Closing Date, as the case may be;</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filings required to have been made pursuant to Rules 424, 430A, 430B or 430C under the Act have been made as and when required by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rules;</w:t>
      </w:r>
    </w:p>
    <w:p>
      <w:pPr>
        <w:spacing w:after="0" w:line="164" w:lineRule="exact"/>
        <w:rPr>
          <w:rFonts w:ascii="Arial" w:cs="Arial" w:eastAsia="Arial" w:hAnsi="Arial"/>
          <w:sz w:val="15"/>
          <w:szCs w:val="15"/>
          <w:color w:val="auto"/>
        </w:rPr>
      </w:pPr>
    </w:p>
    <w:p>
      <w:pPr>
        <w:ind w:right="120" w:firstLine="921"/>
        <w:spacing w:after="0" w:line="294" w:lineRule="auto"/>
        <w:tabs>
          <w:tab w:leader="none" w:pos="1210" w:val="left"/>
        </w:tabs>
        <w:numPr>
          <w:ilvl w:val="1"/>
          <w:numId w:val="30"/>
        </w:numPr>
        <w:rPr>
          <w:rFonts w:ascii="Arial" w:cs="Arial" w:eastAsia="Arial" w:hAnsi="Arial"/>
          <w:sz w:val="16"/>
          <w:szCs w:val="16"/>
          <w:color w:val="auto"/>
        </w:rPr>
      </w:pPr>
      <w:r>
        <w:rPr>
          <w:rFonts w:ascii="Arial" w:cs="Arial" w:eastAsia="Arial" w:hAnsi="Arial"/>
          <w:sz w:val="16"/>
          <w:szCs w:val="16"/>
          <w:color w:val="auto"/>
        </w:rPr>
        <w:t>He or she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115" w:lineRule="exact"/>
        <w:rPr>
          <w:rFonts w:ascii="Arial" w:cs="Arial" w:eastAsia="Arial" w:hAnsi="Arial"/>
          <w:sz w:val="16"/>
          <w:szCs w:val="16"/>
          <w:color w:val="auto"/>
        </w:rPr>
      </w:pPr>
    </w:p>
    <w:p>
      <w:pPr>
        <w:ind w:right="100" w:firstLine="921"/>
        <w:spacing w:after="0" w:line="332" w:lineRule="auto"/>
        <w:tabs>
          <w:tab w:leader="none" w:pos="1162" w:val="left"/>
        </w:tabs>
        <w:numPr>
          <w:ilvl w:val="1"/>
          <w:numId w:val="30"/>
        </w:numPr>
        <w:rPr>
          <w:rFonts w:ascii="Arial" w:cs="Arial" w:eastAsia="Arial" w:hAnsi="Arial"/>
          <w:sz w:val="16"/>
          <w:szCs w:val="16"/>
          <w:color w:val="auto"/>
        </w:rPr>
      </w:pPr>
      <w:r>
        <w:rPr>
          <w:rFonts w:ascii="Arial" w:cs="Arial" w:eastAsia="Arial" w:hAnsi="Arial"/>
          <w:sz w:val="16"/>
          <w:szCs w:val="16"/>
          <w:color w:val="auto"/>
        </w:rPr>
        <w:t>He or she has carefully examined the Registration Statement and, in his or her opinion, as of the effective date of the Registration Statement, the Registration Statement and any amendments thereto did not contain any untrue statement of a material fact and did not omit</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80" w:right="259" w:bottom="1440" w:gutter="0" w:footer="0" w:header="0"/>
        </w:sectPr>
      </w:pPr>
    </w:p>
    <w:bookmarkStart w:id="25" w:name="page26"/>
    <w:bookmarkEnd w:id="2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140" w:lineRule="exact"/>
        <w:rPr>
          <w:sz w:val="20"/>
          <w:szCs w:val="20"/>
          <w:color w:val="auto"/>
        </w:rPr>
      </w:pPr>
    </w:p>
    <w:p>
      <w:pPr>
        <w:ind w:right="40" w:firstLine="921"/>
        <w:spacing w:after="0" w:line="306" w:lineRule="auto"/>
        <w:tabs>
          <w:tab w:leader="none" w:pos="1210" w:val="left"/>
        </w:tabs>
        <w:numPr>
          <w:ilvl w:val="1"/>
          <w:numId w:val="31"/>
        </w:numPr>
        <w:rPr>
          <w:rFonts w:ascii="Arial" w:cs="Arial" w:eastAsia="Arial" w:hAnsi="Arial"/>
          <w:sz w:val="16"/>
          <w:szCs w:val="16"/>
          <w:color w:val="auto"/>
        </w:rPr>
      </w:pPr>
      <w:r>
        <w:rPr>
          <w:rFonts w:ascii="Arial" w:cs="Arial" w:eastAsia="Arial" w:hAnsi="Arial"/>
          <w:sz w:val="16"/>
          <w:szCs w:val="16"/>
          <w:color w:val="auto"/>
        </w:rPr>
        <w:t>He or she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106" w:lineRule="exact"/>
        <w:rPr>
          <w:rFonts w:ascii="Arial" w:cs="Arial" w:eastAsia="Arial" w:hAnsi="Arial"/>
          <w:sz w:val="16"/>
          <w:szCs w:val="16"/>
          <w:color w:val="auto"/>
        </w:rPr>
      </w:pPr>
    </w:p>
    <w:p>
      <w:pPr>
        <w:ind w:right="20" w:firstLine="921"/>
        <w:spacing w:after="0" w:line="256" w:lineRule="auto"/>
        <w:tabs>
          <w:tab w:leader="none" w:pos="12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involving a prospective material adverse change in or affecting the business, management, properties, assets, rights, operations, condition (financial or otherwise), or prospects of the Company and the Subsidiaries taken as a whole, whether or not arising in the ordinary course of business.</w:t>
      </w:r>
    </w:p>
    <w:p>
      <w:pPr>
        <w:spacing w:after="0" w:line="143" w:lineRule="exact"/>
        <w:rPr>
          <w:rFonts w:ascii="Arial" w:cs="Arial" w:eastAsia="Arial" w:hAnsi="Arial"/>
          <w:sz w:val="18"/>
          <w:szCs w:val="18"/>
          <w:color w:val="auto"/>
        </w:rPr>
      </w:pPr>
    </w:p>
    <w:p>
      <w:pPr>
        <w:ind w:right="560" w:firstLine="464"/>
        <w:spacing w:after="0" w:line="332" w:lineRule="auto"/>
        <w:tabs>
          <w:tab w:leader="none" w:pos="6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Firm Shares and Option Shares, if any, have been approved for quotation upon notice of issuance on the NASDAQ Global Market.</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Lockup Agreements described in </w:t>
      </w:r>
      <w:r>
        <w:rPr>
          <w:rFonts w:ascii="Arial" w:cs="Arial" w:eastAsia="Arial" w:hAnsi="Arial"/>
          <w:sz w:val="18"/>
          <w:szCs w:val="18"/>
          <w:u w:val="single" w:color="auto"/>
          <w:color w:val="auto"/>
        </w:rPr>
        <w:t>Section 4(j)</w:t>
      </w:r>
      <w:r>
        <w:rPr>
          <w:rFonts w:ascii="Arial" w:cs="Arial" w:eastAsia="Arial" w:hAnsi="Arial"/>
          <w:sz w:val="18"/>
          <w:szCs w:val="18"/>
          <w:color w:val="auto"/>
        </w:rPr>
        <w:t xml:space="preserve"> are in full force and effect.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opinions and certificates mentioned in this Agreement shall be deemed to be in compliance with the provisions hereof only if they are in all material respects reasonably satisfactory to the Representatives and to Latham &amp; Watkins, LLP, counsel for the Underwriters.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If any of the conditions hereinabove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have been fulfilled when and as required by this Agreement to be fulfilled, the obligations of the Underwriters hereunder may be terminated by the Representatives by notifying the Company of such termination in writing or by telegram at or prior to the Closing Date or the Option Closing Date, as the case may be.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In such event the Company and the Underwriters shall not be under any obligation to each other (except to the extent provided in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w:t>
      </w:r>
      <w:r>
        <w:rPr>
          <w:rFonts w:ascii="Arial" w:cs="Arial" w:eastAsia="Arial" w:hAnsi="Arial"/>
          <w:sz w:val="15"/>
          <w:szCs w:val="15"/>
          <w:color w:val="auto"/>
        </w:rPr>
        <w:t xml:space="preserve"> hereof).</w:t>
      </w:r>
    </w:p>
    <w:p>
      <w:pPr>
        <w:spacing w:after="0" w:line="206" w:lineRule="exact"/>
        <w:rPr>
          <w:sz w:val="20"/>
          <w:szCs w:val="20"/>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obligation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in effect or proceedings therefor initiated or threatened.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80" w:right="259" w:bottom="1440" w:gutter="0" w:footer="0" w:header="0"/>
        </w:sectPr>
      </w:pPr>
    </w:p>
    <w:bookmarkStart w:id="26" w:name="page27"/>
    <w:bookmarkEnd w:id="26"/>
    <w:p>
      <w:pPr>
        <w:ind w:left="176" w:hanging="176"/>
        <w:spacing w:after="0"/>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u w:val="single" w:color="auto"/>
          <w:color w:val="auto"/>
        </w:rPr>
        <w:t>NDEMNIFICATION</w:t>
      </w:r>
      <w:r>
        <w:rPr>
          <w:rFonts w:ascii="Arial" w:cs="Arial" w:eastAsia="Arial" w:hAnsi="Arial"/>
          <w:sz w:val="18"/>
          <w:szCs w:val="18"/>
          <w:color w:val="auto"/>
        </w:rPr>
        <w:t>.</w:t>
      </w:r>
    </w:p>
    <w:p>
      <w:pPr>
        <w:spacing w:after="0" w:line="171" w:lineRule="exact"/>
        <w:rPr>
          <w:sz w:val="20"/>
          <w:szCs w:val="20"/>
          <w:color w:val="auto"/>
        </w:rPr>
      </w:pPr>
    </w:p>
    <w:p>
      <w:pPr>
        <w:ind w:left="236" w:hanging="236"/>
        <w:spacing w:after="0"/>
        <w:tabs>
          <w:tab w:leader="none" w:pos="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agrees:</w:t>
      </w:r>
    </w:p>
    <w:p>
      <w:pPr>
        <w:spacing w:after="0" w:line="171" w:lineRule="exact"/>
        <w:rPr>
          <w:rFonts w:ascii="Arial" w:cs="Arial" w:eastAsia="Arial" w:hAnsi="Arial"/>
          <w:sz w:val="18"/>
          <w:szCs w:val="18"/>
          <w:color w:val="auto"/>
        </w:rPr>
      </w:pPr>
    </w:p>
    <w:p>
      <w:pPr>
        <w:ind w:left="-464" w:firstLine="921"/>
        <w:spacing w:after="0" w:line="286" w:lineRule="auto"/>
        <w:tabs>
          <w:tab w:leader="none" w:pos="658"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to indemnify and hold harmless each Underwriter, the directors and officers of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the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will not be liable in any such case to the extent that any such loss, claim, damage or liability arises out of or is based upon an untrue statement or alleged untrue statement, or omission or alleged omission made in the Registration Statement, the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herein; and</w:t>
      </w:r>
    </w:p>
    <w:p>
      <w:pPr>
        <w:spacing w:after="0" w:line="336" w:lineRule="exact"/>
        <w:rPr>
          <w:rFonts w:ascii="Arial" w:cs="Arial" w:eastAsia="Arial" w:hAnsi="Arial"/>
          <w:sz w:val="16"/>
          <w:szCs w:val="16"/>
          <w:color w:val="auto"/>
        </w:rPr>
      </w:pPr>
    </w:p>
    <w:p>
      <w:pPr>
        <w:ind w:left="-464" w:right="40" w:firstLine="921"/>
        <w:spacing w:after="0" w:line="254" w:lineRule="auto"/>
        <w:tabs>
          <w:tab w:leader="none" w:pos="7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reimburse each Underwriter, each Underwriters’ directors and officers,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144" w:lineRule="exact"/>
        <w:rPr>
          <w:rFonts w:ascii="Arial" w:cs="Arial" w:eastAsia="Arial" w:hAnsi="Arial"/>
          <w:sz w:val="18"/>
          <w:szCs w:val="18"/>
          <w:color w:val="auto"/>
        </w:rPr>
      </w:pPr>
    </w:p>
    <w:p>
      <w:pPr>
        <w:ind w:left="-464" w:firstLine="464"/>
        <w:spacing w:after="0" w:line="255" w:lineRule="auto"/>
        <w:tabs>
          <w:tab w:leader="none" w:pos="2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w:t>
      </w:r>
    </w:p>
    <w:p>
      <w:pPr>
        <w:spacing w:after="0" w:line="129" w:lineRule="exact"/>
        <w:rPr>
          <w:rFonts w:ascii="Arial" w:cs="Arial" w:eastAsia="Arial" w:hAnsi="Arial"/>
          <w:sz w:val="18"/>
          <w:szCs w:val="18"/>
          <w:color w:val="auto"/>
        </w:rPr>
      </w:pPr>
    </w:p>
    <w:p>
      <w:pPr>
        <w:ind w:left="5156" w:hanging="96"/>
        <w:spacing w:after="0"/>
        <w:tabs>
          <w:tab w:leader="none" w:pos="5156" w:val="left"/>
        </w:tabs>
        <w:numPr>
          <w:ilvl w:val="2"/>
          <w:numId w:val="3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36"/>
          </w:cols>
          <w:pgMar w:left="704" w:top="280" w:right="259" w:bottom="1440" w:gutter="0" w:footer="0" w:header="0"/>
        </w:sectPr>
      </w:pPr>
    </w:p>
    <w:bookmarkStart w:id="27" w:name="page28"/>
    <w:bookmarkEnd w:id="27"/>
    <w:p>
      <w:pPr>
        <w:ind w:right="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Registration Statement, the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the Preliminary Prospectus,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each Underwriter will be liable in each case to the extent, but only to the extent, that such untrue statement or alleged untrue statement or omission or alleged omission has been made in the Registration Statement, the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herein. This indemnity agreement will be in addition to any liability which such Underwriter may otherwise have.</w:t>
      </w:r>
    </w:p>
    <w:p>
      <w:pPr>
        <w:spacing w:after="0" w:line="112" w:lineRule="exact"/>
        <w:rPr>
          <w:sz w:val="20"/>
          <w:szCs w:val="20"/>
          <w:color w:val="auto"/>
        </w:rPr>
      </w:pPr>
    </w:p>
    <w:p>
      <w:pPr>
        <w:ind w:firstLine="464"/>
        <w:spacing w:after="0" w:line="285"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 case any proceeding (including any governmental investigation) shall be instituted involving any person in respect of which indemnity may be sought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such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in writing. No indemnification provided for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shall be available to any party who shall fail to give notice as provided in this </w:t>
      </w:r>
      <w:r>
        <w:rPr>
          <w:rFonts w:ascii="Arial" w:cs="Arial" w:eastAsia="Arial" w:hAnsi="Arial"/>
          <w:sz w:val="16"/>
          <w:szCs w:val="16"/>
          <w:u w:val="single" w:color="auto"/>
          <w:color w:val="auto"/>
        </w:rPr>
        <w:t>Section 8(c)</w:t>
      </w:r>
      <w:r>
        <w:rPr>
          <w:rFonts w:ascii="Arial" w:cs="Arial" w:eastAsia="Arial" w:hAnsi="Arial"/>
          <w:sz w:val="16"/>
          <w:szCs w:val="16"/>
          <w:color w:val="auto"/>
        </w:rPr>
        <w:t xml:space="preserve">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Such firm shall be designated in writing by you in the case of parties indemnified pursuant to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hereof and by the</w:t>
      </w:r>
    </w:p>
    <w:p>
      <w:pPr>
        <w:spacing w:after="0" w:line="110" w:lineRule="exact"/>
        <w:rPr>
          <w:rFonts w:ascii="Arial" w:cs="Arial" w:eastAsia="Arial" w:hAnsi="Arial"/>
          <w:sz w:val="16"/>
          <w:szCs w:val="16"/>
          <w:color w:val="auto"/>
        </w:rPr>
      </w:pPr>
    </w:p>
    <w:p>
      <w:pPr>
        <w:ind w:left="5620" w:hanging="96"/>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280" w:right="239" w:bottom="1440" w:gutter="0" w:footer="0" w:header="0"/>
        </w:sectPr>
      </w:pPr>
    </w:p>
    <w:bookmarkStart w:id="28" w:name="page29"/>
    <w:bookmarkEnd w:id="2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in the case of parties indemnified pursuant to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47" w:lineRule="exact"/>
        <w:rPr>
          <w:sz w:val="20"/>
          <w:szCs w:val="20"/>
          <w:color w:val="auto"/>
        </w:rPr>
      </w:pPr>
    </w:p>
    <w:p>
      <w:pPr>
        <w:ind w:firstLine="464"/>
        <w:spacing w:after="0" w:line="285"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To the extent the indemnification provided for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to or insufficient to hold harmless an indemnified party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2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and the Underwriters agree that it would not be just and equitable if contributions pursuant to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were determined by pro rata allocation (even if the Underwriters were treated as one entity for such purpose) or by any other method of allocation which does not take account of the equitable considerations referred to above in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The amount paid or payable by an indemnified party as a result of the losses, claims, damages or liabilities (or actions or proceedings in respect thereof) referred to above in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shall be deemed to include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8(d)</w:t>
      </w:r>
      <w:r>
        <w:rPr>
          <w:rFonts w:ascii="Arial" w:cs="Arial" w:eastAsia="Arial" w:hAnsi="Arial"/>
          <w:sz w:val="16"/>
          <w:szCs w:val="16"/>
          <w:color w:val="auto"/>
        </w:rPr>
        <w:t>, (i) no Underwriter shall be required to contribute any amount in excess of the underwriting discounts and commissions applicable to the Shares purchased by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280" w:right="23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Underwriter and (ii) no person guilty of fraudulent misrepresentation (within the meaning of Section 11(f) of the Act) shall be entitled to contribution from any person who was not guilty of such fraudulent misrepresentation. The Underwriters’ obligations in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to contribute are several in proportion to their respective underwriting obligations and not joint.</w:t>
      </w:r>
    </w:p>
    <w:p>
      <w:pPr>
        <w:spacing w:after="0" w:line="140" w:lineRule="exact"/>
        <w:rPr>
          <w:sz w:val="20"/>
          <w:szCs w:val="20"/>
          <w:color w:val="auto"/>
        </w:rPr>
      </w:pPr>
    </w:p>
    <w:p>
      <w:pPr>
        <w:ind w:right="180" w:firstLine="464"/>
        <w:spacing w:after="0" w:line="255" w:lineRule="auto"/>
        <w:tabs>
          <w:tab w:leader="none" w:pos="7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In any proceeding relating to the Registration Statement, the Preliminary Prospectus, any Issuer Free Writing Prospectus, the Prospectus or any supplement or amendment thereto, each party against whom contribution may be sought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hereby consents to the jurisdiction of any court having jurisdiction over any other contributing party,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142" w:lineRule="exact"/>
        <w:rPr>
          <w:rFonts w:ascii="Arial" w:cs="Arial" w:eastAsia="Arial" w:hAnsi="Arial"/>
          <w:sz w:val="18"/>
          <w:szCs w:val="18"/>
          <w:color w:val="auto"/>
        </w:rPr>
      </w:pPr>
    </w:p>
    <w:p>
      <w:pPr>
        <w:ind w:right="20" w:firstLine="464"/>
        <w:spacing w:after="0" w:line="283" w:lineRule="auto"/>
        <w:tabs>
          <w:tab w:leader="none" w:pos="705"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Any losses, claims, damages, liabilities or expenses for which an indemnified party is entitled to indemnification or contribution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representations and warranties of the Company set forth in this Agreement shall remain operative and in full force and effect, regardless of (i) any investigation made by or on behalf of any Underwriter, its directors or officers or any person controlling any Underwriter, the Company, its directors or officers or any persons controlling the Company, (ii) acceptance of any Shares and payment therefor hereunder, and</w:t>
      </w:r>
    </w:p>
    <w:p>
      <w:pPr>
        <w:spacing w:after="0" w:line="2" w:lineRule="exact"/>
        <w:rPr>
          <w:rFonts w:ascii="Arial" w:cs="Arial" w:eastAsia="Arial" w:hAnsi="Arial"/>
          <w:sz w:val="16"/>
          <w:szCs w:val="16"/>
          <w:color w:val="auto"/>
        </w:rPr>
      </w:pPr>
    </w:p>
    <w:p>
      <w:pPr>
        <w:ind w:right="20" w:firstLine="8"/>
        <w:spacing w:after="0" w:line="255"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A successor to any Underwriter, its directors or officers or any person controlling any Underwriter, or to the Company, its directors or officers, or any person controlling the Company, shall be entitled to the benefits of the indemnity, contribution and reimbursement agreements contained in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44"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EFAULT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you, as Representatives of the Underwriters, shall use your reasonable efforts to procure within 36 hours thereafter one or more of the other Underwriters, or any others, to purchase from the Company such amounts as may be agreed upon and upon the terms set forth herein, the Shares which the defaulting Underwriter or Underwriters failed to purchase. If during such 36 hours you, as such Representatives, shall not have procured such other Underwriters, or any others, to purchase the Shares agreed to be purchased by the defaulting Underwriter or Underwriters, then (a) if the aggregate number of shares with respect to which such default shall occur does not exceed 10% of the Shares to be purchased on the Closing Date or the Option Closing Date, as the case may be, the other Underwriters shall be obligated, severally, in proportion to the respective numbers of Shares which they are obligated to purchase hereunder, to purchase the Shares which such defaulting Underwriter or Underwriters failed to purchase, or (b) if the aggregate number of shares of the Shares with respect to which such default shall occur exceeds 10% of the Shares to be purchased on the Closing Date or the Option Closing Date, as the case may be, the Company and or you as the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80"/>
          </w:cols>
          <w:pgMar w:left="240" w:top="280" w:right="279" w:bottom="1440" w:gutter="0" w:footer="0" w:header="0"/>
        </w:sectPr>
      </w:pPr>
    </w:p>
    <w:bookmarkStart w:id="30" w:name="page31"/>
    <w:bookmarkEnd w:id="3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hereof. In the event of a default by any Underwriter or Underwriters, as set forth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Closing Date or Option Closing Date, as the case may be, may be postponed for such period, not exceeding seven days, as you, as Representatives,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relieve any defaulting Underwriter from liability in respect of any default of such Underwriter under this Agreement.</w:t>
      </w:r>
    </w:p>
    <w:p>
      <w:pPr>
        <w:spacing w:after="0" w:line="118"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OTICES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All communications hereunder shall be in writing and, except as otherwise provided herein, will be mailed, delivered, telecopied or telegraphed and confirmed as follows: if to the Underwriters, to (i) Piper Jaffray &amp; Co., 800 Nicollet Mall, Minneapolis, Minnesota 55402, Attention: General Counsel, Fax: 612-303-1068, and (ii) Cowen and Company, LLC, Attention: Head of Equity Capital Markets, Fax: 646-562-1249, with a copy to the General Counsel, Fax: 646-562-1124, with a copy to Latham &amp; Watkins, LLP, 650 Town Center Dr # 2000, Costa Mesa, CA 92626, Attention: B. Shayne Kennedy and Wesley C. Holmes; if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to Fluidigm Corporation, 7000 Shoreline Court, Suite 100, South San Francisco, California 94080, Attention: Chief Executive Officer,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copy to Wilson, Sonsini, Goodrich &amp; Rosati, P.C., 950 Page Mill Road, Palo Alto, California 94304, Attention: Robert F. Kornegay and Michael Nordtvedt.</w:t>
      </w:r>
    </w:p>
    <w:p>
      <w:pPr>
        <w:spacing w:after="0" w:line="188"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ERMINATION</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Agreement may be terminated by you 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arising in the ordinary course of business, (ii) any outbreak or escalation of hostilities or declaration of war or national emergency or other national or international calamity or crisis (including, without limitation, an act of terrorism) or change in economic or political conditions if the effect of such outbreak, escalation, declaration, emergency, calamity, crisis or change on the financial markets of the United States would, in your judgment, materially impair the investment quality of the Shares, (iii) suspension of trading in securities generally on the New York Stock Exchange, the American Stock Exchange or the NASDAQ Global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80" w:right="239" w:bottom="1440" w:gutter="0" w:footer="0" w:header="0"/>
        </w:sectPr>
      </w:pPr>
    </w:p>
    <w:bookmarkStart w:id="31" w:name="page32"/>
    <w:bookmarkEnd w:id="31"/>
    <w:p>
      <w:pPr>
        <w:ind w:right="6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w:t>
      </w:r>
    </w:p>
    <w:p>
      <w:pPr>
        <w:ind w:left="360" w:hanging="352"/>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suspension of trading of the Company’s common stock by the NASDAQ Global Market, the Commission, or any other governmental authority, or</w:t>
      </w:r>
    </w:p>
    <w:p>
      <w:pPr>
        <w:spacing w:after="0" w:line="32" w:lineRule="exact"/>
        <w:rPr>
          <w:rFonts w:ascii="Arial" w:cs="Arial" w:eastAsia="Arial" w:hAnsi="Arial"/>
          <w:sz w:val="16"/>
          <w:szCs w:val="16"/>
          <w:color w:val="auto"/>
        </w:rPr>
      </w:pPr>
    </w:p>
    <w:p>
      <w:pPr>
        <w:ind w:right="140" w:firstLine="8"/>
        <w:spacing w:after="0" w:line="261" w:lineRule="auto"/>
        <w:tabs>
          <w:tab w:leader="none" w:pos="3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taking of any action by any governmental body or agency in respect of its monetary or fiscal affairs which in your opinion has a material adverse effect on the securities markets in the United States; or as provided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of this Agreement.</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UCCESSORS</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its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107"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ROVIDED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and the Underwriters acknowledge and agree that the only information furnished or to be furnished by any Underwriter to the Company for inclusion in the Registration Statement, the Preliminary Prospectus, any Issuer Free Writing Prospectus or the Prospectus consists of the information set forth in the third, ninth, tenth and eleventh paragraphs under the caption “Underwriting” in the Prospectus.</w:t>
      </w:r>
    </w:p>
    <w:p>
      <w:pPr>
        <w:spacing w:after="0" w:line="140" w:lineRule="exact"/>
        <w:rPr>
          <w:sz w:val="20"/>
          <w:szCs w:val="20"/>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ISCELLANEOUS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 of the State of New York, including, without limitation, Section 5-1401 of the New York General Obligations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280" w:right="239" w:bottom="1440" w:gutter="0" w:footer="0" w:header="0"/>
        </w:sectPr>
      </w:pPr>
    </w:p>
    <w:bookmarkStart w:id="32" w:name="page33"/>
    <w:bookmarkEnd w:id="32"/>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Underwriters, on the one hand, and the Company (on its own behalf and, to the extent permitted by law, on behalf of its stockholders), on the other hand, waive any right to trial by jury in any action, claim, suit or proceeding with respect to your engagement as underwriter or your role in connection herewith.</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foregoing letter is in accordance with your understanding of our agreement, please sign and return to us the enclosed duplicates hereof, whereupon it will become a binding agreement among the Company and the several Underwriters in accordance with its terms.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20"/>
          </w:cols>
          <w:pgMar w:left="240" w:top="280" w:right="339" w:bottom="1440" w:gutter="0" w:footer="0" w:header="0"/>
        </w:sectPr>
      </w:pPr>
    </w:p>
    <w:bookmarkStart w:id="33" w:name="page34"/>
    <w:bookmarkEnd w:id="33"/>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FLUIDIGM CORPORATION</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jc w:val="right"/>
        <w:ind w:right="1219"/>
        <w:spacing w:after="0"/>
        <w:tabs>
          <w:tab w:leader="none" w:pos="1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on Schedule I</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A.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Andrew Mertz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0219"/>
          </w:cols>
          <w:pgMar w:left="240" w:top="280" w:right="1440" w:bottom="1440" w:gutter="0" w:footer="0" w:header="0"/>
        </w:sectPr>
      </w:pPr>
    </w:p>
    <w:bookmarkStart w:id="34" w:name="page35"/>
    <w:bookmarkEnd w:id="34"/>
    <w:tbl>
      <w:tblPr>
        <w:tblLayout w:type="fixed"/>
        <w:tblInd w:w="64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320" w:type="dxa"/>
            <w:vAlign w:val="bottom"/>
            <w:gridSpan w:val="2"/>
          </w:tcPr>
          <w:p>
            <w:pPr>
              <w:jc w:val="right"/>
              <w:ind w:right="3212"/>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20" w:type="dxa"/>
            <w:vAlign w:val="bottom"/>
            <w:gridSpan w:val="2"/>
          </w:tcPr>
          <w:p>
            <w:pPr>
              <w:jc w:val="right"/>
              <w:ind w:right="26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 OF</w:t>
            </w:r>
            <w:r>
              <w:rPr>
                <w:rFonts w:ascii="Arial" w:cs="Arial" w:eastAsia="Arial" w:hAnsi="Arial"/>
                <w:sz w:val="18"/>
                <w:szCs w:val="18"/>
                <w:color w:val="auto"/>
              </w:rPr>
              <w:t xml:space="preserve"> U</w:t>
            </w:r>
            <w:r>
              <w:rPr>
                <w:rFonts w:ascii="Arial" w:cs="Arial" w:eastAsia="Arial" w:hAnsi="Arial"/>
                <w:sz w:val="14"/>
                <w:szCs w:val="14"/>
                <w:color w:val="auto"/>
              </w:rPr>
              <w:t>NDERWRITERS</w:t>
            </w:r>
          </w:p>
        </w:tc>
        <w:tc>
          <w:tcPr>
            <w:tcW w:w="0" w:type="dxa"/>
            <w:vAlign w:val="bottom"/>
          </w:tcPr>
          <w:p>
            <w:pPr>
              <w:spacing w:after="0"/>
              <w:rPr>
                <w:sz w:val="1"/>
                <w:szCs w:val="1"/>
                <w:color w:val="auto"/>
              </w:rPr>
            </w:pPr>
          </w:p>
        </w:tc>
      </w:tr>
      <w:tr>
        <w:trPr>
          <w:trHeight w:val="342"/>
        </w:trPr>
        <w:tc>
          <w:tcPr>
            <w:tcW w:w="2340" w:type="dxa"/>
            <w:vAlign w:val="bottom"/>
            <w:gridSpan w:val="2"/>
            <w:vMerge w:val="restart"/>
          </w:tcPr>
          <w:p>
            <w:pPr>
              <w:spacing w:after="0"/>
              <w:rPr>
                <w:sz w:val="20"/>
                <w:szCs w:val="20"/>
                <w:color w:val="auto"/>
              </w:rPr>
            </w:pPr>
            <w:r>
              <w:rPr>
                <w:rFonts w:ascii="Arial" w:cs="Arial" w:eastAsia="Arial" w:hAnsi="Arial"/>
                <w:sz w:val="14"/>
                <w:szCs w:val="14"/>
                <w:color w:val="auto"/>
              </w:rPr>
              <w:t>Underwriter</w:t>
            </w:r>
          </w:p>
        </w:tc>
        <w:tc>
          <w:tcPr>
            <w:tcW w:w="5320" w:type="dxa"/>
            <w:vAlign w:val="bottom"/>
            <w:gridSpan w:val="2"/>
          </w:tcPr>
          <w:p>
            <w:pPr>
              <w:jc w:val="right"/>
              <w:spacing w:after="0"/>
              <w:rPr>
                <w:sz w:val="20"/>
                <w:szCs w:val="20"/>
                <w:color w:val="auto"/>
              </w:rPr>
            </w:pPr>
            <w:r>
              <w:rPr>
                <w:rFonts w:ascii="Arial" w:cs="Arial" w:eastAsia="Arial" w:hAnsi="Arial"/>
                <w:sz w:val="14"/>
                <w:szCs w:val="14"/>
                <w:color w:val="auto"/>
              </w:rPr>
              <w:t>Number of Firm Shares</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gridSpan w:val="2"/>
            <w:vMerge w:val="continue"/>
          </w:tcPr>
          <w:p>
            <w:pPr>
              <w:spacing w:after="0"/>
              <w:rPr>
                <w:sz w:val="13"/>
                <w:szCs w:val="13"/>
                <w:color w:val="auto"/>
              </w:rPr>
            </w:pPr>
          </w:p>
        </w:tc>
        <w:tc>
          <w:tcPr>
            <w:tcW w:w="4040" w:type="dxa"/>
            <w:vAlign w:val="bottom"/>
          </w:tcPr>
          <w:p>
            <w:pPr>
              <w:spacing w:after="0"/>
              <w:rPr>
                <w:sz w:val="13"/>
                <w:szCs w:val="13"/>
                <w:color w:val="auto"/>
              </w:rPr>
            </w:pPr>
          </w:p>
        </w:tc>
        <w:tc>
          <w:tcPr>
            <w:tcW w:w="1280" w:type="dxa"/>
            <w:vAlign w:val="bottom"/>
            <w:tcBorders>
              <w:bottom w:val="single" w:sz="8" w:color="auto"/>
            </w:tcBorders>
          </w:tcPr>
          <w:p>
            <w:pPr>
              <w:jc w:val="right"/>
              <w:ind w:right="152"/>
              <w:spacing w:after="0" w:line="146" w:lineRule="exact"/>
              <w:rPr>
                <w:sz w:val="20"/>
                <w:szCs w:val="20"/>
                <w:color w:val="auto"/>
              </w:rPr>
            </w:pPr>
            <w:r>
              <w:rPr>
                <w:rFonts w:ascii="Arial" w:cs="Arial" w:eastAsia="Arial" w:hAnsi="Arial"/>
                <w:sz w:val="14"/>
                <w:szCs w:val="14"/>
                <w:color w:val="auto"/>
              </w:rPr>
              <w:t>to be Purchased</w:t>
            </w:r>
          </w:p>
        </w:tc>
        <w:tc>
          <w:tcPr>
            <w:tcW w:w="0" w:type="dxa"/>
            <w:vAlign w:val="bottom"/>
          </w:tcPr>
          <w:p>
            <w:pPr>
              <w:spacing w:after="0"/>
              <w:rPr>
                <w:sz w:val="1"/>
                <w:szCs w:val="1"/>
                <w:color w:val="auto"/>
              </w:rPr>
            </w:pPr>
          </w:p>
        </w:tc>
      </w:tr>
      <w:tr>
        <w:trPr>
          <w:trHeight w:val="302"/>
        </w:trPr>
        <w:tc>
          <w:tcPr>
            <w:tcW w:w="234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1,756,800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1,171,200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Leerink Swann LLC</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366,000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71" w:lineRule="exact"/>
        <w:rPr>
          <w:sz w:val="20"/>
          <w:szCs w:val="20"/>
          <w:color w:val="auto"/>
        </w:rPr>
      </w:pPr>
    </w:p>
    <w:p>
      <w:pPr>
        <w:ind w:right="2139" w:firstLine="3335"/>
        <w:spacing w:after="0" w:line="438" w:lineRule="auto"/>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RICE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T</w:t>
      </w:r>
      <w:r>
        <w:rPr>
          <w:rFonts w:ascii="Arial" w:cs="Arial" w:eastAsia="Arial" w:hAnsi="Arial"/>
          <w:sz w:val="14"/>
          <w:szCs w:val="14"/>
          <w:color w:val="auto"/>
        </w:rPr>
        <w:t>ERMS OF THE</w:t>
      </w:r>
      <w:r>
        <w:rPr>
          <w:rFonts w:ascii="Arial" w:cs="Arial" w:eastAsia="Arial" w:hAnsi="Arial"/>
          <w:sz w:val="18"/>
          <w:szCs w:val="18"/>
          <w:color w:val="auto"/>
        </w:rPr>
        <w:t xml:space="preserve"> O</w:t>
      </w:r>
      <w:r>
        <w:rPr>
          <w:rFonts w:ascii="Arial" w:cs="Arial" w:eastAsia="Arial" w:hAnsi="Arial"/>
          <w:sz w:val="14"/>
          <w:szCs w:val="14"/>
          <w:color w:val="auto"/>
        </w:rPr>
        <w:t>FFERING</w:t>
      </w:r>
      <w:r>
        <w:rPr>
          <w:rFonts w:ascii="Arial" w:cs="Arial" w:eastAsia="Arial" w:hAnsi="Arial"/>
          <w:sz w:val="18"/>
          <w:szCs w:val="18"/>
          <w:color w:val="auto"/>
        </w:rPr>
        <w:t xml:space="preserve"> C</w:t>
      </w:r>
      <w:r>
        <w:rPr>
          <w:rFonts w:ascii="Arial" w:cs="Arial" w:eastAsia="Arial" w:hAnsi="Arial"/>
          <w:sz w:val="14"/>
          <w:szCs w:val="14"/>
          <w:color w:val="auto"/>
        </w:rPr>
        <w:t>ONVEYED</w:t>
      </w:r>
      <w:r>
        <w:rPr>
          <w:rFonts w:ascii="Arial" w:cs="Arial" w:eastAsia="Arial" w:hAnsi="Arial"/>
          <w:sz w:val="18"/>
          <w:szCs w:val="18"/>
          <w:color w:val="auto"/>
        </w:rPr>
        <w:t xml:space="preserve"> O</w:t>
      </w:r>
      <w:r>
        <w:rPr>
          <w:rFonts w:ascii="Arial" w:cs="Arial" w:eastAsia="Arial" w:hAnsi="Arial"/>
          <w:sz w:val="14"/>
          <w:szCs w:val="14"/>
          <w:color w:val="auto"/>
        </w:rPr>
        <w:t>RALLY</w:t>
      </w:r>
      <w:r>
        <w:rPr>
          <w:rFonts w:ascii="Arial" w:cs="Arial" w:eastAsia="Arial" w:hAnsi="Arial"/>
          <w:sz w:val="18"/>
          <w:szCs w:val="18"/>
          <w:color w:val="auto"/>
        </w:rPr>
        <w:t xml:space="preserve"> Number of Shares being offered by the Company: 3,660,000 Number of Option Shares: 549,000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the public: $14.25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$0.855</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219"/>
          </w:cols>
          <w:pgMar w:left="240" w:top="280" w:right="1440" w:bottom="1440" w:gutter="0" w:footer="0" w:header="0"/>
        </w:sectPr>
      </w:pPr>
    </w:p>
    <w:bookmarkStart w:id="36" w:name="page37"/>
    <w:bookmarkEnd w:id="36"/>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171"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U</w:t>
      </w:r>
      <w:r>
        <w:rPr>
          <w:rFonts w:ascii="Arial" w:cs="Arial" w:eastAsia="Arial" w:hAnsi="Arial"/>
          <w:sz w:val="14"/>
          <w:szCs w:val="14"/>
          <w:color w:val="auto"/>
        </w:rPr>
        <w:t>SE</w:t>
      </w:r>
      <w:r>
        <w:rPr>
          <w:rFonts w:ascii="Arial" w:cs="Arial" w:eastAsia="Arial" w:hAnsi="Arial"/>
          <w:sz w:val="18"/>
          <w:szCs w:val="18"/>
          <w:color w:val="auto"/>
        </w:rPr>
        <w:t xml:space="preserve"> F</w:t>
      </w:r>
      <w:r>
        <w:rPr>
          <w:rFonts w:ascii="Arial" w:cs="Arial" w:eastAsia="Arial" w:hAnsi="Arial"/>
          <w:sz w:val="14"/>
          <w:szCs w:val="14"/>
          <w:color w:val="auto"/>
        </w:rPr>
        <w:t>REE</w:t>
      </w:r>
      <w:r>
        <w:rPr>
          <w:rFonts w:ascii="Arial" w:cs="Arial" w:eastAsia="Arial" w:hAnsi="Arial"/>
          <w:sz w:val="18"/>
          <w:szCs w:val="18"/>
          <w:color w:val="auto"/>
        </w:rPr>
        <w:t xml:space="preserve"> W</w:t>
      </w:r>
      <w:r>
        <w:rPr>
          <w:rFonts w:ascii="Arial" w:cs="Arial" w:eastAsia="Arial" w:hAnsi="Arial"/>
          <w:sz w:val="14"/>
          <w:szCs w:val="14"/>
          <w:color w:val="auto"/>
        </w:rPr>
        <w:t>RITING</w:t>
      </w:r>
      <w:r>
        <w:rPr>
          <w:rFonts w:ascii="Arial" w:cs="Arial" w:eastAsia="Arial" w:hAnsi="Arial"/>
          <w:sz w:val="18"/>
          <w:szCs w:val="18"/>
          <w:color w:val="auto"/>
        </w:rPr>
        <w:t xml:space="preserve"> P</w:t>
      </w:r>
      <w:r>
        <w:rPr>
          <w:rFonts w:ascii="Arial" w:cs="Arial" w:eastAsia="Arial" w:hAnsi="Arial"/>
          <w:sz w:val="14"/>
          <w:szCs w:val="14"/>
          <w:color w:val="auto"/>
        </w:rPr>
        <w:t>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80" w:right="1440"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L</w:t>
      </w:r>
      <w:r>
        <w:rPr>
          <w:rFonts w:ascii="Arial" w:cs="Arial" w:eastAsia="Arial" w:hAnsi="Arial"/>
          <w:sz w:val="14"/>
          <w:szCs w:val="14"/>
          <w:color w:val="auto"/>
        </w:rPr>
        <w:t>OCK</w:t>
      </w: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71" w:lineRule="exact"/>
        <w:rPr>
          <w:sz w:val="20"/>
          <w:szCs w:val="20"/>
          <w:color w:val="auto"/>
        </w:rPr>
      </w:pPr>
    </w:p>
    <w:p>
      <w:pPr>
        <w:jc w:val="center"/>
        <w:ind w:left="5080"/>
        <w:spacing w:after="0"/>
        <w:tabs>
          <w:tab w:leader="none" w:pos="200" w:val="left"/>
        </w:tabs>
        <w:rPr>
          <w:sz w:val="20"/>
          <w:szCs w:val="20"/>
          <w:color w:val="auto"/>
        </w:rPr>
      </w:pPr>
      <w:r>
        <w:rPr>
          <w:rFonts w:ascii="Arial" w:cs="Arial" w:eastAsia="Arial" w:hAnsi="Arial"/>
          <w:sz w:val="18"/>
          <w:szCs w:val="18"/>
          <w:color w:val="auto"/>
        </w:rPr>
        <w:t>August</w:t>
        <w:tab/>
        <w:t>,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understands that Piper Jaffray &amp; Co. and Cowen and Company, LLC,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of the several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propose to enter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Fluidigm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providing for the public offering by the Underwriters, including the Representatives, of common stock, par value $0.001 (“</w:t>
      </w:r>
      <w:r>
        <w:rPr>
          <w:rFonts w:ascii="Arial" w:cs="Arial" w:eastAsia="Arial" w:hAnsi="Arial"/>
          <w:sz w:val="16"/>
          <w:szCs w:val="16"/>
          <w:u w:val="single" w:color="auto"/>
          <w:color w:val="auto"/>
        </w:rPr>
        <w:t>Common Stock</w:t>
      </w:r>
      <w:r>
        <w:rPr>
          <w:rFonts w:ascii="Arial" w:cs="Arial" w:eastAsia="Arial" w:hAnsi="Arial"/>
          <w:sz w:val="16"/>
          <w:szCs w:val="16"/>
          <w:color w:val="auto"/>
        </w:rPr>
        <w: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(the “</w:t>
      </w:r>
      <w:r>
        <w:rPr>
          <w:rFonts w:ascii="Arial" w:cs="Arial" w:eastAsia="Arial" w:hAnsi="Arial"/>
          <w:sz w:val="18"/>
          <w:szCs w:val="18"/>
          <w:u w:val="single" w:color="auto"/>
          <w:color w:val="auto"/>
        </w:rPr>
        <w:t>Public Offering</w:t>
      </w:r>
      <w:r>
        <w:rPr>
          <w:rFonts w:ascii="Arial" w:cs="Arial" w:eastAsia="Arial" w:hAnsi="Arial"/>
          <w:sz w:val="18"/>
          <w:szCs w:val="18"/>
          <w:color w:val="auto"/>
        </w:rPr>
        <w:t>”).</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agrees that, without the prior written consent of the Representatives, the undersigned will not, directly or indirectly, offer, sell, pledge, contract to sell (including any short sale), grant any option to purchase or otherwise dispose of any shares of Common Stock (including, without limitation, shares of Common Stock which may be deemed to be beneficially owned by the undersigned on the date hereof in accordance with the rules and regulations of the Securities and Exchange Commission, shares of Common Stock which may be issued upon exercise of a stock option or warrant and any other security convertible into or exchangeable for Common Stock) or enter into any Hedging Transaction (as defined below) relating to Common Stock (each of the foregoing referred to as a “</w:t>
      </w:r>
      <w:r>
        <w:rPr>
          <w:rFonts w:ascii="Arial" w:cs="Arial" w:eastAsia="Arial" w:hAnsi="Arial"/>
          <w:sz w:val="16"/>
          <w:szCs w:val="16"/>
          <w:u w:val="single" w:color="auto"/>
          <w:color w:val="auto"/>
        </w:rPr>
        <w:t>Disposition</w:t>
      </w:r>
      <w:r>
        <w:rPr>
          <w:rFonts w:ascii="Arial" w:cs="Arial" w:eastAsia="Arial" w:hAnsi="Arial"/>
          <w:sz w:val="16"/>
          <w:szCs w:val="16"/>
          <w:color w:val="auto"/>
        </w:rPr>
        <w:t>”) during the period specified in the following paragraph (the “</w:t>
      </w:r>
      <w:r>
        <w:rPr>
          <w:rFonts w:ascii="Arial" w:cs="Arial" w:eastAsia="Arial" w:hAnsi="Arial"/>
          <w:sz w:val="16"/>
          <w:szCs w:val="16"/>
          <w:u w:val="single" w:color="auto"/>
          <w:color w:val="auto"/>
        </w:rPr>
        <w:t>Lock-Up Period</w:t>
      </w:r>
      <w:r>
        <w:rPr>
          <w:rFonts w:ascii="Arial" w:cs="Arial" w:eastAsia="Arial" w:hAnsi="Arial"/>
          <w:sz w:val="16"/>
          <w:szCs w:val="16"/>
          <w:color w:val="auto"/>
        </w:rPr>
        <w:t>”). The foregoing restriction is expressly intended to preclude the undersigned from engaging in any Hedging Transaction or other transaction which is designed to or reasonably expected to lead to or result in a Disposition during the Lock-Up Period even if the securities would be disposed of by someone other than the undersigned. “Hedging Transaction” means any short sale (whether or not against the box) or any purchase, sale or grant of any right (including, without limitation, any put or call option) with respect to any security (other than a broad-based market basket or index) that includes, relates to or derives any significant part of its value from Common Stock.</w:t>
      </w:r>
    </w:p>
    <w:p>
      <w:pPr>
        <w:sectPr>
          <w:pgSz w:w="11900" w:h="16838" w:orient="portrait"/>
          <w:cols w:equalWidth="0" w:num="1">
            <w:col w:w="11360"/>
          </w:cols>
          <w:pgMar w:left="240" w:top="280" w:right="299" w:bottom="1440" w:gutter="0" w:footer="0" w:header="0"/>
        </w:sectPr>
      </w:pPr>
    </w:p>
    <w:bookmarkStart w:id="38" w:name="page39"/>
    <w:bookmarkEnd w:id="38"/>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Lock-Up Period will commence on the date hereof and continue until, and include, the date that is 90 days after the date of the final prospectus relating to the Public Offering (the “</w:t>
      </w:r>
      <w:r>
        <w:rPr>
          <w:rFonts w:ascii="Arial" w:cs="Arial" w:eastAsia="Arial" w:hAnsi="Arial"/>
          <w:sz w:val="16"/>
          <w:szCs w:val="16"/>
          <w:u w:val="single" w:color="auto"/>
          <w:color w:val="auto"/>
        </w:rPr>
        <w:t>Initial Lock-Up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(1) during the last 17 days of the Initial Lock-Up Period, (A) the Company releases earnings results or (B) material news or a material event relating to the Company occurs, or (2) prior to the expiration of the Initial Lock-Up Period, the Company announces that it will release earnings results during the 16-day period following the last day of the Initial Lock-Up Period, then in each case the Lock-Up Period will be extended until the expiration of the 18-day period beginning on the date of the release of the earnings results or the occurrence of material news or a material event relating to the Company, as the case may be, unless the Representatives waive, in writing, such extension.</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Notwithstanding the foregoing, the undersigned may (a) transfer shares of Common Stock acquired by the undersigned in the Public Offering or in open market transactions after the completion of the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filing under Section 16(a)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shall be required or shall be voluntarily made in connection with subsequent sales of shares of Common Stock or other securities acquired in such open market transactions, (b) transfer shares of Common Stock or other Company securities as a bona fide gift, (c) transfer shares of Common Stock or other Company securities (1) by will or intestacy to the undersigned’s immediate family or (2) to a trust, the beneficiaries of which are the undersigned and a member or members of the undersigned’s immediate family (for purposes of this Lock-Up Agreement, “immediate family” shall mean any relationship by blood, marriage or adoption, not more remote than first cousin), (d) distribute shares of Common Stock or other Company securities to limited partners, members or stockholders of the undersigned, (e) establish or amend a trading plan pursuant to Rule 10b5-1 under the Exchange Act for the transfer of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plan does not provide for the transfer of shares of Common Stock during the Lock-Up Period; (f) transfer shares of Common Stock or any securities convertible into or exercisable or exchangeable for Common Stock to the Company upon a vesting event of Company securities or upon the exercise of options or warrants to purchase Company securities, in each case on a “cashless” or “net exercise” basis or to cover tax withholding obligations of the undersigned in connection with such vesting or exercise; or (g) exercise any right with respect to, or the taking of any other action in preparation for, a registration by the Company of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transfer of the security holder’s Common Stock registered pursuant to the exercise of such rights under this clause (g) shall occur during the Lock-Up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that in the case of a transfer pursuant to clause (b), (c)(2) or (d) above, it shall be a condition to such transfer that the transferee execute an agreement stating that the transferee is receiving and holding the securities subject to the provisions of this Lock-Up Agreement, and (ii) that in the case of a transfer pursuant to clause (b), (c) or (d) above, it shall be a condition to such transfer that no filing under Section 16(a) of the Exchange Act, reporting a reduction in beneficial ownership of shares of Common Stock, shall be required or shall be voluntarily made during the Lock-Up Period.</w:t>
      </w:r>
    </w:p>
    <w:p>
      <w:pPr>
        <w:spacing w:after="0" w:line="13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undersigned hereby acknowledges and agrees that written notice of any extension of the Lock-Up Period pursuant to the previous paragraph will be delivered by the Representatives to the</w:t>
      </w:r>
    </w:p>
    <w:p>
      <w:pPr>
        <w:sectPr>
          <w:pgSz w:w="11900" w:h="16838" w:orient="portrait"/>
          <w:cols w:equalWidth="0" w:num="1">
            <w:col w:w="11420"/>
          </w:cols>
          <w:pgMar w:left="240" w:top="280" w:right="239" w:bottom="1440" w:gutter="0" w:footer="0" w:header="0"/>
        </w:sectPr>
      </w:pPr>
    </w:p>
    <w:bookmarkStart w:id="39" w:name="page40"/>
    <w:bookmarkEnd w:id="39"/>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(in accordance with the notice provision in the Underwriting Agreement) and that any such notice properly delivered will be deemed to have been given to, and received by, the undersigned.</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undersigned hereby further agrees that, prior to engaging in any transaction or taking any other action that is subject to the terms of this Lock-Up Agreement during the period from the date of this Lock-Up Agreement to and including the 34th day following the expiration of the Initial Lock-Up Period, it will give notice thereof to the Company and will not consummate such transaction or take any such action unless it has received written confirmation from the Company that the Lock-Up Period (as such may have been extended pursuant to the previous paragraph) has expired.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agrees that the Company may, and that the undersigned will, (i) with respect to any shares of Common Stock or other Company securities for which the undersigned is the record holder, cause the transfer agent for the Company to note stop transfer instructions with respect to such securities on the transfer books and records of the Company and (ii) with respect to any shares of Common Stock or other Company securities for which the undersigned is the beneficial holder but not the record holder, cause the record holder of such securities to cause the transfer agent for the Company to note stop transfer instructions with respect to such securities on the transfer books and records of the Company.</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addition, the undersigned hereby waives any and all notice requirements and rights with respect to registration of securities pursuant to any agreement, understanding or otherwise setting forth the terms of any security of the Company held by the undersigned, including any registration rights agreement to which the undersigned and the Company may be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waiver shall apply only to the proposed Public Offering, and any other action taken by the Company in connection with the proposed Public Offering. The undersigned hereby agrees that, to the extent that the terms of this Lock-Up Agreement conflict with or are in any way inconsistent with any registration rights agreement to which the undersigned and the Company may be a party, this Lock-Up Agreement supersedes such registration rights agreement.</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shall survive the death or incapacity of the undersigned and any obligations of the undersigned shall be binding upon the heirs, personal representatives, successors and assigns of the undersigned.</w:t>
      </w:r>
    </w:p>
    <w:p>
      <w:pPr>
        <w:spacing w:after="0" w:line="14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Notwithstanding anything herein to the contrary, (a) if the closing of the Public Offering has not occurred prior to November 15, 2012, or (b) if the Underwriting Agreement is terminated prior to such date, this Lock-Up Agreement shall be of no further force or effect.</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40" w:name="page41"/>
    <w:bookmarkEnd w:id="40"/>
    <w:p>
      <w:pPr>
        <w:ind w:left="58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-5715</wp:posOffset>
            </wp:positionV>
            <wp:extent cx="2821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Number of shares owned subject to warrants, options or convertible securities:</w:t>
      </w:r>
      <w:r>
        <w:rPr>
          <w:sz w:val="20"/>
          <w:szCs w:val="20"/>
          <w:color w:val="auto"/>
        </w:rPr>
        <w:tab/>
      </w:r>
      <w:r>
        <w:rPr>
          <w:rFonts w:ascii="Arial" w:cs="Arial" w:eastAsia="Arial" w:hAnsi="Arial"/>
          <w:sz w:val="16"/>
          <w:szCs w:val="16"/>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1658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61658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61658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219"/>
          </w:cols>
          <w:pgMar w:left="240" w:top="307"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acted as counsel to Fluidigm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registration of the offer and sale of up to 4,209,000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$0.001 par value per share, pursuant to the Company’s shelf Registration Statement on Form S-3 (File No. 333-180550) filed on April 4, 2012, as amended on May 7, 2012 and declared effective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May 10, 2012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offering and sale of the Shares are being made pursuant to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dated as of August 16, 2012, by and between the Company and Piper Jaffray &amp; Co. and Cowen and Company, LLC, as representatives of the several Underwriters.</w:t>
      </w:r>
    </w:p>
    <w:p>
      <w:pPr>
        <w:spacing w:after="0" w:line="8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have examined copies of the Underwriting Agreement, the Registration Statement, the base prospectus that forms a part thereof and the prospectus supplement thereto related to the offering of the Shares, which prospectus supplement is dated as of the date hereof and will be filed by the Company in accordance with Rule 424(b) promulgated under the Securities Act of 1933. We have also examined instruments, documents and records which we deemed relevant and necessary for the basis of our opinion hereinafter expressed.</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such examination, we have assumed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Based on and subject to the foregoing, we are of the opinion that the Shares have been duly authorized by the Company and, when issued and delivered by the Company against payment therefor in accordance with the terms of the Underwriting Agreement, will be validly issued, fully paid and nonassessable.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express no opinion as to the laws of any other jurisdiction other than the federal laws of the United States of America and the General Corporation Law of the State of Delaware.</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hereby consent to the use of this opinion as an exhibit to the Company’s Current Report on Form 8-K, filed on or about August 16, 2012, for incorporation by reference into the Registration Statement.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 Professional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Wilson Sonsini Goodrich &amp; Rosati, Professional Corporation</w:t>
      </w:r>
    </w:p>
    <w:p>
      <w:pPr>
        <w:sectPr>
          <w:pgSz w:w="11900" w:h="16838" w:orient="portrait"/>
          <w:cols w:equalWidth="0" w:num="1">
            <w:col w:w="11360"/>
          </w:cols>
          <w:pgMar w:left="240" w:top="280"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Prices $52.2 Million Public Offering of Common Stock</w:t>
      </w:r>
    </w:p>
    <w:p>
      <w:pPr>
        <w:spacing w:after="0" w:line="171"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b w:val="1"/>
          <w:bCs w:val="1"/>
          <w:color w:val="auto"/>
        </w:rPr>
        <w:t xml:space="preserve">SOUTH SAN FRANCISCO, CALIFORNIA </w:t>
      </w:r>
      <w:r>
        <w:rPr>
          <w:rFonts w:ascii="Arial" w:cs="Arial" w:eastAsia="Arial" w:hAnsi="Arial"/>
          <w:sz w:val="16"/>
          <w:szCs w:val="16"/>
          <w:color w:val="auto"/>
        </w:rPr>
        <w:t>– August 16, 2012 – Fluidigm Corporation (NASDAQ: FLDM), a supplier of microfluidic systems for growth</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in the life science and agricultural biotechnology industries, today announced the pricing of an underwritten public offering of 3,660,000 shares of its common stock at a price to the public of $14.25 per share for gross proceeds of $52.2 million. The net proceeds from the sale of the shares, after deducting the underwriters’ discounts and other estimated offering expenses payable by Fluidigm, will be approximately $48.7 million. Fluidigm has also granted the underwriters a 30-day option to purchase up to an additional 15 percent of the shares of common stock offered in the public offering to cover overallotments.</w:t>
      </w:r>
    </w:p>
    <w:p>
      <w:pPr>
        <w:spacing w:after="0" w:line="11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Fluidigm currently plans to use the net proceeds from this offering for research and development, commercialization of its products, working capital and other general corporate purposes. The offering is expected to close on or about August 21, 2012, subject to the satisfaction of customary closing conditions.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Piper Jaffray &amp; Co. and Cowen and Company, LLC are acting as the joint book-running managers for the offering. Leerink Swann LLC, Oppenheimer &amp; Co.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Cantor Fitzgerald &amp; Co. are acting as the co-managers for the offering.</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shelf registration statement (File No. 333-180550) relating to these securities was filed on April 4, 2012, as amended on May 7, 2012, and declared effective by the Securities and Exchange Commission on May 10, 2012. A preliminary prospectus supplement related to the offering was filed with the Securities and Exchange Commission on August 16, 2012. The securities may be offered only by means of a prospectus, including a prospectus supplement, forming a part of the effective registration statement. Copies of the prospectus supplement and accompanying prospectus relating to the offering may be obtained, when available, from Piper Jaffray &amp; Co., Attention: Prospectus Department, 800 Nicollet Mall, J12S03, Minneapolis, MN 55402 or by telephone at 800-747-3924 or by email at prospectus@pjc.com, or from Cowen and Company, LLC (c/o Broadridge Financial Services, 1155 Long Island Avenue, Edgewood, NY, 11717, Attn: Prospectus Department, Phone: 631-274-2806, Fax: 631-254-7140). An electronic copy of the prospectus supplement and accompanying prospectus relating to the offering is available on the website of the Securities and Exchange Commission at www.sec.gov.</w:t>
      </w:r>
    </w:p>
    <w:p>
      <w:pPr>
        <w:spacing w:after="0" w:line="11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color w:val="auto"/>
        </w:rPr>
        <w:t>This press release does not constitute an offer to sell or the solicitation of offers to buy any securities of Fluidigm, and shall not constitute an offer, solicitation or sale of any security in any state or jurisdiction in which such offer, solicitation or sale would be unlawful prior to registration or qualification under the securities laws of any such state or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order to provide Fluidigm’s investors with an understanding of our current intentions and future prospects, this release may contain statements that are forward-looking. Any statements contained in this press release that are not statements of historical fact may be deemed to be forward-looking statements. Words such as “believes,” “anticipates,” “plans,” “expects,” “will,” “intends,” “potential,” “possible” and similar expressions are intended to identify forward-looking statements. These forward-looking statements include our expectations regarding the proposed offering and the use of proceeds from such offering.</w:t>
      </w:r>
    </w:p>
    <w:p>
      <w:pPr>
        <w:sectPr>
          <w:pgSz w:w="11900" w:h="16838" w:orient="portrait"/>
          <w:cols w:equalWidth="0" w:num="1">
            <w:col w:w="11420"/>
          </w:cols>
          <w:pgMar w:left="240" w:top="125" w:right="239" w:bottom="1440" w:gutter="0" w:footer="0" w:header="0"/>
        </w:sectPr>
      </w:pPr>
    </w:p>
    <w:bookmarkStart w:id="44" w:name="page45"/>
    <w:bookmarkEnd w:id="44"/>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 involve risks and uncertainties related to our business and the general economic environment, many beyond our control. These risks, uncertainties and other factors could cause our actual results to differ materially from those projected in forward-looking statements, including market risk and the risks we identify in reports filed with the SEC.</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we believe that the forward-looking statements contained herein are reasonable, we can give no assurance that our expectations are correct. All forward-looking statements are expressly qualified in their entirety by this cautionary statement. For a detailed description of our risks and uncertainties, you are encouraged to review the official corporate documents filed with the SEC. Fluidigm does not undertake any obligation to publicly update its forward-looking statements based on events or circumstances after the date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Fluidigm Corporation (NASDAQ:FLDM) develops, manufactures and markets microfluidic systems for growth markets in the life science and agricultural biotechnology, or Ag-Bio, industries. Fluidigm’s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Fluidigm actively markets four microfluidic systems, including nine different commercial chips, to leading academic institutions, diagnostic laboratories, and pharmaceutical, biotechnology and Ag-Bio companies. Fluidigm products are marketed for research purposes only (not for diagnostic 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Howard High – Press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howard.high@fluidigm.com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2"/>
    </w:lvl>
  </w:abstractNum>
  <w:abstractNum w:abstractNumId="2">
    <w:nsid w:val="75A2A8D4"/>
    <w:multiLevelType w:val="hybridMultilevel"/>
    <w:lvl w:ilvl="0">
      <w:lvlJc w:val="left"/>
      <w:lvlText w:val="%1."/>
      <w:numFmt w:val="decimal"/>
      <w:start w:val="1"/>
    </w:lvl>
    <w:lvl w:ilvl="1">
      <w:lvlJc w:val="left"/>
      <w:lvlText w:val="(%2)"/>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3"/>
    </w:lvl>
    <w:lvl w:ilvl="1">
      <w:lvlJc w:val="left"/>
      <w:lvlText w:val="-"/>
      <w:numFmt w:val="bullet"/>
      <w:start w:val="1"/>
    </w:lvl>
  </w:abstractNum>
  <w:abstractNum w:abstractNumId="5">
    <w:nsid w:val="4353D0CD"/>
    <w:multiLevelType w:val="hybridMultilevel"/>
    <w:lvl w:ilvl="0">
      <w:lvlJc w:val="left"/>
      <w:lvlText w:val="(%1)"/>
      <w:numFmt w:val="lowerLetter"/>
      <w:start w:val="4"/>
    </w:lvl>
    <w:lvl w:ilvl="1">
      <w:lvlJc w:val="left"/>
      <w:lvlText w:val="-"/>
      <w:numFmt w:val="bullet"/>
      <w:start w:val="1"/>
    </w:lvl>
  </w:abstractNum>
  <w:abstractNum w:abstractNumId="6">
    <w:nsid w:val="B03E0C6"/>
    <w:multiLevelType w:val="hybridMultilevel"/>
    <w:lvl w:ilvl="0">
      <w:lvlJc w:val="left"/>
      <w:lvlText w:val="(%1)"/>
      <w:numFmt w:val="lowerLetter"/>
      <w:start w:val="7"/>
    </w:lvl>
    <w:lvl w:ilvl="1">
      <w:lvlJc w:val="left"/>
      <w:lvlText w:val="-"/>
      <w:numFmt w:val="bullet"/>
      <w:start w:val="1"/>
    </w:lvl>
  </w:abstractNum>
  <w:abstractNum w:abstractNumId="7">
    <w:nsid w:val="189A769B"/>
    <w:multiLevelType w:val="hybridMultilevel"/>
    <w:lvl w:ilvl="0">
      <w:lvlJc w:val="left"/>
      <w:lvlText w:val="(%1)"/>
      <w:numFmt w:val="lowerLetter"/>
      <w:start w:val="11"/>
    </w:lvl>
    <w:lvl w:ilvl="1">
      <w:lvlJc w:val="left"/>
      <w:lvlText w:val="-"/>
      <w:numFmt w:val="bullet"/>
      <w:start w:val="1"/>
    </w:lvl>
  </w:abstractNum>
  <w:abstractNum w:abstractNumId="8">
    <w:nsid w:val="54E49EB4"/>
    <w:multiLevelType w:val="hybridMultilevel"/>
    <w:lvl w:ilvl="0">
      <w:lvlJc w:val="left"/>
      <w:lvlText w:val="(%1)"/>
      <w:numFmt w:val="lowerLetter"/>
      <w:start w:val="17"/>
    </w:lvl>
    <w:lvl w:ilvl="1">
      <w:lvlJc w:val="left"/>
      <w:lvlText w:val="-"/>
      <w:numFmt w:val="bullet"/>
      <w:start w:val="1"/>
    </w:lvl>
  </w:abstractNum>
  <w:abstractNum w:abstractNumId="9">
    <w:nsid w:val="71F32454"/>
    <w:multiLevelType w:val="hybridMultilevel"/>
    <w:lvl w:ilvl="0">
      <w:lvlJc w:val="left"/>
      <w:lvlText w:val="(%1)"/>
      <w:numFmt w:val="lowerLetter"/>
      <w:start w:val="21"/>
    </w:lvl>
    <w:lvl w:ilvl="1">
      <w:lvlJc w:val="left"/>
      <w:lvlText w:val="-"/>
      <w:numFmt w:val="bullet"/>
      <w:start w:val="1"/>
    </w:lvl>
  </w:abstractNum>
  <w:abstractNum w:abstractNumId="10">
    <w:nsid w:val="2CA88611"/>
    <w:multiLevelType w:val="hybridMultilevel"/>
    <w:lvl w:ilvl="0">
      <w:lvlJc w:val="left"/>
      <w:lvlText w:val="(%1)"/>
      <w:numFmt w:val="lowerLetter"/>
      <w:start w:val="24"/>
    </w:lvl>
  </w:abstractNum>
  <w:abstractNum w:abstractNumId="11">
    <w:nsid w:val="836C40E"/>
    <w:multiLevelType w:val="hybridMultilevel"/>
    <w:lvl w:ilvl="0">
      <w:lvlJc w:val="left"/>
      <w:lvlText w:val="(%1)"/>
      <w:numFmt w:val="lowerLetter"/>
      <w:start w:val="27"/>
    </w:lvl>
    <w:lvl w:ilvl="1">
      <w:lvlJc w:val="left"/>
      <w:lvlText w:val="-"/>
      <w:numFmt w:val="bullet"/>
      <w:start w:val="1"/>
    </w:lvl>
  </w:abstractNum>
  <w:abstractNum w:abstractNumId="12">
    <w:nsid w:val="2901D82"/>
    <w:multiLevelType w:val="hybridMultilevel"/>
    <w:lvl w:ilvl="0">
      <w:lvlJc w:val="left"/>
      <w:lvlText w:val="(%1)"/>
      <w:numFmt w:val="lowerLetter"/>
      <w:start w:val="29"/>
    </w:lvl>
    <w:lvl w:ilvl="1">
      <w:lvlJc w:val="left"/>
      <w:lvlText w:val="-"/>
      <w:numFmt w:val="bullet"/>
      <w:start w:val="1"/>
    </w:lvl>
  </w:abstractNum>
  <w:abstractNum w:abstractNumId="13">
    <w:nsid w:val="3A95F874"/>
    <w:multiLevelType w:val="hybridMultilevel"/>
    <w:lvl w:ilvl="0">
      <w:lvlJc w:val="left"/>
      <w:lvlText w:val="(%1)"/>
      <w:numFmt w:val="lowerLetter"/>
      <w:start w:val="36"/>
    </w:lvl>
    <w:lvl w:ilvl="1">
      <w:lvlJc w:val="left"/>
      <w:lvlText w:val="-"/>
      <w:numFmt w:val="bullet"/>
      <w:start w:val="1"/>
    </w:lvl>
  </w:abstractNum>
  <w:abstractNum w:abstractNumId="14">
    <w:nsid w:val="8138641"/>
    <w:multiLevelType w:val="hybridMultilevel"/>
    <w:lvl w:ilvl="0">
      <w:lvlJc w:val="left"/>
      <w:lvlText w:val="(%1)"/>
      <w:numFmt w:val="lowerRoman"/>
      <w:start w:val="4"/>
    </w:lvl>
    <w:lvl w:ilvl="1">
      <w:lvlJc w:val="left"/>
      <w:lvlText w:val="(%2)"/>
      <w:numFmt w:val="lowerLetter"/>
      <w:start w:val="42"/>
    </w:lvl>
    <w:lvl w:ilvl="2">
      <w:lvlJc w:val="left"/>
      <w:lvlText w:val="-"/>
      <w:numFmt w:val="bullet"/>
      <w:start w:val="1"/>
    </w:lvl>
  </w:abstractNum>
  <w:abstractNum w:abstractNumId="15">
    <w:nsid w:val="1E7FF521"/>
    <w:multiLevelType w:val="hybridMultilevel"/>
    <w:lvl w:ilvl="0">
      <w:lvlJc w:val="left"/>
      <w:lvlText w:val="%1"/>
      <w:numFmt w:val="decimal"/>
      <w:start w:val="1"/>
    </w:lvl>
    <w:lvl w:ilvl="1">
      <w:lvlJc w:val="left"/>
      <w:lvlText w:val="(%2)"/>
      <w:numFmt w:val="lowerLetter"/>
      <w:start w:val="43"/>
    </w:lvl>
    <w:lvl w:ilvl="2">
      <w:lvlJc w:val="left"/>
      <w:lvlText w:val="-"/>
      <w:numFmt w:val="bullet"/>
      <w:start w:val="1"/>
    </w:lvl>
  </w:abstractNum>
  <w:abstractNum w:abstractNumId="16">
    <w:nsid w:val="7C3DBD3D"/>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7">
    <w:nsid w:val="737B8DDC"/>
    <w:multiLevelType w:val="hybridMultilevel"/>
    <w:lvl w:ilvl="0">
      <w:lvlJc w:val="left"/>
      <w:lvlText w:val="%1."/>
      <w:numFmt w:val="decimal"/>
      <w:start w:val="3"/>
    </w:lvl>
  </w:abstractNum>
  <w:abstractNum w:abstractNumId="18">
    <w:nsid w:val="6CEAF087"/>
    <w:multiLevelType w:val="hybridMultilevel"/>
    <w:lvl w:ilvl="0">
      <w:lvlJc w:val="left"/>
      <w:lvlText w:val="(%1)"/>
      <w:numFmt w:val="lowerLetter"/>
      <w:start w:val="1"/>
    </w:lvl>
    <w:lvl w:ilvl="1">
      <w:lvlJc w:val="left"/>
      <w:lvlText w:val="-"/>
      <w:numFmt w:val="bullet"/>
      <w:start w:val="1"/>
    </w:lvl>
  </w:abstractNum>
  <w:abstractNum w:abstractNumId="19">
    <w:nsid w:val="22221A70"/>
    <w:multiLevelType w:val="hybridMultilevel"/>
    <w:lvl w:ilvl="0">
      <w:lvlJc w:val="left"/>
      <w:lvlText w:val="(%1)"/>
      <w:numFmt w:val="lowerLetter"/>
      <w:start w:val="2"/>
    </w:lvl>
    <w:lvl w:ilvl="1">
      <w:lvlJc w:val="left"/>
      <w:lvlText w:val="-"/>
      <w:numFmt w:val="bullet"/>
      <w:start w:val="1"/>
    </w:lvl>
  </w:abstractNum>
  <w:abstractNum w:abstractNumId="20">
    <w:nsid w:val="4516DDE9"/>
    <w:multiLevelType w:val="hybridMultilevel"/>
    <w:lvl w:ilvl="0">
      <w:lvlJc w:val="left"/>
      <w:lvlText w:val="(%1)"/>
      <w:numFmt w:val="lowerLetter"/>
      <w:start w:val="6"/>
    </w:lvl>
    <w:lvl w:ilvl="1">
      <w:lvlJc w:val="left"/>
      <w:lvlText w:val="-"/>
      <w:numFmt w:val="bullet"/>
      <w:start w:val="1"/>
    </w:lvl>
  </w:abstractNum>
  <w:abstractNum w:abstractNumId="21">
    <w:nsid w:val="3006C83E"/>
    <w:multiLevelType w:val="hybridMultilevel"/>
    <w:lvl w:ilvl="0">
      <w:lvlJc w:val="left"/>
      <w:lvlText w:val="%1"/>
      <w:numFmt w:val="lowerLetter"/>
      <w:start w:val="1"/>
    </w:lvl>
    <w:lvl w:ilvl="1">
      <w:lvlJc w:val="left"/>
      <w:lvlText w:val="(%2)"/>
      <w:numFmt w:val="lowerLetter"/>
      <w:start w:val="9"/>
    </w:lvl>
  </w:abstractNum>
  <w:abstractNum w:abstractNumId="22">
    <w:nsid w:val="614FD4A1"/>
    <w:multiLevelType w:val="hybridMultilevel"/>
    <w:lvl w:ilvl="0">
      <w:lvlJc w:val="left"/>
      <w:lvlText w:val="(%1)"/>
      <w:numFmt w:val="lowerLetter"/>
      <w:start w:val="10"/>
    </w:lvl>
    <w:lvl w:ilvl="1">
      <w:lvlJc w:val="left"/>
      <w:lvlText w:val="%2"/>
      <w:numFmt w:val="lowerLetter"/>
      <w:start w:val="1"/>
    </w:lvl>
  </w:abstractNum>
  <w:abstractNum w:abstractNumId="23">
    <w:nsid w:val="419AC241"/>
    <w:multiLevelType w:val="hybridMultilevel"/>
    <w:lvl w:ilvl="0">
      <w:lvlJc w:val="left"/>
      <w:lvlText w:val="(%1)"/>
      <w:numFmt w:val="lowerLetter"/>
      <w:start w:val="11"/>
    </w:lvl>
    <w:lvl w:ilvl="1">
      <w:lvlJc w:val="left"/>
      <w:lvlText w:val="-"/>
      <w:numFmt w:val="bullet"/>
      <w:start w:val="1"/>
    </w:lvl>
  </w:abstractNum>
  <w:abstractNum w:abstractNumId="24">
    <w:nsid w:val="5577F8E1"/>
    <w:multiLevelType w:val="hybridMultilevel"/>
    <w:lvl w:ilvl="0">
      <w:lvlJc w:val="left"/>
      <w:lvlText w:val="(%1)"/>
      <w:numFmt w:val="lowerLetter"/>
      <w:start w:val="14"/>
    </w:lvl>
  </w:abstractNum>
  <w:abstractNum w:abstractNumId="25">
    <w:nsid w:val="440BADFC"/>
    <w:multiLevelType w:val="hybridMultilevel"/>
    <w:lvl w:ilvl="0">
      <w:lvlJc w:val="left"/>
      <w:lvlText w:val="%1."/>
      <w:numFmt w:val="decimal"/>
      <w:start w:val="5"/>
    </w:lvl>
  </w:abstractNum>
  <w:abstractNum w:abstractNumId="26">
    <w:nsid w:val="5072367"/>
    <w:multiLevelType w:val="hybridMultilevel"/>
    <w:lvl w:ilvl="0">
      <w:lvlJc w:val="left"/>
      <w:lvlText w:val="%1."/>
      <w:numFmt w:val="decimal"/>
      <w:start w:val="6"/>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4"/>
    </w:lvl>
    <w:lvl w:ilvl="1">
      <w:lvlJc w:val="left"/>
      <w:lvlText w:val="-"/>
      <w:numFmt w:val="bullet"/>
      <w:start w:val="1"/>
    </w:lvl>
  </w:abstractNum>
  <w:abstractNum w:abstractNumId="29">
    <w:nsid w:val="7724C67E"/>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30">
    <w:nsid w:val="5C482A97"/>
    <w:multiLevelType w:val="hybridMultilevel"/>
    <w:lvl w:ilvl="0">
      <w:lvlJc w:val="left"/>
      <w:lvlText w:val="%1"/>
      <w:numFmt w:val="lowerLetter"/>
      <w:start w:val="1"/>
    </w:lvl>
    <w:lvl w:ilvl="1">
      <w:lvlJc w:val="left"/>
      <w:lvlText w:val="(%2)"/>
      <w:numFmt w:val="lowerRoman"/>
      <w:start w:val="6"/>
    </w:lvl>
  </w:abstractNum>
  <w:abstractNum w:abstractNumId="31">
    <w:nsid w:val="2463B9EA"/>
    <w:multiLevelType w:val="hybridMultilevel"/>
    <w:lvl w:ilvl="0">
      <w:lvlJc w:val="left"/>
      <w:lvlText w:val="(%1)"/>
      <w:numFmt w:val="lowerLetter"/>
      <w:start w:val="9"/>
    </w:lvl>
    <w:lvl w:ilvl="1">
      <w:lvlJc w:val="left"/>
      <w:lvlText w:val="%2"/>
      <w:numFmt w:val="lowerRoman"/>
      <w:start w:val="1"/>
    </w:lvl>
  </w:abstractNum>
  <w:abstractNum w:abstractNumId="32">
    <w:nsid w:val="5E884ADC"/>
    <w:multiLevelType w:val="hybridMultilevel"/>
    <w:lvl w:ilvl="0">
      <w:lvlJc w:val="left"/>
      <w:lvlText w:val="%1."/>
      <w:numFmt w:val="decimal"/>
      <w:start w:val="7"/>
    </w:lvl>
  </w:abstractNum>
  <w:abstractNum w:abstractNumId="33">
    <w:nsid w:val="51EAD36B"/>
    <w:multiLevelType w:val="hybridMultilevel"/>
    <w:lvl w:ilvl="0">
      <w:lvlJc w:val="left"/>
      <w:lvlText w:val="%1."/>
      <w:numFmt w:val="decimal"/>
      <w:start w:val="8"/>
    </w:lvl>
  </w:abstractNum>
  <w:abstractNum w:abstractNumId="34">
    <w:nsid w:val="2D51779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
    <w:nsid w:val="580BD78F"/>
    <w:multiLevelType w:val="hybridMultilevel"/>
    <w:lvl w:ilvl="0">
      <w:lvlJc w:val="left"/>
      <w:lvlText w:val="(%1)"/>
      <w:numFmt w:val="lowerLetter"/>
      <w:start w:val="3"/>
    </w:lvl>
    <w:lvl w:ilvl="1">
      <w:lvlJc w:val="left"/>
      <w:lvlText w:val="-"/>
      <w:numFmt w:val="bullet"/>
      <w:start w:val="1"/>
    </w:lvl>
  </w:abstractNum>
  <w:abstractNum w:abstractNumId="36">
    <w:nsid w:val="153EA438"/>
    <w:multiLevelType w:val="hybridMultilevel"/>
    <w:lvl w:ilvl="0">
      <w:lvlJc w:val="left"/>
      <w:lvlText w:val="(%1)"/>
      <w:numFmt w:val="lowerLetter"/>
      <w:start w:val="4"/>
    </w:lvl>
  </w:abstractNum>
  <w:abstractNum w:abstractNumId="37">
    <w:nsid w:val="3855585C"/>
    <w:multiLevelType w:val="hybridMultilevel"/>
    <w:lvl w:ilvl="0">
      <w:lvlJc w:val="left"/>
      <w:lvlText w:val="%1"/>
      <w:numFmt w:val="lowerLetter"/>
      <w:start w:val="1"/>
    </w:lvl>
    <w:lvl w:ilvl="1">
      <w:lvlJc w:val="left"/>
      <w:lvlText w:val="(%2)"/>
      <w:numFmt w:val="lowerLetter"/>
      <w:start w:val="7"/>
    </w:lvl>
  </w:abstractNum>
  <w:abstractNum w:abstractNumId="38">
    <w:nsid w:val="70A64E2A"/>
    <w:multiLevelType w:val="hybridMultilevel"/>
    <w:lvl w:ilvl="0">
      <w:lvlJc w:val="left"/>
      <w:lvlText w:val="(%1)"/>
      <w:numFmt w:val="lowerLetter"/>
      <w:start w:val="61"/>
    </w:lvl>
    <w:lvl w:ilvl="1">
      <w:lvlJc w:val="left"/>
      <w:lvlText w:val="%2"/>
      <w:numFmt w:val="lowerLetter"/>
      <w:start w:val="1"/>
    </w:lvl>
  </w:abstractNum>
  <w:abstractNum w:abstractNumId="39">
    <w:nsid w:val="6A2342EC"/>
    <w:multiLevelType w:val="hybridMultilevel"/>
    <w:lvl w:ilvl="0">
      <w:lvlJc w:val="left"/>
      <w:lvlText w:val="%1."/>
      <w:numFmt w:val="decimal"/>
      <w:start w:val="9"/>
    </w:lvl>
  </w:abstractNum>
  <w:abstractNum w:abstractNumId="40">
    <w:nsid w:val="2A487CB0"/>
    <w:multiLevelType w:val="hybridMultilevel"/>
    <w:lvl w:ilvl="0">
      <w:lvlJc w:val="left"/>
      <w:lvlText w:val="%1."/>
      <w:numFmt w:val="decimal"/>
      <w:start w:val="10"/>
    </w:lvl>
  </w:abstractNum>
  <w:abstractNum w:abstractNumId="41">
    <w:nsid w:val="1D4ED43B"/>
    <w:multiLevelType w:val="hybridMultilevel"/>
    <w:lvl w:ilvl="0">
      <w:lvlJc w:val="left"/>
      <w:lvlText w:val="%1."/>
      <w:numFmt w:val="decimal"/>
      <w:start w:val="11"/>
    </w:lvl>
  </w:abstractNum>
  <w:abstractNum w:abstractNumId="42">
    <w:nsid w:val="725A06FB"/>
    <w:multiLevelType w:val="hybridMultilevel"/>
    <w:lvl w:ilvl="0">
      <w:lvlJc w:val="left"/>
      <w:lvlText w:val="(%1)"/>
      <w:numFmt w:val="lowerRoman"/>
      <w:start w:val="7"/>
    </w:lvl>
    <w:lvl w:ilvl="1">
      <w:lvlJc w:val="left"/>
      <w:lvlText w:val="%2."/>
      <w:numFmt w:val="decimal"/>
      <w:start w:val="12"/>
    </w:lvl>
  </w:abstractNum>
  <w:abstractNum w:abstractNumId="43">
    <w:nsid w:val="2CD89A32"/>
    <w:multiLevelType w:val="hybridMultilevel"/>
    <w:lvl w:ilvl="0">
      <w:lvlJc w:val="left"/>
      <w:lvlText w:val="%1."/>
      <w:numFmt w:val="decimal"/>
      <w:start w:val="13"/>
    </w:lvl>
  </w:abstractNum>
  <w:abstractNum w:abstractNumId="44">
    <w:nsid w:val="57E4CCAF"/>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2019-12-09T14:35:01Z</dcterms:created>
  <dcterms:modified xsi:type="dcterms:W3CDTF">2019-12-09T14:35:01Z</dcterms:modified>
</cp:coreProperties>
</file>