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27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70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JOG VIKRAM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03/12/2015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CHIEF FINANCIAL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4,800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7"/>
              <w:spacing w:after="0" w:line="148" w:lineRule="exact"/>
              <w:rPr>
                <w:sz w:val="20"/>
                <w:szCs w:val="20"/>
                <w:color w:val="auto"/>
              </w:rPr>
            </w:pPr>
            <w:r>
              <w:rPr>
                <w:rFonts w:ascii="Arial" w:cs="Arial" w:eastAsia="Arial" w:hAnsi="Arial"/>
                <w:sz w:val="13"/>
                <w:szCs w:val="13"/>
                <w:color w:val="0000FF"/>
              </w:rPr>
              <w:t>03/12/2015</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4,800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58"/>
              <w:spacing w:after="0" w:line="148" w:lineRule="exact"/>
              <w:rPr>
                <w:sz w:val="20"/>
                <w:szCs w:val="20"/>
                <w:color w:val="auto"/>
              </w:rPr>
            </w:pPr>
            <w:r>
              <w:rPr>
                <w:rFonts w:ascii="Arial" w:cs="Arial" w:eastAsia="Arial" w:hAnsi="Arial"/>
                <w:sz w:val="13"/>
                <w:szCs w:val="13"/>
                <w:color w:val="0000FF"/>
              </w:rPr>
              <w:t>4,800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12,000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41.14</w:t>
            </w: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03/12/2015</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12,000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03/12/2025</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line="132" w:lineRule="exact"/>
              <w:rPr>
                <w:sz w:val="20"/>
                <w:szCs w:val="20"/>
                <w:color w:val="auto"/>
              </w:rPr>
            </w:pPr>
            <w:r>
              <w:rPr>
                <w:rFonts w:ascii="Arial" w:cs="Arial" w:eastAsia="Arial" w:hAnsi="Arial"/>
                <w:sz w:val="13"/>
                <w:szCs w:val="13"/>
                <w:color w:val="0000FF"/>
              </w:rPr>
              <w:t>12,000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4/48th of the total number of shares underlying the Restricted Stock Units granted will vest on May 20, 2015, and 3/48th of the total number of shares underlying the Restricted Stock Units granted will vest every three months thereafter until fully vested, subject to recipient's continued employment through the applicable vest date.</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2/48th of the shares subject to the Option vested on March 12, 2015 and 1/48th of the shares subject to the Option vest on April 1, 2015 and each month thereafter, such that the Option will be fully vested on January 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03/16/2015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77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65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573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2019-12-07T23:19:10Z</dcterms:created>
  <dcterms:modified xsi:type="dcterms:W3CDTF">2019-12-07T23:19:10Z</dcterms:modified>
</cp:coreProperties>
</file>