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SCHEDULE 13D/A</w:t>
      </w:r>
    </w:p>
    <w:p>
      <w:pPr>
        <w:spacing w:after="0" w:line="243" w:lineRule="exact"/>
        <w:rPr>
          <w:sz w:val="24"/>
          <w:szCs w:val="24"/>
          <w:color w:val="auto"/>
        </w:rPr>
      </w:pPr>
    </w:p>
    <w:p>
      <w:pPr>
        <w:jc w:val="center"/>
        <w:ind w:left="360" w:right="2360"/>
        <w:spacing w:after="0" w:line="254" w:lineRule="auto"/>
        <w:rPr>
          <w:sz w:val="20"/>
          <w:szCs w:val="20"/>
          <w:color w:val="auto"/>
        </w:rPr>
      </w:pPr>
      <w:r>
        <w:rPr>
          <w:rFonts w:ascii="Times New Roman" w:cs="Times New Roman" w:eastAsia="Times New Roman" w:hAnsi="Times New Roman"/>
          <w:sz w:val="20"/>
          <w:szCs w:val="20"/>
          <w:color w:val="auto"/>
        </w:rPr>
        <w:t>INFORMATION TO BE INCLUDED IN STATEMENTS FILED PURSUANT TO RULE 13d-1(a) AND AMENDMENTS THERETO FILED PURSUANT TO RULE 13d-2(a)</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(Amendment No. 3)*</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2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0"/>
          <w:szCs w:val="20"/>
          <w:color w:val="auto"/>
        </w:rPr>
        <w:t>David Johnson</w:t>
      </w:r>
    </w:p>
    <w:p>
      <w:pPr>
        <w:spacing w:after="0" w:line="2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0"/>
          <w:szCs w:val="20"/>
          <w:color w:val="auto"/>
        </w:rPr>
        <w:t>Caligan Partners LP</w:t>
      </w:r>
    </w:p>
    <w:p>
      <w:pPr>
        <w:ind w:left="4780"/>
        <w:spacing w:after="0"/>
        <w:rPr>
          <w:sz w:val="20"/>
          <w:szCs w:val="20"/>
          <w:color w:val="auto"/>
        </w:rPr>
      </w:pPr>
      <w:r>
        <w:rPr>
          <w:rFonts w:ascii="Times New Roman" w:cs="Times New Roman" w:eastAsia="Times New Roman" w:hAnsi="Times New Roman"/>
          <w:sz w:val="20"/>
          <w:szCs w:val="20"/>
          <w:color w:val="auto"/>
        </w:rPr>
        <w:t>590 Madison Avenue</w:t>
      </w:r>
    </w:p>
    <w:p>
      <w:pPr>
        <w:ind w:left="4760"/>
        <w:spacing w:after="0"/>
        <w:rPr>
          <w:sz w:val="20"/>
          <w:szCs w:val="20"/>
          <w:color w:val="auto"/>
        </w:rPr>
      </w:pPr>
      <w:r>
        <w:rPr>
          <w:rFonts w:ascii="Times New Roman" w:cs="Times New Roman" w:eastAsia="Times New Roman" w:hAnsi="Times New Roman"/>
          <w:sz w:val="20"/>
          <w:szCs w:val="20"/>
          <w:color w:val="auto"/>
        </w:rPr>
        <w:t>New York, NY 10022</w:t>
      </w:r>
    </w:p>
    <w:p>
      <w:pPr>
        <w:ind w:left="5060"/>
        <w:spacing w:after="0"/>
        <w:rPr>
          <w:sz w:val="20"/>
          <w:szCs w:val="20"/>
          <w:color w:val="auto"/>
        </w:rPr>
      </w:pPr>
      <w:r>
        <w:rPr>
          <w:rFonts w:ascii="Times New Roman" w:cs="Times New Roman" w:eastAsia="Times New Roman" w:hAnsi="Times New Roman"/>
          <w:sz w:val="20"/>
          <w:szCs w:val="20"/>
          <w:color w:val="auto"/>
        </w:rPr>
        <w:t>(646) 859-8204</w:t>
      </w:r>
    </w:p>
    <w:p>
      <w:pPr>
        <w:spacing w:after="0" w:line="2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color w:val="auto"/>
        </w:rPr>
        <w:t>Eleazer Klein, Esq.</w:t>
      </w:r>
    </w:p>
    <w:p>
      <w:pPr>
        <w:spacing w:after="0" w:line="2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color w:val="auto"/>
        </w:rPr>
        <w:t>Schulte Roth &amp; Zabel LLP</w:t>
      </w:r>
    </w:p>
    <w:p>
      <w:pPr>
        <w:ind w:left="4960"/>
        <w:spacing w:after="0"/>
        <w:rPr>
          <w:sz w:val="20"/>
          <w:szCs w:val="20"/>
          <w:color w:val="auto"/>
        </w:rPr>
      </w:pPr>
      <w:r>
        <w:rPr>
          <w:rFonts w:ascii="Times New Roman" w:cs="Times New Roman" w:eastAsia="Times New Roman" w:hAnsi="Times New Roman"/>
          <w:sz w:val="20"/>
          <w:szCs w:val="20"/>
          <w:color w:val="auto"/>
        </w:rPr>
        <w:t>919 Third Avenue</w:t>
      </w:r>
    </w:p>
    <w:p>
      <w:pPr>
        <w:ind w:left="4800"/>
        <w:spacing w:after="0"/>
        <w:rPr>
          <w:sz w:val="20"/>
          <w:szCs w:val="20"/>
          <w:color w:val="auto"/>
        </w:rPr>
      </w:pPr>
      <w:r>
        <w:rPr>
          <w:rFonts w:ascii="Times New Roman" w:cs="Times New Roman" w:eastAsia="Times New Roman" w:hAnsi="Times New Roman"/>
          <w:sz w:val="20"/>
          <w:szCs w:val="20"/>
          <w:color w:val="auto"/>
        </w:rPr>
        <w:t>New York, NY 10022</w:t>
      </w:r>
    </w:p>
    <w:p>
      <w:pPr>
        <w:ind w:left="5000"/>
        <w:spacing w:after="0"/>
        <w:rPr>
          <w:sz w:val="20"/>
          <w:szCs w:val="20"/>
          <w:color w:val="auto"/>
        </w:rPr>
      </w:pPr>
      <w:r>
        <w:rPr>
          <w:rFonts w:ascii="Times New Roman" w:cs="Times New Roman" w:eastAsia="Times New Roman" w:hAnsi="Times New Roman"/>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June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30" w:lineRule="exact"/>
        <w:rPr>
          <w:sz w:val="24"/>
          <w:szCs w:val="24"/>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(Page 1 of 6 Pages)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ind w:right="340" w:firstLine="8"/>
        <w:spacing w:after="0" w:line="246" w:lineRule="auto"/>
        <w:tabs>
          <w:tab w:leader="none" w:pos="1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5"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00"/>
          </w:cols>
          <w:pgMar w:left="320" w:top="220"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34385P108</w:t>
            </w:r>
          </w:p>
        </w:tc>
        <w:tc>
          <w:tcPr>
            <w:tcW w:w="634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SCHEDULE 13D/A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2 of 6 Pages</w:t>
            </w:r>
          </w:p>
        </w:tc>
        <w:tc>
          <w:tcPr>
            <w:tcW w:w="0" w:type="dxa"/>
            <w:vAlign w:val="bottom"/>
          </w:tcPr>
          <w:p>
            <w:pPr>
              <w:spacing w:after="0"/>
              <w:rPr>
                <w:sz w:val="1"/>
                <w:szCs w:val="1"/>
                <w:color w:val="auto"/>
              </w:rPr>
            </w:pPr>
          </w:p>
        </w:tc>
      </w:tr>
      <w:tr>
        <w:trPr>
          <w:trHeight w:val="351"/>
        </w:trPr>
        <w:tc>
          <w:tcPr>
            <w:tcW w:w="18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2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1</w:t>
            </w:r>
          </w:p>
        </w:tc>
        <w:tc>
          <w:tcPr>
            <w:tcW w:w="6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20" w:type="dxa"/>
            <w:vAlign w:val="bottom"/>
            <w:vMerge w:val="continue"/>
          </w:tcPr>
          <w:p>
            <w:pPr>
              <w:spacing w:after="0"/>
              <w:rPr>
                <w:sz w:val="15"/>
                <w:szCs w:val="15"/>
                <w:color w:val="auto"/>
              </w:rPr>
            </w:pPr>
          </w:p>
        </w:tc>
        <w:tc>
          <w:tcPr>
            <w:tcW w:w="63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Caligan Partners LP</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2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2</w:t>
            </w:r>
          </w:p>
        </w:tc>
        <w:tc>
          <w:tcPr>
            <w:tcW w:w="6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22"/>
        </w:trPr>
        <w:tc>
          <w:tcPr>
            <w:tcW w:w="1820" w:type="dxa"/>
            <w:vAlign w:val="bottom"/>
            <w:vMerge w:val="continue"/>
          </w:tcPr>
          <w:p>
            <w:pPr>
              <w:spacing w:after="0"/>
              <w:rPr>
                <w:sz w:val="10"/>
                <w:szCs w:val="10"/>
                <w:color w:val="auto"/>
              </w:rPr>
            </w:pPr>
          </w:p>
        </w:tc>
        <w:tc>
          <w:tcPr>
            <w:tcW w:w="634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7"/>
        </w:trPr>
        <w:tc>
          <w:tcPr>
            <w:tcW w:w="18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8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8"/>
                <w:szCs w:val="2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-869950</wp:posOffset>
            </wp:positionV>
            <wp:extent cx="7132320" cy="5349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ind w:left="1920" w:hanging="1079"/>
        <w:spacing w:after="0" w:line="184" w:lineRule="auto"/>
        <w:tabs>
          <w:tab w:leader="none" w:pos="1920" w:val="left"/>
        </w:tabs>
        <w:numPr>
          <w:ilvl w:val="0"/>
          <w:numId w:val="2"/>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SOURCE OF FUNDS</w:t>
            </w:r>
          </w:p>
        </w:tc>
        <w:tc>
          <w:tcPr>
            <w:tcW w:w="6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AF</w:t>
            </w:r>
          </w:p>
        </w:tc>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5</w:t>
            </w:r>
          </w:p>
        </w:tc>
        <w:tc>
          <w:tcPr>
            <w:tcW w:w="7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CHECK BOX IF DISCLOSURE OF LEGAL PROCEEDING IS REQUIRED PURSUANT TO ITEMS 2(d) or 2(e)</w:t>
            </w:r>
          </w:p>
        </w:tc>
        <w:tc>
          <w:tcPr>
            <w:tcW w:w="1560" w:type="dxa"/>
            <w:vAlign w:val="bottom"/>
          </w:tcPr>
          <w:p>
            <w:pPr>
              <w:ind w:left="3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880" w:type="dxa"/>
            <w:vAlign w:val="bottom"/>
            <w:gridSpan w:val="3"/>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7880" w:type="dxa"/>
            <w:vAlign w:val="bottom"/>
            <w:tcBorders>
              <w:bottom w:val="single" w:sz="8" w:color="auto"/>
            </w:tcBorders>
            <w:gridSpan w:val="3"/>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78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8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SOLE VOTING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8</w:t>
            </w:r>
          </w:p>
        </w:tc>
        <w:tc>
          <w:tcPr>
            <w:tcW w:w="80" w:type="dxa"/>
            <w:vAlign w:val="bottom"/>
          </w:tcPr>
          <w:p>
            <w:pPr>
              <w:spacing w:after="0"/>
              <w:rPr>
                <w:sz w:val="8"/>
                <w:szCs w:val="8"/>
                <w:color w:val="auto"/>
              </w:rPr>
            </w:pPr>
          </w:p>
        </w:tc>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VOTING POWER</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10,423,188 shares of Common Stock</w:t>
            </w: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3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9</w:t>
            </w:r>
          </w:p>
        </w:tc>
        <w:tc>
          <w:tcPr>
            <w:tcW w:w="80" w:type="dxa"/>
            <w:vAlign w:val="bottom"/>
          </w:tcPr>
          <w:p>
            <w:pPr>
              <w:spacing w:after="0"/>
              <w:rPr>
                <w:sz w:val="8"/>
                <w:szCs w:val="8"/>
                <w:color w:val="auto"/>
              </w:rPr>
            </w:pPr>
          </w:p>
        </w:tc>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DISPOSITIVE POWER</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3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80" w:type="dxa"/>
            <w:vAlign w:val="bottom"/>
          </w:tcPr>
          <w:p>
            <w:pPr>
              <w:spacing w:after="0"/>
              <w:rPr>
                <w:sz w:val="9"/>
                <w:szCs w:val="9"/>
                <w:color w:val="auto"/>
              </w:rPr>
            </w:pPr>
          </w:p>
        </w:tc>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10,423,188 shares of Common Stock</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8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880" w:type="dxa"/>
            <w:vAlign w:val="bottom"/>
            <w:gridSpan w:val="3"/>
            <w:vMerge w:val="restart"/>
          </w:tcPr>
          <w:p>
            <w:pPr>
              <w:ind w:left="440"/>
              <w:spacing w:after="0"/>
              <w:rPr>
                <w:sz w:val="20"/>
                <w:szCs w:val="20"/>
                <w:color w:val="auto"/>
              </w:rPr>
            </w:pPr>
            <w:r>
              <w:rPr>
                <w:rFonts w:ascii="Times New Roman" w:cs="Times New Roman" w:eastAsia="Times New Roman" w:hAnsi="Times New Roman"/>
                <w:sz w:val="20"/>
                <w:szCs w:val="20"/>
                <w:color w:val="auto"/>
              </w:rPr>
              <w:t>10,423,188 shares of Common Stock</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8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7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(11) EXCLUDES CERTAIN SHARES</w:t>
            </w:r>
          </w:p>
        </w:tc>
        <w:tc>
          <w:tcPr>
            <w:tcW w:w="1560" w:type="dxa"/>
            <w:vAlign w:val="bottom"/>
          </w:tcPr>
          <w:p>
            <w:pPr>
              <w:ind w:left="4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880" w:type="dxa"/>
            <w:vAlign w:val="bottom"/>
            <w:gridSpan w:val="3"/>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380" w:type="dxa"/>
            <w:vAlign w:val="bottom"/>
            <w:tcBorders>
              <w:bottom w:val="single" w:sz="8" w:color="auto"/>
            </w:tcBorders>
            <w:gridSpan w:val="2"/>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13</w:t>
            </w:r>
          </w:p>
        </w:tc>
        <w:tc>
          <w:tcPr>
            <w:tcW w:w="78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13.5%</w:t>
            </w:r>
          </w:p>
        </w:tc>
        <w:tc>
          <w:tcPr>
            <w:tcW w:w="8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38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14</w:t>
            </w:r>
          </w:p>
        </w:tc>
        <w:tc>
          <w:tcPr>
            <w:tcW w:w="78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IA, PN</w:t>
            </w:r>
          </w:p>
        </w:tc>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34385P108</w:t>
            </w:r>
          </w:p>
        </w:tc>
        <w:tc>
          <w:tcPr>
            <w:tcW w:w="634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SCHEDULE 13D/A</w:t>
            </w:r>
          </w:p>
        </w:tc>
        <w:tc>
          <w:tcPr>
            <w:tcW w:w="31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w w:val="99"/>
              </w:rPr>
              <w:t>Page 3 of 6 Pages</w:t>
            </w:r>
          </w:p>
        </w:tc>
        <w:tc>
          <w:tcPr>
            <w:tcW w:w="0" w:type="dxa"/>
            <w:vAlign w:val="bottom"/>
          </w:tcPr>
          <w:p>
            <w:pPr>
              <w:spacing w:after="0"/>
              <w:rPr>
                <w:sz w:val="1"/>
                <w:szCs w:val="1"/>
                <w:color w:val="auto"/>
              </w:rPr>
            </w:pPr>
          </w:p>
        </w:tc>
      </w:tr>
      <w:tr>
        <w:trPr>
          <w:trHeight w:val="662"/>
        </w:trPr>
        <w:tc>
          <w:tcPr>
            <w:tcW w:w="18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20" w:type="dxa"/>
            <w:vAlign w:val="bottom"/>
            <w:vMerge w:val="restart"/>
          </w:tcPr>
          <w:p>
            <w:pPr>
              <w:jc w:val="right"/>
              <w:ind w:right="726"/>
              <w:spacing w:after="0"/>
              <w:rPr>
                <w:sz w:val="20"/>
                <w:szCs w:val="20"/>
                <w:color w:val="auto"/>
              </w:rPr>
            </w:pPr>
            <w:r>
              <w:rPr>
                <w:rFonts w:ascii="Times New Roman" w:cs="Times New Roman" w:eastAsia="Times New Roman" w:hAnsi="Times New Roman"/>
                <w:sz w:val="29"/>
                <w:szCs w:val="29"/>
                <w:b w:val="1"/>
                <w:bCs w:val="1"/>
                <w:color w:val="auto"/>
              </w:rPr>
              <w:t>1</w:t>
            </w:r>
          </w:p>
        </w:tc>
        <w:tc>
          <w:tcPr>
            <w:tcW w:w="6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20" w:type="dxa"/>
            <w:vAlign w:val="bottom"/>
            <w:vMerge w:val="continue"/>
          </w:tcPr>
          <w:p>
            <w:pPr>
              <w:spacing w:after="0"/>
              <w:rPr>
                <w:sz w:val="15"/>
                <w:szCs w:val="15"/>
                <w:color w:val="auto"/>
              </w:rPr>
            </w:pPr>
          </w:p>
        </w:tc>
        <w:tc>
          <w:tcPr>
            <w:tcW w:w="63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David Johnson</w:t>
            </w:r>
          </w:p>
        </w:tc>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2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20" w:type="dxa"/>
            <w:vAlign w:val="bottom"/>
          </w:tcPr>
          <w:p>
            <w:pPr>
              <w:jc w:val="right"/>
              <w:ind w:right="726"/>
              <w:spacing w:after="0" w:line="196" w:lineRule="exact"/>
              <w:rPr>
                <w:sz w:val="20"/>
                <w:szCs w:val="20"/>
                <w:color w:val="auto"/>
              </w:rPr>
            </w:pPr>
            <w:r>
              <w:rPr>
                <w:rFonts w:ascii="Times New Roman" w:cs="Times New Roman" w:eastAsia="Times New Roman" w:hAnsi="Times New Roman"/>
                <w:sz w:val="22"/>
                <w:szCs w:val="22"/>
                <w:b w:val="1"/>
                <w:bCs w:val="1"/>
                <w:color w:val="auto"/>
              </w:rPr>
              <w:t>2</w:t>
            </w:r>
          </w:p>
        </w:tc>
        <w:tc>
          <w:tcPr>
            <w:tcW w:w="6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tcPr>
          <w:p>
            <w:pPr>
              <w:ind w:left="1840"/>
              <w:spacing w:after="0" w:line="196" w:lineRule="exact"/>
              <w:rPr>
                <w:sz w:val="20"/>
                <w:szCs w:val="20"/>
                <w:color w:val="auto"/>
              </w:rPr>
            </w:pPr>
            <w:r>
              <w:rPr>
                <w:rFonts w:ascii="Times New Roman" w:cs="Times New Roman" w:eastAsia="Times New Roman" w:hAnsi="Times New Roman"/>
                <w:sz w:val="17"/>
                <w:szCs w:val="17"/>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17"/>
                <w:szCs w:val="17"/>
                <w:color w:val="auto"/>
              </w:rPr>
              <w:t xml:space="preserve"> (b) </w:t>
            </w:r>
            <w:r>
              <w:rPr>
                <w:rFonts w:ascii="Times New Roman" w:cs="Times New Roman" w:eastAsia="Times New Roman" w:hAnsi="Times New Roman"/>
                <w:sz w:val="22"/>
                <w:szCs w:val="22"/>
                <w:color w:val="auto"/>
              </w:rPr>
              <w:t>x</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20" w:type="dxa"/>
            <w:vAlign w:val="bottom"/>
          </w:tcPr>
          <w:p>
            <w:pPr>
              <w:spacing w:after="0"/>
              <w:rPr>
                <w:sz w:val="4"/>
                <w:szCs w:val="4"/>
                <w:color w:val="auto"/>
              </w:rPr>
            </w:pPr>
          </w:p>
        </w:tc>
        <w:tc>
          <w:tcPr>
            <w:tcW w:w="63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5203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203190"/>
                    </a:xfrm>
                    <a:prstGeom prst="rect">
                      <a:avLst/>
                    </a:prstGeom>
                    <a:noFill/>
                  </pic:spPr>
                </pic:pic>
              </a:graphicData>
            </a:graphic>
          </wp:anchor>
        </w:drawing>
      </w:r>
    </w:p>
    <w:p>
      <w:pPr>
        <w:ind w:left="1920" w:hanging="1079"/>
        <w:spacing w:after="0" w:line="189" w:lineRule="auto"/>
        <w:tabs>
          <w:tab w:leader="none" w:pos="192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SOURCE OF FUNDS</w:t>
            </w:r>
          </w:p>
        </w:tc>
        <w:tc>
          <w:tcPr>
            <w:tcW w:w="6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AF</w:t>
            </w:r>
          </w:p>
        </w:tc>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5</w:t>
            </w:r>
          </w:p>
        </w:tc>
        <w:tc>
          <w:tcPr>
            <w:tcW w:w="7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CHECK BOX IF DISCLOSURE OF LEGAL PROCEEDING IS REQUIRED PURSUANT TO ITEMS 2(d) or 2(e)</w:t>
            </w:r>
          </w:p>
        </w:tc>
        <w:tc>
          <w:tcPr>
            <w:tcW w:w="1560" w:type="dxa"/>
            <w:vAlign w:val="bottom"/>
          </w:tcPr>
          <w:p>
            <w:pPr>
              <w:ind w:left="3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880" w:type="dxa"/>
            <w:vAlign w:val="bottom"/>
            <w:gridSpan w:val="3"/>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7880" w:type="dxa"/>
            <w:vAlign w:val="bottom"/>
            <w:tcBorders>
              <w:bottom w:val="single" w:sz="8" w:color="auto"/>
            </w:tcBorders>
            <w:gridSpan w:val="3"/>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78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8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SOLE VOTING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8</w:t>
            </w:r>
          </w:p>
        </w:tc>
        <w:tc>
          <w:tcPr>
            <w:tcW w:w="80" w:type="dxa"/>
            <w:vAlign w:val="bottom"/>
          </w:tcPr>
          <w:p>
            <w:pPr>
              <w:spacing w:after="0"/>
              <w:rPr>
                <w:sz w:val="8"/>
                <w:szCs w:val="8"/>
                <w:color w:val="auto"/>
              </w:rPr>
            </w:pPr>
          </w:p>
        </w:tc>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VOTING POWER</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10,423,188 shares of Common Stock</w:t>
            </w: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3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9</w:t>
            </w:r>
          </w:p>
        </w:tc>
        <w:tc>
          <w:tcPr>
            <w:tcW w:w="80" w:type="dxa"/>
            <w:vAlign w:val="bottom"/>
          </w:tcPr>
          <w:p>
            <w:pPr>
              <w:spacing w:after="0"/>
              <w:rPr>
                <w:sz w:val="8"/>
                <w:szCs w:val="8"/>
                <w:color w:val="auto"/>
              </w:rPr>
            </w:pPr>
          </w:p>
        </w:tc>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DISPOSITIVE POWER</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3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80" w:type="dxa"/>
            <w:vAlign w:val="bottom"/>
          </w:tcPr>
          <w:p>
            <w:pPr>
              <w:spacing w:after="0"/>
              <w:rPr>
                <w:sz w:val="9"/>
                <w:szCs w:val="9"/>
                <w:color w:val="auto"/>
              </w:rPr>
            </w:pPr>
          </w:p>
        </w:tc>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10,423,188 shares of Common Stock</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8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880" w:type="dxa"/>
            <w:vAlign w:val="bottom"/>
            <w:gridSpan w:val="3"/>
            <w:vMerge w:val="restart"/>
          </w:tcPr>
          <w:p>
            <w:pPr>
              <w:ind w:left="440"/>
              <w:spacing w:after="0"/>
              <w:rPr>
                <w:sz w:val="20"/>
                <w:szCs w:val="20"/>
                <w:color w:val="auto"/>
              </w:rPr>
            </w:pPr>
            <w:r>
              <w:rPr>
                <w:rFonts w:ascii="Times New Roman" w:cs="Times New Roman" w:eastAsia="Times New Roman" w:hAnsi="Times New Roman"/>
                <w:sz w:val="20"/>
                <w:szCs w:val="20"/>
                <w:color w:val="auto"/>
              </w:rPr>
              <w:t>10,423,188 shares of Common Stock</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8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7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(11) EXCLUDES CERTAIN SHARES</w:t>
            </w:r>
          </w:p>
        </w:tc>
        <w:tc>
          <w:tcPr>
            <w:tcW w:w="1560" w:type="dxa"/>
            <w:vAlign w:val="bottom"/>
          </w:tcPr>
          <w:p>
            <w:pPr>
              <w:ind w:left="4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880" w:type="dxa"/>
            <w:vAlign w:val="bottom"/>
            <w:gridSpan w:val="3"/>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380" w:type="dxa"/>
            <w:vAlign w:val="bottom"/>
            <w:tcBorders>
              <w:bottom w:val="single" w:sz="8" w:color="auto"/>
            </w:tcBorders>
            <w:gridSpan w:val="2"/>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13</w:t>
            </w:r>
          </w:p>
        </w:tc>
        <w:tc>
          <w:tcPr>
            <w:tcW w:w="78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13.5%</w:t>
            </w:r>
          </w:p>
        </w:tc>
        <w:tc>
          <w:tcPr>
            <w:tcW w:w="8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38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14</w:t>
            </w:r>
          </w:p>
        </w:tc>
        <w:tc>
          <w:tcPr>
            <w:tcW w:w="78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4 of 6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120" w:right="240"/>
        <w:spacing w:after="0" w:line="235" w:lineRule="auto"/>
        <w:rPr>
          <w:sz w:val="20"/>
          <w:szCs w:val="20"/>
          <w:color w:val="auto"/>
        </w:rPr>
      </w:pPr>
      <w:r>
        <w:rPr>
          <w:rFonts w:ascii="Times New Roman" w:cs="Times New Roman" w:eastAsia="Times New Roman" w:hAnsi="Times New Roman"/>
          <w:sz w:val="22"/>
          <w:szCs w:val="22"/>
          <w:color w:val="auto"/>
        </w:rPr>
        <w:t>The following constitutes Amendment No. 3 (this "</w:t>
      </w:r>
      <w:r>
        <w:rPr>
          <w:rFonts w:ascii="Times New Roman" w:cs="Times New Roman" w:eastAsia="Times New Roman" w:hAnsi="Times New Roman"/>
          <w:sz w:val="22"/>
          <w:szCs w:val="22"/>
          <w:u w:val="single" w:color="auto"/>
          <w:color w:val="auto"/>
        </w:rPr>
        <w:t>Amendment No. 3</w:t>
      </w:r>
      <w:r>
        <w:rPr>
          <w:rFonts w:ascii="Times New Roman" w:cs="Times New Roman" w:eastAsia="Times New Roman" w:hAnsi="Times New Roman"/>
          <w:sz w:val="22"/>
          <w:szCs w:val="22"/>
          <w:color w:val="auto"/>
        </w:rPr>
        <w:t>") to the Schedule 13D filed by the undersigned on May 10, 2021 with respect to the Common Stock of the Issuer (the "</w:t>
      </w:r>
      <w:r>
        <w:rPr>
          <w:rFonts w:ascii="Times New Roman" w:cs="Times New Roman" w:eastAsia="Times New Roman" w:hAnsi="Times New Roman"/>
          <w:sz w:val="22"/>
          <w:szCs w:val="22"/>
          <w:u w:val="single" w:color="auto"/>
          <w:color w:val="auto"/>
        </w:rPr>
        <w:t>Original Schedule 13D</w:t>
      </w:r>
      <w:r>
        <w:rPr>
          <w:rFonts w:ascii="Times New Roman" w:cs="Times New Roman" w:eastAsia="Times New Roman" w:hAnsi="Times New Roman"/>
          <w:sz w:val="22"/>
          <w:szCs w:val="22"/>
          <w:color w:val="auto"/>
        </w:rPr>
        <w:t>"), as amended by Amended by Amendment No. 1 to the Original Schedule 13D, filed with the SEC on March 29, 2022 ("</w:t>
      </w:r>
      <w:r>
        <w:rPr>
          <w:rFonts w:ascii="Times New Roman" w:cs="Times New Roman" w:eastAsia="Times New Roman" w:hAnsi="Times New Roman"/>
          <w:sz w:val="22"/>
          <w:szCs w:val="22"/>
          <w:u w:val="single" w:color="auto"/>
          <w:color w:val="auto"/>
        </w:rPr>
        <w:t>Amendment No. 1</w:t>
      </w:r>
      <w:r>
        <w:rPr>
          <w:rFonts w:ascii="Times New Roman" w:cs="Times New Roman" w:eastAsia="Times New Roman" w:hAnsi="Times New Roman"/>
          <w:sz w:val="22"/>
          <w:szCs w:val="22"/>
          <w:color w:val="auto"/>
        </w:rPr>
        <w:t>") and Amendment No. 2 to the Original Schedule 13D, filed with the SEC on May 3, 2022 ("</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together with the Original Schedule 13D, Amendment No. 1 and this Amendment No. 3, the "</w:t>
      </w:r>
      <w:r>
        <w:rPr>
          <w:rFonts w:ascii="Times New Roman" w:cs="Times New Roman" w:eastAsia="Times New Roman" w:hAnsi="Times New Roman"/>
          <w:sz w:val="22"/>
          <w:szCs w:val="22"/>
          <w:u w:val="single" w:color="auto"/>
          <w:color w:val="auto"/>
        </w:rPr>
        <w:t>Schedule 13D</w:t>
      </w:r>
      <w:r>
        <w:rPr>
          <w:rFonts w:ascii="Times New Roman" w:cs="Times New Roman" w:eastAsia="Times New Roman" w:hAnsi="Times New Roman"/>
          <w:sz w:val="22"/>
          <w:szCs w:val="22"/>
          <w:color w:val="auto"/>
        </w:rPr>
        <w:t>"). This Amendment No. 3 amends the Schedule 13D as specifically set forth herein. Capitalized terms used herein not otherwise defined in this Amendment No. 3 have the meanings set forth in the Schedule 13D. This Amendment No. 3 amends Items 3 and 5(a) and (c) as set forth below.</w:t>
      </w:r>
    </w:p>
    <w:p>
      <w:pPr>
        <w:spacing w:after="0" w:line="201"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SOURCE AND AMOUNT OF FUNDS OR OTHER CONSIDERATION</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Item 3 of the Schedule 13D is hereby amended and restated in its entirety as follows:</w:t>
      </w:r>
    </w:p>
    <w:p>
      <w:pPr>
        <w:spacing w:after="0" w:line="233" w:lineRule="exact"/>
        <w:rPr>
          <w:sz w:val="20"/>
          <w:szCs w:val="20"/>
          <w:color w:val="auto"/>
        </w:rPr>
      </w:pPr>
    </w:p>
    <w:p>
      <w:pPr>
        <w:jc w:val="both"/>
        <w:ind w:left="1360" w:right="140"/>
        <w:spacing w:after="0" w:line="244" w:lineRule="auto"/>
        <w:rPr>
          <w:sz w:val="20"/>
          <w:szCs w:val="20"/>
          <w:color w:val="auto"/>
        </w:rPr>
      </w:pPr>
      <w:r>
        <w:rPr>
          <w:rFonts w:ascii="Times New Roman" w:cs="Times New Roman" w:eastAsia="Times New Roman" w:hAnsi="Times New Roman"/>
          <w:sz w:val="22"/>
          <w:szCs w:val="22"/>
          <w:color w:val="auto"/>
        </w:rPr>
        <w:t>The Reporting Persons used a total of approximately $45,996,350 (excluding brokerage commissions) to acquire the Common Stock reported herein. The source of the funds used to acquire the Common Stock reported herein was the working capital of the Caligan Fund and the Caligan Accounts.</w:t>
      </w:r>
    </w:p>
    <w:p>
      <w:pPr>
        <w:spacing w:after="0" w:line="196"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INTEREST IN SECURITIES OF THE ISSUER</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Items 5(a) and (c) of the Schedule 13D are hereby amended and restated as follows:</w:t>
      </w:r>
    </w:p>
    <w:p>
      <w:pPr>
        <w:spacing w:after="0" w:line="233" w:lineRule="exact"/>
        <w:rPr>
          <w:sz w:val="20"/>
          <w:szCs w:val="20"/>
          <w:color w:val="auto"/>
        </w:rPr>
      </w:pPr>
    </w:p>
    <w:p>
      <w:pPr>
        <w:jc w:val="both"/>
        <w:ind w:left="1360" w:right="100" w:hanging="1249"/>
        <w:spacing w:after="0" w:line="238" w:lineRule="auto"/>
        <w:tabs>
          <w:tab w:leader="none" w:pos="1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(11) and (13) of the cover pages to this Schedule 13D for the aggregate number of and percentages of the shares of Common Stock beneficially owned by each Reporting Person. The percentages set forth in this Schedule 13D are based upon 77,252,135 shares of Common Stock outstanding as of April 30, 2022, as reported in the Issuer's Quarterly Report for the quarterly period ended March 31, 2022 on Form 10-Q, filed with the Securities and Exchange Commission on May 9, 2022.</w:t>
      </w:r>
    </w:p>
    <w:p>
      <w:pPr>
        <w:spacing w:after="0" w:line="204" w:lineRule="exact"/>
        <w:rPr>
          <w:sz w:val="20"/>
          <w:szCs w:val="20"/>
          <w:color w:val="auto"/>
        </w:rPr>
      </w:pPr>
    </w:p>
    <w:p>
      <w:pPr>
        <w:ind w:left="1360" w:right="120" w:hanging="1249"/>
        <w:spacing w:after="0" w:line="258" w:lineRule="auto"/>
        <w:tabs>
          <w:tab w:leader="none" w:pos="13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transactions in the Common Stock effected by the Reporting Persons since the filing of Amendment No. 2 is set forth in Schedule A hereto and is incorporated by reference herein.</w:t>
      </w:r>
    </w:p>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5 of 6 Pages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640"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his or its knowledge and belief, the undersigned certifies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7, 2022</w:t>
      </w:r>
    </w:p>
    <w:p>
      <w:pPr>
        <w:spacing w:after="0" w:line="202"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2"/>
          <w:szCs w:val="22"/>
          <w:b w:val="1"/>
          <w:bCs w:val="1"/>
          <w:color w:val="auto"/>
        </w:rPr>
        <w:t>CALIGAN PARTNERS LP</w:t>
      </w:r>
    </w:p>
    <w:p>
      <w:pPr>
        <w:spacing w:after="0" w:line="200" w:lineRule="exact"/>
        <w:rPr>
          <w:sz w:val="20"/>
          <w:szCs w:val="20"/>
          <w:color w:val="auto"/>
        </w:rPr>
      </w:pPr>
    </w:p>
    <w:p>
      <w:pPr>
        <w:spacing w:after="0" w:line="270" w:lineRule="exact"/>
        <w:rPr>
          <w:sz w:val="20"/>
          <w:szCs w:val="20"/>
          <w:color w:val="auto"/>
        </w:rPr>
      </w:pPr>
    </w:p>
    <w:tbl>
      <w:tblPr>
        <w:tblLayout w:type="fixed"/>
        <w:tblInd w:w="696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 David Johnson</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580" w:type="dxa"/>
            <w:vAlign w:val="bottom"/>
          </w:tcPr>
          <w:p>
            <w:pPr>
              <w:ind w:left="320"/>
              <w:spacing w:after="0" w:line="209" w:lineRule="exact"/>
              <w:rPr>
                <w:sz w:val="20"/>
                <w:szCs w:val="20"/>
                <w:color w:val="auto"/>
              </w:rPr>
            </w:pPr>
            <w:r>
              <w:rPr>
                <w:rFonts w:ascii="Times New Roman" w:cs="Times New Roman" w:eastAsia="Times New Roman" w:hAnsi="Times New Roman"/>
                <w:sz w:val="22"/>
                <w:szCs w:val="22"/>
                <w:color w:val="auto"/>
              </w:rPr>
              <w:t>David Johnson</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60" w:type="dxa"/>
            <w:vAlign w:val="bottom"/>
          </w:tcPr>
          <w:p>
            <w:pPr>
              <w:spacing w:after="0"/>
              <w:rPr>
                <w:sz w:val="24"/>
                <w:szCs w:val="24"/>
                <w:color w:val="auto"/>
              </w:rPr>
            </w:pPr>
          </w:p>
        </w:tc>
        <w:tc>
          <w:tcPr>
            <w:tcW w:w="35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2"/>
          <w:szCs w:val="22"/>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10795</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2"/>
          <w:szCs w:val="22"/>
          <w:b w:val="1"/>
          <w:bCs w:val="1"/>
          <w:color w:val="auto"/>
        </w:rPr>
        <w:t>DAVID JOHNSON</w:t>
      </w:r>
    </w:p>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6 of 6 Pages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Schedule sets forth information with respect to each purchase and sale of the shares of Common Stock effectuated by the Reporting Persons since the filing of Amendment No. 2. All transactions were effectuated in the open market through a broker and the price per share excludes commissions. Where a price range is provided in the column Price Range ($), the price reported in that row's Price Per Share ($) column is a weighted average price. These shares of Common Stock were purchased in multiple transactions at prices between the price ranges indicated in the Price Range ($) column. The Reporting Persons undertake to provide to the staff of the SEC, upon request, full information regarding the number of shares of Common Stock purchased at each separate price.</w:t>
      </w:r>
    </w:p>
    <w:p>
      <w:pPr>
        <w:spacing w:after="0" w:line="206" w:lineRule="exact"/>
        <w:rPr>
          <w:sz w:val="20"/>
          <w:szCs w:val="20"/>
          <w:color w:val="auto"/>
        </w:rPr>
      </w:pPr>
    </w:p>
    <w:tbl>
      <w:tblPr>
        <w:tblLayout w:type="fixed"/>
        <w:tblInd w:w="840" w:type="dxa"/>
        <w:tblCellMar>
          <w:top w:w="0" w:type="dxa"/>
          <w:left w:w="0" w:type="dxa"/>
          <w:bottom w:w="0" w:type="dxa"/>
          <w:right w:w="0" w:type="dxa"/>
        </w:tblCellMar>
      </w:tblPr>
      <w:tr>
        <w:trPr>
          <w:trHeight w:val="286"/>
        </w:trPr>
        <w:tc>
          <w:tcPr>
            <w:tcW w:w="1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Trade Date</w:t>
            </w:r>
          </w:p>
        </w:tc>
        <w:tc>
          <w:tcPr>
            <w:tcW w:w="334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Shares Purchased (Sold)</w:t>
            </w:r>
          </w:p>
        </w:tc>
        <w:tc>
          <w:tcPr>
            <w:tcW w:w="27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Price Per Share ($)</w:t>
            </w:r>
          </w:p>
        </w:tc>
        <w:tc>
          <w:tcPr>
            <w:tcW w:w="2020" w:type="dxa"/>
            <w:vAlign w:val="bottom"/>
          </w:tcPr>
          <w:p>
            <w:pPr>
              <w:jc w:val="center"/>
              <w:ind w:left="472"/>
              <w:spacing w:after="0"/>
              <w:rPr>
                <w:sz w:val="20"/>
                <w:szCs w:val="20"/>
                <w:color w:val="auto"/>
              </w:rPr>
            </w:pPr>
            <w:r>
              <w:rPr>
                <w:rFonts w:ascii="Times New Roman" w:cs="Times New Roman" w:eastAsia="Times New Roman" w:hAnsi="Times New Roman"/>
                <w:sz w:val="22"/>
                <w:szCs w:val="22"/>
                <w:b w:val="1"/>
                <w:bCs w:val="1"/>
                <w:color w:val="auto"/>
                <w:w w:val="99"/>
              </w:rPr>
              <w:t>Price Range ($)</w:t>
            </w:r>
          </w:p>
        </w:tc>
      </w:tr>
      <w:tr>
        <w:trPr>
          <w:trHeight w:val="447"/>
        </w:trPr>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05/06/2022</w:t>
            </w:r>
          </w:p>
        </w:tc>
        <w:tc>
          <w:tcPr>
            <w:tcW w:w="33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7"/>
              </w:rPr>
              <w:t>463,350</w:t>
            </w:r>
          </w:p>
        </w:tc>
        <w:tc>
          <w:tcPr>
            <w:tcW w:w="278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2.90</w:t>
            </w:r>
          </w:p>
        </w:tc>
        <w:tc>
          <w:tcPr>
            <w:tcW w:w="202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auto"/>
                <w:w w:val="99"/>
              </w:rPr>
              <w:t>2.76-2.95</w:t>
            </w:r>
          </w:p>
        </w:tc>
      </w:tr>
      <w:tr>
        <w:trPr>
          <w:trHeight w:val="243"/>
        </w:trPr>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05/10/2022</w:t>
            </w:r>
          </w:p>
        </w:tc>
        <w:tc>
          <w:tcPr>
            <w:tcW w:w="334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color w:val="auto"/>
                <w:w w:val="99"/>
              </w:rPr>
              <w:t>25,000</w:t>
            </w:r>
          </w:p>
        </w:tc>
        <w:tc>
          <w:tcPr>
            <w:tcW w:w="27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8"/>
              </w:rPr>
              <w:t>2.52</w:t>
            </w:r>
          </w:p>
        </w:tc>
        <w:tc>
          <w:tcPr>
            <w:tcW w:w="2020" w:type="dxa"/>
            <w:vAlign w:val="bottom"/>
          </w:tcPr>
          <w:p>
            <w:pPr>
              <w:jc w:val="center"/>
              <w:ind w:left="472"/>
              <w:spacing w:after="0" w:line="243" w:lineRule="exact"/>
              <w:rPr>
                <w:sz w:val="20"/>
                <w:szCs w:val="20"/>
                <w:color w:val="auto"/>
              </w:rPr>
            </w:pPr>
            <w:r>
              <w:rPr>
                <w:rFonts w:ascii="Times New Roman" w:cs="Times New Roman" w:eastAsia="Times New Roman" w:hAnsi="Times New Roman"/>
                <w:sz w:val="22"/>
                <w:szCs w:val="22"/>
                <w:color w:val="auto"/>
                <w:w w:val="99"/>
              </w:rPr>
              <w:t>2.43-2.68</w:t>
            </w:r>
          </w:p>
        </w:tc>
      </w:tr>
      <w:tr>
        <w:trPr>
          <w:trHeight w:val="243"/>
        </w:trPr>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06/02/2022</w:t>
            </w:r>
          </w:p>
        </w:tc>
        <w:tc>
          <w:tcPr>
            <w:tcW w:w="334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color w:val="auto"/>
                <w:w w:val="97"/>
              </w:rPr>
              <w:t>200,000</w:t>
            </w:r>
          </w:p>
        </w:tc>
        <w:tc>
          <w:tcPr>
            <w:tcW w:w="27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8"/>
              </w:rPr>
              <w:t>1.92</w:t>
            </w:r>
          </w:p>
        </w:tc>
        <w:tc>
          <w:tcPr>
            <w:tcW w:w="2020" w:type="dxa"/>
            <w:vAlign w:val="bottom"/>
          </w:tcPr>
          <w:p>
            <w:pPr>
              <w:jc w:val="center"/>
              <w:ind w:left="472"/>
              <w:spacing w:after="0" w:line="243" w:lineRule="exact"/>
              <w:rPr>
                <w:sz w:val="20"/>
                <w:szCs w:val="20"/>
                <w:color w:val="auto"/>
              </w:rPr>
            </w:pPr>
            <w:r>
              <w:rPr>
                <w:rFonts w:ascii="Times New Roman" w:cs="Times New Roman" w:eastAsia="Times New Roman" w:hAnsi="Times New Roman"/>
                <w:sz w:val="22"/>
                <w:szCs w:val="22"/>
                <w:color w:val="auto"/>
                <w:w w:val="99"/>
              </w:rPr>
              <w:t>1.83-2.00</w:t>
            </w:r>
          </w:p>
        </w:tc>
      </w:tr>
      <w:tr>
        <w:trPr>
          <w:trHeight w:val="282"/>
        </w:trPr>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06/03/2022</w:t>
            </w:r>
          </w:p>
        </w:tc>
        <w:tc>
          <w:tcPr>
            <w:tcW w:w="33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7"/>
              </w:rPr>
              <w:t>250,000</w:t>
            </w:r>
          </w:p>
        </w:tc>
        <w:tc>
          <w:tcPr>
            <w:tcW w:w="278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1.98</w:t>
            </w:r>
          </w:p>
        </w:tc>
        <w:tc>
          <w:tcPr>
            <w:tcW w:w="202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auto"/>
                <w:w w:val="99"/>
              </w:rPr>
              <w:t>1.92-2.02</w:t>
            </w:r>
          </w:p>
        </w:tc>
      </w:tr>
    </w:tbl>
    <w:p>
      <w:pPr>
        <w:spacing w:after="0" w:line="1" w:lineRule="exact"/>
        <w:rPr>
          <w:sz w:val="20"/>
          <w:szCs w:val="20"/>
          <w:color w:val="auto"/>
        </w:rPr>
      </w:pP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2022-06-07T09:33:21Z</dcterms:created>
  <dcterms:modified xsi:type="dcterms:W3CDTF">2022-06-07T09:33:21Z</dcterms:modified>
</cp:coreProperties>
</file>