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5270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270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LEE JENNIFER LING</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380"/>
        <w:spacing w:after="0" w:line="398" w:lineRule="auto"/>
        <w:rPr>
          <w:sz w:val="20"/>
          <w:szCs w:val="20"/>
          <w:color w:val="auto"/>
        </w:rPr>
      </w:pPr>
      <w:r>
        <w:rPr>
          <w:rFonts w:ascii="Arial" w:cs="Arial" w:eastAsia="Arial" w:hAnsi="Arial"/>
          <w:sz w:val="16"/>
          <w:szCs w:val="16"/>
          <w:color w:val="0000FF"/>
        </w:rPr>
        <w:t>C/O FLUIDIGM CORPORATION 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FLUIDIGM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05/18/2016</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86"/>
        <w:spacing w:after="0"/>
        <w:rPr>
          <w:sz w:val="20"/>
          <w:szCs w:val="20"/>
          <w:color w:val="auto"/>
        </w:rPr>
      </w:pPr>
      <w:r>
        <w:rPr>
          <w:rFonts w:ascii="Arial" w:cs="Arial" w:eastAsia="Arial" w:hAnsi="Arial"/>
          <w:sz w:val="17"/>
          <w:szCs w:val="17"/>
          <w:color w:val="0000FF"/>
        </w:rPr>
        <w:t>See Remarks</w:t>
      </w:r>
    </w:p>
    <w:p>
      <w:pPr>
        <w:spacing w:after="0" w:line="574"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7"/>
                <w:szCs w:val="17"/>
                <w:color w:val="0000FF"/>
              </w:rPr>
              <w:t>CA</w:t>
            </w:r>
          </w:p>
        </w:tc>
        <w:tc>
          <w:tcPr>
            <w:tcW w:w="1680" w:type="dxa"/>
            <w:vAlign w:val="bottom"/>
            <w:vMerge w:val="restart"/>
          </w:tcPr>
          <w:p>
            <w:pPr>
              <w:ind w:left="440"/>
              <w:spacing w:after="0"/>
              <w:rPr>
                <w:sz w:val="20"/>
                <w:szCs w:val="20"/>
                <w:color w:val="auto"/>
              </w:rPr>
            </w:pPr>
            <w:r>
              <w:rPr>
                <w:rFonts w:ascii="Arial" w:cs="Arial" w:eastAsia="Arial" w:hAnsi="Arial"/>
                <w:sz w:val="17"/>
                <w:szCs w:val="17"/>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jc w:val="right"/>
              <w:ind w:right="2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jc w:val="right"/>
              <w:ind w:right="259"/>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10,080</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1"/>
                <w:szCs w:val="11"/>
                <w:color w:val="auto"/>
              </w:rPr>
            </w:pPr>
          </w:p>
        </w:tc>
        <w:tc>
          <w:tcPr>
            <w:tcW w:w="1140" w:type="dxa"/>
            <w:vAlign w:val="bottom"/>
          </w:tcPr>
          <w:p>
            <w:pPr>
              <w:jc w:val="right"/>
              <w:ind w:right="197"/>
              <w:spacing w:after="0" w:line="132" w:lineRule="exact"/>
              <w:rPr>
                <w:sz w:val="20"/>
                <w:szCs w:val="20"/>
                <w:color w:val="auto"/>
              </w:rPr>
            </w:pPr>
            <w:r>
              <w:rPr>
                <w:rFonts w:ascii="Arial" w:cs="Arial" w:eastAsia="Arial" w:hAnsi="Arial"/>
                <w:sz w:val="13"/>
                <w:szCs w:val="13"/>
                <w:color w:val="0000FF"/>
              </w:rPr>
              <w:t>05/18/2016</w:t>
            </w:r>
          </w:p>
        </w:tc>
        <w:tc>
          <w:tcPr>
            <w:tcW w:w="1120" w:type="dxa"/>
            <w:vAlign w:val="bottom"/>
          </w:tcPr>
          <w:p>
            <w:pPr>
              <w:spacing w:after="0"/>
              <w:rPr>
                <w:sz w:val="11"/>
                <w:szCs w:val="11"/>
                <w:color w:val="auto"/>
              </w:rPr>
            </w:pPr>
          </w:p>
        </w:tc>
        <w:tc>
          <w:tcPr>
            <w:tcW w:w="840" w:type="dxa"/>
            <w:vAlign w:val="bottom"/>
          </w:tcPr>
          <w:p>
            <w:pPr>
              <w:ind w:left="180"/>
              <w:spacing w:after="0" w:line="132" w:lineRule="exact"/>
              <w:rPr>
                <w:sz w:val="20"/>
                <w:szCs w:val="20"/>
                <w:color w:val="auto"/>
              </w:rPr>
            </w:pPr>
            <w:r>
              <w:rPr>
                <w:rFonts w:ascii="Arial" w:cs="Arial" w:eastAsia="Arial" w:hAnsi="Arial"/>
                <w:sz w:val="13"/>
                <w:szCs w:val="13"/>
                <w:color w:val="0000FF"/>
              </w:rPr>
              <w:t>A</w:t>
            </w:r>
          </w:p>
        </w:tc>
        <w:tc>
          <w:tcPr>
            <w:tcW w:w="520" w:type="dxa"/>
            <w:vAlign w:val="bottom"/>
          </w:tcPr>
          <w:p>
            <w:pPr>
              <w:ind w:left="80"/>
              <w:spacing w:after="0" w:line="132" w:lineRule="exact"/>
              <w:rPr>
                <w:sz w:val="20"/>
                <w:szCs w:val="20"/>
                <w:color w:val="auto"/>
              </w:rPr>
            </w:pPr>
            <w:r>
              <w:rPr>
                <w:rFonts w:ascii="Arial" w:cs="Arial" w:eastAsia="Arial" w:hAnsi="Arial"/>
                <w:sz w:val="13"/>
                <w:szCs w:val="13"/>
                <w:color w:val="0000FF"/>
              </w:rPr>
              <w:t>10,080</w:t>
            </w:r>
          </w:p>
        </w:tc>
        <w:tc>
          <w:tcPr>
            <w:tcW w:w="3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tcPr>
          <w:p>
            <w:pPr>
              <w:ind w:left="20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60" w:type="dxa"/>
            <w:vAlign w:val="bottom"/>
          </w:tcPr>
          <w:p>
            <w:pPr>
              <w:ind w:left="300"/>
              <w:spacing w:after="0" w:line="132" w:lineRule="exact"/>
              <w:rPr>
                <w:sz w:val="20"/>
                <w:szCs w:val="20"/>
                <w:color w:val="auto"/>
              </w:rPr>
            </w:pPr>
            <w:r>
              <w:rPr>
                <w:rFonts w:ascii="Arial" w:cs="Arial" w:eastAsia="Arial" w:hAnsi="Arial"/>
                <w:sz w:val="13"/>
                <w:szCs w:val="13"/>
                <w:color w:val="0000FF"/>
              </w:rPr>
              <w:t>10,080</w:t>
            </w:r>
          </w:p>
        </w:tc>
        <w:tc>
          <w:tcPr>
            <w:tcW w:w="76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6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13,400</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ind w:right="16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8.98</w:t>
            </w:r>
          </w:p>
        </w:tc>
        <w:tc>
          <w:tcPr>
            <w:tcW w:w="1140" w:type="dxa"/>
            <w:vAlign w:val="bottom"/>
          </w:tcPr>
          <w:p>
            <w:pPr>
              <w:jc w:val="right"/>
              <w:ind w:right="197"/>
              <w:spacing w:after="0" w:line="132" w:lineRule="exact"/>
              <w:rPr>
                <w:sz w:val="20"/>
                <w:szCs w:val="20"/>
                <w:color w:val="auto"/>
              </w:rPr>
            </w:pPr>
            <w:r>
              <w:rPr>
                <w:rFonts w:ascii="Arial" w:cs="Arial" w:eastAsia="Arial" w:hAnsi="Arial"/>
                <w:sz w:val="13"/>
                <w:szCs w:val="13"/>
                <w:color w:val="0000FF"/>
              </w:rPr>
              <w:t>05/18/2016</w:t>
            </w:r>
          </w:p>
        </w:tc>
        <w:tc>
          <w:tcPr>
            <w:tcW w:w="1120" w:type="dxa"/>
            <w:vAlign w:val="bottom"/>
          </w:tcPr>
          <w:p>
            <w:pPr>
              <w:spacing w:after="0"/>
              <w:rPr>
                <w:sz w:val="11"/>
                <w:szCs w:val="11"/>
                <w:color w:val="auto"/>
              </w:rPr>
            </w:pPr>
          </w:p>
        </w:tc>
        <w:tc>
          <w:tcPr>
            <w:tcW w:w="840" w:type="dxa"/>
            <w:vAlign w:val="bottom"/>
          </w:tcPr>
          <w:p>
            <w:pPr>
              <w:ind w:left="180"/>
              <w:spacing w:after="0" w:line="132" w:lineRule="exact"/>
              <w:rPr>
                <w:sz w:val="20"/>
                <w:szCs w:val="20"/>
                <w:color w:val="auto"/>
              </w:rPr>
            </w:pPr>
            <w:r>
              <w:rPr>
                <w:rFonts w:ascii="Arial" w:cs="Arial" w:eastAsia="Arial" w:hAnsi="Arial"/>
                <w:sz w:val="13"/>
                <w:szCs w:val="13"/>
                <w:color w:val="0000FF"/>
              </w:rPr>
              <w:t>A</w:t>
            </w:r>
          </w:p>
        </w:tc>
        <w:tc>
          <w:tcPr>
            <w:tcW w:w="520" w:type="dxa"/>
            <w:vAlign w:val="bottom"/>
          </w:tcPr>
          <w:p>
            <w:pPr>
              <w:ind w:left="80"/>
              <w:spacing w:after="0" w:line="132" w:lineRule="exact"/>
              <w:rPr>
                <w:sz w:val="20"/>
                <w:szCs w:val="20"/>
                <w:color w:val="auto"/>
              </w:rPr>
            </w:pPr>
            <w:r>
              <w:rPr>
                <w:rFonts w:ascii="Arial" w:cs="Arial" w:eastAsia="Arial" w:hAnsi="Arial"/>
                <w:sz w:val="13"/>
                <w:szCs w:val="13"/>
                <w:color w:val="0000FF"/>
              </w:rPr>
              <w:t>13,400</w:t>
            </w:r>
          </w:p>
        </w:tc>
        <w:tc>
          <w:tcPr>
            <w:tcW w:w="3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60" w:type="dxa"/>
            <w:vAlign w:val="bottom"/>
          </w:tcPr>
          <w:p>
            <w:pPr>
              <w:jc w:val="right"/>
              <w:ind w:right="19"/>
              <w:spacing w:after="0" w:line="132" w:lineRule="exact"/>
              <w:rPr>
                <w:sz w:val="20"/>
                <w:szCs w:val="20"/>
                <w:color w:val="auto"/>
              </w:rPr>
            </w:pPr>
            <w:r>
              <w:rPr>
                <w:rFonts w:ascii="Arial" w:cs="Arial" w:eastAsia="Arial" w:hAnsi="Arial"/>
                <w:sz w:val="13"/>
                <w:szCs w:val="13"/>
                <w:color w:val="0000FF"/>
              </w:rPr>
              <w:t>05/18/2026</w:t>
            </w: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tcPr>
          <w:p>
            <w:pPr>
              <w:ind w:left="20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60" w:type="dxa"/>
            <w:vAlign w:val="bottom"/>
          </w:tcPr>
          <w:p>
            <w:pPr>
              <w:ind w:left="300"/>
              <w:spacing w:after="0" w:line="132" w:lineRule="exact"/>
              <w:rPr>
                <w:sz w:val="20"/>
                <w:szCs w:val="20"/>
                <w:color w:val="auto"/>
              </w:rPr>
            </w:pPr>
            <w:r>
              <w:rPr>
                <w:rFonts w:ascii="Arial" w:cs="Arial" w:eastAsia="Arial" w:hAnsi="Arial"/>
                <w:sz w:val="13"/>
                <w:szCs w:val="13"/>
                <w:color w:val="0000FF"/>
              </w:rPr>
              <w:t>13,400</w:t>
            </w:r>
          </w:p>
        </w:tc>
        <w:tc>
          <w:tcPr>
            <w:tcW w:w="76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the contingent right to receive one share of FLDM common stock upon vesting of the unit.</w:t>
      </w:r>
    </w:p>
    <w:p>
      <w:pPr>
        <w:spacing w:after="0" w:line="51" w:lineRule="exact"/>
        <w:rPr>
          <w:rFonts w:ascii="Arial" w:cs="Arial" w:eastAsia="Arial" w:hAnsi="Arial"/>
          <w:sz w:val="13"/>
          <w:szCs w:val="13"/>
          <w:color w:val="008000"/>
        </w:rPr>
      </w:pPr>
    </w:p>
    <w:p>
      <w:pPr>
        <w:ind w:left="40" w:right="24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12/48th of the total number of shares underlying the Restricted Stock Units granted will vest on May 20, 2017, and 3/48th of the total number of shares underlying the Restricted Stock Units granted will vest every three months thereafter until fully vested, subject to the recipient's continued status as a Service Provider as defined in the Company's 2011 Equity Incentive Plan through the applicable vest date.</w:t>
      </w:r>
    </w:p>
    <w:p>
      <w:pPr>
        <w:ind w:left="40" w:right="540" w:firstLine="8"/>
        <w:spacing w:after="0" w:line="296"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12/48th of the total number of shares subject to the Option will vest on May 16, 2017 and 1/48th of the total shares subject to the Option will vest and become exercisable each month thereafter over the succeeding 36 months, such that the Option will be fully vested on May 16, 2020, subject to the recipient's continued status as a Service Provider as defined in the Company's 2011 Equity Incentive Plan.</w:t>
      </w: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VICE PRESIDENT, CONTROLLER, AND PRINCIPAL ACCOUNTING OFFICER</w:t>
      </w:r>
    </w:p>
    <w:p>
      <w:pPr>
        <w:ind w:left="6860"/>
        <w:spacing w:after="0" w:line="189" w:lineRule="auto"/>
        <w:rPr>
          <w:sz w:val="20"/>
          <w:szCs w:val="20"/>
          <w:color w:val="auto"/>
        </w:rPr>
      </w:pPr>
      <w:r>
        <w:rPr>
          <w:rFonts w:ascii="Arial" w:cs="Arial" w:eastAsia="Arial" w:hAnsi="Arial"/>
          <w:sz w:val="17"/>
          <w:szCs w:val="17"/>
          <w:color w:val="0000FF"/>
        </w:rPr>
        <w:t xml:space="preserve">/s/ William M. Smith, Attorney- </w:t>
      </w:r>
      <w:r>
        <w:rPr>
          <w:rFonts w:ascii="Arial" w:cs="Arial" w:eastAsia="Arial" w:hAnsi="Arial"/>
          <w:sz w:val="34"/>
          <w:szCs w:val="34"/>
          <w:color w:val="0000FF"/>
          <w:vertAlign w:val="subscript"/>
        </w:rPr>
        <w:t>05/20/2016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-27305</wp:posOffset>
            </wp:positionV>
            <wp:extent cx="14224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2240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-16510</wp:posOffset>
            </wp:positionV>
            <wp:extent cx="288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8925"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4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75118"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2019-12-07T15:29:33Z</dcterms:created>
  <dcterms:modified xsi:type="dcterms:W3CDTF">2019-12-07T15:29:33Z</dcterms:modified>
</cp:coreProperties>
</file>