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86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8687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Worthington Gajus Vincent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PRESIDENT &amp; CEO</w:t>
      </w:r>
    </w:p>
    <w:p>
      <w:pPr>
        <w:spacing w:after="0" w:line="443"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00" w:type="dxa"/>
            <w:vAlign w:val="bottom"/>
            <w:tcBorders>
              <w:top w:val="single" w:sz="8" w:color="2C2C2C"/>
              <w:bottom w:val="single" w:sz="8" w:color="2C2C2C"/>
            </w:tcBorders>
            <w:gridSpan w:val="6"/>
            <w:vMerge w:val="restart"/>
          </w:tcPr>
          <w:p>
            <w:pPr>
              <w:jc w:val="right"/>
              <w:ind w:right="32"/>
              <w:spacing w:after="0"/>
              <w:rPr>
                <w:sz w:val="20"/>
                <w:szCs w:val="20"/>
                <w:color w:val="auto"/>
              </w:rPr>
            </w:pPr>
            <w:r>
              <w:rPr>
                <w:rFonts w:ascii="Arial" w:cs="Arial" w:eastAsia="Arial" w:hAnsi="Arial"/>
                <w:sz w:val="14"/>
                <w:szCs w:val="14"/>
                <w:color w:val="auto"/>
                <w:w w:val="97"/>
              </w:rPr>
              <w:t>4. If Amendment, Date of Original Filed (Month/Day/Year)</w:t>
            </w:r>
          </w:p>
        </w:tc>
        <w:tc>
          <w:tcPr>
            <w:tcW w:w="3800" w:type="dxa"/>
            <w:vAlign w:val="bottom"/>
            <w:tcBorders>
              <w:top w:val="single" w:sz="8" w:color="2C2C2C"/>
              <w:bottom w:val="single" w:sz="8" w:color="2C2C2C"/>
            </w:tcBorders>
            <w:gridSpan w:val="9"/>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0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gridSpan w:val="6"/>
            <w:vMerge w:val="continue"/>
          </w:tcPr>
          <w:p>
            <w:pPr>
              <w:spacing w:after="0" w:line="20" w:lineRule="exact"/>
              <w:rPr>
                <w:sz w:val="1"/>
                <w:szCs w:val="1"/>
                <w:color w:val="auto"/>
              </w:rPr>
            </w:pPr>
          </w:p>
        </w:tc>
        <w:tc>
          <w:tcPr>
            <w:tcW w:w="380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0" w:type="dxa"/>
            <w:vAlign w:val="bottom"/>
            <w:gridSpan w:val="6"/>
            <w:vMerge w:val="continue"/>
          </w:tcPr>
          <w:p>
            <w:pPr>
              <w:spacing w:after="0"/>
              <w:rPr>
                <w:sz w:val="12"/>
                <w:szCs w:val="12"/>
                <w:color w:val="auto"/>
              </w:rPr>
            </w:pPr>
          </w:p>
        </w:tc>
        <w:tc>
          <w:tcPr>
            <w:tcW w:w="3800" w:type="dxa"/>
            <w:vAlign w:val="bottom"/>
            <w:gridSpan w:val="9"/>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60" w:type="dxa"/>
            <w:vAlign w:val="bottom"/>
            <w:gridSpan w:val="4"/>
            <w:vMerge w:val="restart"/>
          </w:tcPr>
          <w:p>
            <w:pPr>
              <w:ind w:left="4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CA</w:t>
            </w:r>
          </w:p>
        </w:tc>
        <w:tc>
          <w:tcPr>
            <w:tcW w:w="1200" w:type="dxa"/>
            <w:vAlign w:val="bottom"/>
          </w:tcPr>
          <w:p>
            <w:pPr>
              <w:ind w:left="2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0" w:type="dxa"/>
            <w:vAlign w:val="bottom"/>
            <w:gridSpan w:val="8"/>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0000FF"/>
              </w:rPr>
              <w:t>FRANCISCO</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20" w:type="dxa"/>
            <w:vAlign w:val="bottom"/>
            <w:gridSpan w:val="8"/>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ind w:left="220"/>
              <w:spacing w:after="0" w:line="102" w:lineRule="exact"/>
              <w:rPr>
                <w:sz w:val="20"/>
                <w:szCs w:val="20"/>
                <w:color w:val="auto"/>
              </w:rPr>
            </w:pPr>
            <w:r>
              <w:rPr>
                <w:rFonts w:ascii="Arial" w:cs="Arial" w:eastAsia="Arial" w:hAnsi="Arial"/>
                <w:sz w:val="11"/>
                <w:szCs w:val="11"/>
                <w:color w:val="auto"/>
              </w:rPr>
              <w:t>Person</w:t>
            </w: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80" w:type="dxa"/>
            <w:vAlign w:val="bottom"/>
            <w:tcBorders>
              <w:bottom w:val="single" w:sz="8" w:color="2C2C2C"/>
            </w:tcBorders>
            <w:gridSpan w:val="7"/>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4"/>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4"/>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33,029</w:t>
            </w: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top w:val="single" w:sz="8" w:color="2C2C2C"/>
            </w:tcBorders>
          </w:tcPr>
          <w:p>
            <w:pPr>
              <w:spacing w:after="0"/>
              <w:rPr>
                <w:sz w:val="23"/>
                <w:szCs w:val="23"/>
                <w:color w:val="auto"/>
              </w:rPr>
            </w:pPr>
          </w:p>
        </w:tc>
        <w:tc>
          <w:tcPr>
            <w:tcW w:w="1080" w:type="dxa"/>
            <w:vAlign w:val="bottom"/>
            <w:tcBorders>
              <w:top w:val="single" w:sz="8" w:color="2C2C2C"/>
            </w:tcBorders>
          </w:tcPr>
          <w:p>
            <w:pPr>
              <w:spacing w:after="0"/>
              <w:rPr>
                <w:sz w:val="23"/>
                <w:szCs w:val="23"/>
                <w:color w:val="auto"/>
              </w:rPr>
            </w:pPr>
          </w:p>
        </w:tc>
        <w:tc>
          <w:tcPr>
            <w:tcW w:w="1620" w:type="dxa"/>
            <w:vAlign w:val="bottom"/>
            <w:tcBorders>
              <w:top w:val="single" w:sz="8" w:color="2C2C2C"/>
            </w:tcBorders>
            <w:gridSpan w:val="4"/>
          </w:tcPr>
          <w:p>
            <w:pPr>
              <w:ind w:left="660"/>
              <w:spacing w:after="0"/>
              <w:rPr>
                <w:sz w:val="20"/>
                <w:szCs w:val="20"/>
                <w:color w:val="auto"/>
              </w:rPr>
            </w:pPr>
            <w:r>
              <w:rPr>
                <w:rFonts w:ascii="Arial" w:cs="Arial" w:eastAsia="Arial" w:hAnsi="Arial"/>
                <w:sz w:val="18"/>
                <w:szCs w:val="18"/>
                <w:color w:val="0000FF"/>
              </w:rPr>
              <w:t>11/03/2015</w:t>
            </w: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w w:val="88"/>
              </w:rPr>
              <w:t>5,986</w:t>
            </w:r>
          </w:p>
        </w:tc>
        <w:tc>
          <w:tcPr>
            <w:tcW w:w="580" w:type="dxa"/>
            <w:vAlign w:val="bottom"/>
            <w:tcBorders>
              <w:top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4.0828</w:t>
            </w:r>
          </w:p>
        </w:tc>
        <w:tc>
          <w:tcPr>
            <w:tcW w:w="60" w:type="dxa"/>
            <w:vAlign w:val="bottom"/>
            <w:tcBorders>
              <w:top w:val="single" w:sz="8" w:color="2C2C2C"/>
            </w:tcBorders>
          </w:tcPr>
          <w:p>
            <w:pPr>
              <w:spacing w:after="0"/>
              <w:rPr>
                <w:sz w:val="23"/>
                <w:szCs w:val="23"/>
                <w:color w:val="auto"/>
              </w:rPr>
            </w:pPr>
          </w:p>
        </w:tc>
        <w:tc>
          <w:tcPr>
            <w:tcW w:w="1300" w:type="dxa"/>
            <w:vAlign w:val="bottom"/>
            <w:tcBorders>
              <w:top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12,801</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20" w:type="dxa"/>
            <w:vAlign w:val="bottom"/>
            <w:gridSpan w:val="4"/>
          </w:tcPr>
          <w:p>
            <w:pPr>
              <w:ind w:left="660"/>
              <w:spacing w:after="0"/>
              <w:rPr>
                <w:sz w:val="20"/>
                <w:szCs w:val="20"/>
                <w:color w:val="auto"/>
              </w:rPr>
            </w:pPr>
            <w:r>
              <w:rPr>
                <w:rFonts w:ascii="Arial" w:cs="Arial" w:eastAsia="Arial" w:hAnsi="Arial"/>
                <w:sz w:val="18"/>
                <w:szCs w:val="18"/>
                <w:color w:val="0000FF"/>
              </w:rPr>
              <w:t>11/03/2015</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9"/>
              </w:rPr>
              <w:t>14</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4.0828</w:t>
            </w:r>
          </w:p>
        </w:tc>
        <w:tc>
          <w:tcPr>
            <w:tcW w:w="6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0000FF"/>
                <w:w w:val="87"/>
              </w:rPr>
              <w:t>12,815</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4"/>
          </w:tcPr>
          <w:p>
            <w:pPr>
              <w:ind w:left="660"/>
              <w:spacing w:after="0"/>
              <w:rPr>
                <w:sz w:val="20"/>
                <w:szCs w:val="20"/>
                <w:color w:val="auto"/>
              </w:rPr>
            </w:pPr>
            <w:r>
              <w:rPr>
                <w:rFonts w:ascii="Arial" w:cs="Arial" w:eastAsia="Arial" w:hAnsi="Arial"/>
                <w:sz w:val="18"/>
                <w:szCs w:val="18"/>
                <w:color w:val="0000FF"/>
              </w:rPr>
              <w:t>11/03/2015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6,000</w:t>
            </w:r>
            <w:r>
              <w:rPr>
                <w:rFonts w:ascii="Arial" w:cs="Arial" w:eastAsia="Arial" w:hAnsi="Arial"/>
                <w:sz w:val="22"/>
                <w:szCs w:val="22"/>
                <w:color w:val="008000"/>
                <w:w w:val="82"/>
                <w:vertAlign w:val="superscript"/>
              </w:rPr>
              <w:t>(3)</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11.504</w:t>
            </w:r>
            <w:r>
              <w:rPr>
                <w:rFonts w:ascii="Arial" w:cs="Arial" w:eastAsia="Arial" w:hAnsi="Arial"/>
                <w:sz w:val="22"/>
                <w:szCs w:val="22"/>
                <w:color w:val="008000"/>
                <w:w w:val="84"/>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6,815</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84"/>
              </w:rPr>
              <w:t>5,986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0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4.0828</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11/03/2015</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2"/>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5"/>
                <w:szCs w:val="5"/>
                <w:color w:val="auto"/>
              </w:rPr>
            </w:pPr>
          </w:p>
        </w:tc>
        <w:tc>
          <w:tcPr>
            <w:tcW w:w="70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5,986</w:t>
            </w:r>
          </w:p>
        </w:tc>
        <w:tc>
          <w:tcPr>
            <w:tcW w:w="820" w:type="dxa"/>
            <w:vAlign w:val="bottom"/>
            <w:vMerge w:val="continue"/>
          </w:tcPr>
          <w:p>
            <w:pPr>
              <w:spacing w:after="0"/>
              <w:rPr>
                <w:sz w:val="5"/>
                <w:szCs w:val="5"/>
                <w:color w:val="auto"/>
              </w:rPr>
            </w:pPr>
          </w:p>
        </w:tc>
        <w:tc>
          <w:tcPr>
            <w:tcW w:w="80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w w:val="94"/>
              </w:rPr>
              <w:t>11/17/2019</w:t>
            </w: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ind w:left="280"/>
              <w:spacing w:after="0" w:line="149" w:lineRule="exact"/>
              <w:rPr>
                <w:sz w:val="20"/>
                <w:szCs w:val="20"/>
                <w:color w:val="auto"/>
              </w:rPr>
            </w:pPr>
            <w:r>
              <w:rPr>
                <w:rFonts w:ascii="Arial" w:cs="Arial" w:eastAsia="Arial" w:hAnsi="Arial"/>
                <w:sz w:val="14"/>
                <w:szCs w:val="14"/>
                <w:color w:val="0000FF"/>
              </w:rPr>
              <w:t>4,542</w:t>
            </w:r>
          </w:p>
        </w:tc>
        <w:tc>
          <w:tcPr>
            <w:tcW w:w="5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jc w:val="right"/>
              <w:ind w:right="32"/>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89"/>
              </w:rPr>
              <w:t>14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0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4.0828</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11/03/2015</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2"/>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5"/>
                <w:szCs w:val="5"/>
                <w:color w:val="auto"/>
              </w:rPr>
            </w:pPr>
          </w:p>
        </w:tc>
        <w:tc>
          <w:tcPr>
            <w:tcW w:w="700" w:type="dxa"/>
            <w:vAlign w:val="bottom"/>
            <w:vMerge w:val="restart"/>
          </w:tcPr>
          <w:p>
            <w:pPr>
              <w:jc w:val="right"/>
              <w:ind w:right="58"/>
              <w:spacing w:after="0" w:line="149" w:lineRule="exact"/>
              <w:rPr>
                <w:sz w:val="20"/>
                <w:szCs w:val="20"/>
                <w:color w:val="auto"/>
              </w:rPr>
            </w:pPr>
            <w:r>
              <w:rPr>
                <w:rFonts w:ascii="Arial" w:cs="Arial" w:eastAsia="Arial" w:hAnsi="Arial"/>
                <w:sz w:val="14"/>
                <w:szCs w:val="14"/>
                <w:color w:val="0000FF"/>
              </w:rPr>
              <w:t>14</w:t>
            </w:r>
          </w:p>
        </w:tc>
        <w:tc>
          <w:tcPr>
            <w:tcW w:w="820" w:type="dxa"/>
            <w:vAlign w:val="bottom"/>
            <w:vMerge w:val="continue"/>
          </w:tcPr>
          <w:p>
            <w:pPr>
              <w:spacing w:after="0"/>
              <w:rPr>
                <w:sz w:val="5"/>
                <w:szCs w:val="5"/>
                <w:color w:val="auto"/>
              </w:rPr>
            </w:pPr>
          </w:p>
        </w:tc>
        <w:tc>
          <w:tcPr>
            <w:tcW w:w="80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w w:val="94"/>
              </w:rPr>
              <w:t>11/17/2019</w:t>
            </w: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ind w:left="280"/>
              <w:spacing w:after="0" w:line="149" w:lineRule="exact"/>
              <w:rPr>
                <w:sz w:val="20"/>
                <w:szCs w:val="20"/>
                <w:color w:val="auto"/>
              </w:rPr>
            </w:pPr>
            <w:r>
              <w:rPr>
                <w:rFonts w:ascii="Arial" w:cs="Arial" w:eastAsia="Arial" w:hAnsi="Arial"/>
                <w:sz w:val="14"/>
                <w:szCs w:val="14"/>
                <w:color w:val="0000FF"/>
              </w:rPr>
              <w:t>8,243</w:t>
            </w:r>
          </w:p>
        </w:tc>
        <w:tc>
          <w:tcPr>
            <w:tcW w:w="5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jc w:val="right"/>
              <w:ind w:right="32"/>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directly by the Worthington Family Trust dated March 6, 2007, a trust for the benefit of the Reporting Person and the Reporting Person's spouse, for which the Reporting Person and the Reporting Person's spouse serve as trustees.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Worthington were effected pursuant to a Rule 10b5-1 trading plan adopted on August 29, 2014.</w:t>
      </w:r>
    </w:p>
    <w:p>
      <w:pPr>
        <w:spacing w:after="0" w:line="41" w:lineRule="exact"/>
        <w:rPr>
          <w:rFonts w:ascii="Arial" w:cs="Arial" w:eastAsia="Arial" w:hAnsi="Arial"/>
          <w:sz w:val="14"/>
          <w:szCs w:val="14"/>
          <w:color w:val="008000"/>
        </w:rPr>
      </w:pPr>
    </w:p>
    <w:p>
      <w:pPr>
        <w:jc w:val="both"/>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$11.50 to $11.53,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February 1,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Valerie Barnett, attorney-in- </w:t>
      </w:r>
      <w:r>
        <w:rPr>
          <w:rFonts w:ascii="Arial" w:cs="Arial" w:eastAsia="Arial" w:hAnsi="Arial"/>
          <w:sz w:val="35"/>
          <w:szCs w:val="35"/>
          <w:color w:val="0000FF"/>
          <w:vertAlign w:val="subscript"/>
        </w:rPr>
        <w:t>11/06/2015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2019-12-07T23:55:34Z</dcterms:created>
  <dcterms:modified xsi:type="dcterms:W3CDTF">2019-12-07T23:55:34Z</dcterms:modified>
</cp:coreProperties>
</file>