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904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9044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tcPr>
          <w:p>
            <w:pPr>
              <w:spacing w:after="0" w:line="181" w:lineRule="exact"/>
              <w:rPr>
                <w:rFonts w:ascii="Times New Roman" w:cs="Times New Roman" w:eastAsia="Times New Roman" w:hAnsi="Times New Roman"/>
                <w:sz w:val="16"/>
                <w:szCs w:val="16"/>
                <w:color w:val="0000EE"/>
                <w:w w:val="94"/>
              </w:rPr>
            </w:pPr>
            <w:hyperlink r:id="rId11">
              <w:r>
                <w:rPr>
                  <w:rFonts w:ascii="Times New Roman" w:cs="Times New Roman" w:eastAsia="Times New Roman" w:hAnsi="Times New Roman"/>
                  <w:sz w:val="16"/>
                  <w:szCs w:val="16"/>
                  <w:color w:val="0000EE"/>
                  <w:w w:val="94"/>
                </w:rPr>
                <w:t>Witney Frank</w:t>
              </w:r>
            </w:hyperlink>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0000EE"/>
            </w:tcBorders>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04/04/2022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0"/>
                <w:szCs w:val="10"/>
                <w:color w:val="auto"/>
              </w:rPr>
              <w:t>(Last)</w:t>
            </w:r>
          </w:p>
        </w:tc>
        <w:tc>
          <w:tcPr>
            <w:tcW w:w="1040" w:type="dxa"/>
            <w:vAlign w:val="bottom"/>
          </w:tcPr>
          <w:p>
            <w:pPr>
              <w:ind w:left="8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STANDARD BIOTOOLS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LAB</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460"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 STANDARD BIOTOOLS INC.</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2 TOWER PLACE, STE 2000</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920" w:type="dxa"/>
            <w:vAlign w:val="bottom"/>
          </w:tcPr>
          <w:p>
            <w:pPr>
              <w:spacing w:after="0"/>
              <w:rPr>
                <w:sz w:val="20"/>
                <w:szCs w:val="20"/>
                <w:color w:val="auto"/>
              </w:rPr>
            </w:pPr>
            <w:r>
              <w:rPr>
                <w:rFonts w:ascii="Arial" w:cs="Arial" w:eastAsia="Arial" w:hAnsi="Arial"/>
                <w:sz w:val="10"/>
                <w:szCs w:val="10"/>
                <w:color w:val="auto"/>
              </w:rPr>
              <w:t>(Street)</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9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SOUTH SAN</w:t>
            </w: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CA</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94080</w:t>
            </w:r>
          </w:p>
        </w:tc>
        <w:tc>
          <w:tcPr>
            <w:tcW w:w="0" w:type="dxa"/>
            <w:vAlign w:val="bottom"/>
          </w:tcPr>
          <w:p>
            <w:pPr>
              <w:spacing w:after="0"/>
              <w:rPr>
                <w:sz w:val="1"/>
                <w:szCs w:val="1"/>
                <w:color w:val="auto"/>
              </w:rPr>
            </w:pPr>
          </w:p>
        </w:tc>
      </w:tr>
      <w:tr>
        <w:trPr>
          <w:trHeight w:val="8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FRANCISCO</w:t>
            </w:r>
          </w:p>
        </w:tc>
        <w:tc>
          <w:tcPr>
            <w:tcW w:w="11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6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9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0" w:type="dxa"/>
            <w:vAlign w:val="bottom"/>
            <w:tcBorders>
              <w:bottom w:val="single" w:sz="8" w:color="2C2C2C"/>
            </w:tcBorders>
          </w:tcPr>
          <w:p>
            <w:pPr>
              <w:spacing w:after="0"/>
              <w:rPr>
                <w:sz w:val="21"/>
                <w:szCs w:val="21"/>
                <w:color w:val="auto"/>
              </w:rPr>
            </w:pPr>
          </w:p>
        </w:tc>
        <w:tc>
          <w:tcPr>
            <w:tcW w:w="3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1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1640" w:type="dxa"/>
            <w:vAlign w:val="bottom"/>
            <w:tcBorders>
              <w:bottom w:val="single" w:sz="8" w:color="2C2C2C"/>
            </w:tcBorders>
          </w:tcPr>
          <w:p>
            <w:pPr>
              <w:jc w:val="right"/>
              <w:ind w:right="526"/>
              <w:spacing w:after="0"/>
              <w:rPr>
                <w:sz w:val="20"/>
                <w:szCs w:val="20"/>
                <w:color w:val="auto"/>
              </w:rPr>
            </w:pPr>
            <w:r>
              <w:rPr>
                <w:rFonts w:ascii="Times New Roman" w:cs="Times New Roman" w:eastAsia="Times New Roman" w:hAnsi="Times New Roman"/>
                <w:sz w:val="13"/>
                <w:szCs w:val="13"/>
                <w:color w:val="0000FF"/>
              </w:rPr>
              <w:t>4,225</w:t>
            </w:r>
          </w:p>
        </w:tc>
        <w:tc>
          <w:tcPr>
            <w:tcW w:w="8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I</w:t>
            </w:r>
          </w:p>
        </w:tc>
        <w:tc>
          <w:tcPr>
            <w:tcW w:w="1680" w:type="dxa"/>
            <w:vAlign w:val="bottom"/>
            <w:tcBorders>
              <w:bottom w:val="single" w:sz="8" w:color="2C2C2C"/>
            </w:tcBorders>
            <w:gridSpan w:val="5"/>
          </w:tcPr>
          <w:p>
            <w:pPr>
              <w:ind w:left="440"/>
              <w:spacing w:after="0"/>
              <w:rPr>
                <w:sz w:val="20"/>
                <w:szCs w:val="20"/>
                <w:color w:val="auto"/>
              </w:rPr>
            </w:pPr>
            <w:r>
              <w:rPr>
                <w:rFonts w:ascii="Times New Roman" w:cs="Times New Roman" w:eastAsia="Times New Roman" w:hAnsi="Times New Roman"/>
                <w:sz w:val="13"/>
                <w:szCs w:val="13"/>
                <w:color w:val="0000FF"/>
              </w:rPr>
              <w:t>See footnote</w:t>
            </w:r>
            <w:r>
              <w:rPr>
                <w:rFonts w:ascii="Times New Roman" w:cs="Times New Roman" w:eastAsia="Times New Roman" w:hAnsi="Times New Roman"/>
                <w:sz w:val="16"/>
                <w:szCs w:val="16"/>
                <w:color w:val="008000"/>
                <w:vertAlign w:val="superscript"/>
              </w:rPr>
              <w:t>(1)</w:t>
            </w:r>
          </w:p>
        </w:tc>
        <w:tc>
          <w:tcPr>
            <w:tcW w:w="1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360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4020" w:type="dxa"/>
            <w:vAlign w:val="bottom"/>
            <w:tcBorders>
              <w:top w:val="single" w:sz="8" w:color="2C2C2C"/>
            </w:tcBorders>
            <w:gridSpan w:val="5"/>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72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15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4140" w:type="dxa"/>
            <w:vAlign w:val="bottom"/>
            <w:gridSpan w:val="6"/>
          </w:tcPr>
          <w:p>
            <w:pPr>
              <w:ind w:left="1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6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52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3"/>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4"/>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gridSpan w:val="2"/>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6"/>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4"/>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1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gridSpan w:val="2"/>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gridSpan w:val="2"/>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2C2C2C"/>
            </w:tcBorders>
          </w:tcPr>
          <w:p>
            <w:pPr>
              <w:spacing w:after="0"/>
              <w:rPr>
                <w:sz w:val="2"/>
                <w:szCs w:val="2"/>
                <w:color w:val="auto"/>
              </w:rPr>
            </w:pPr>
          </w:p>
        </w:tc>
        <w:tc>
          <w:tcPr>
            <w:tcW w:w="3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0" w:type="dxa"/>
            <w:vAlign w:val="bottom"/>
            <w:gridSpan w:val="10"/>
          </w:tcPr>
          <w:p>
            <w:pPr>
              <w:ind w:left="20"/>
              <w:spacing w:after="0"/>
              <w:rPr>
                <w:sz w:val="20"/>
                <w:szCs w:val="20"/>
                <w:color w:val="auto"/>
              </w:rPr>
            </w:pPr>
            <w:r>
              <w:rPr>
                <w:rFonts w:ascii="Times New Roman" w:cs="Times New Roman" w:eastAsia="Times New Roman" w:hAnsi="Times New Roman"/>
                <w:sz w:val="10"/>
                <w:szCs w:val="10"/>
                <w:color w:val="008000"/>
              </w:rPr>
              <w:t>1. Shares held indirectly by First Amended and Restated Revocable Trust Agreement For The Franklin R. Witney and Catherine J. Caulfield-Witney Trust Agreement Dated September 25, 2009 (dated July 31, 2018).</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Remarks: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/s/ Frank Witney by Nicholas Khadder,</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04/06/2022</w:t>
            </w: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80" w:type="dxa"/>
            <w:vAlign w:val="bottom"/>
            <w:tcBorders>
              <w:top w:val="single" w:sz="8" w:color="auto"/>
            </w:tcBorders>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8"/>
              </w:rPr>
              <w:t>Attorney-in-Fact</w:t>
            </w:r>
          </w:p>
        </w:tc>
        <w:tc>
          <w:tcPr>
            <w:tcW w:w="260" w:type="dxa"/>
            <w:vAlign w:val="bottom"/>
            <w:tcBorders>
              <w:top w:val="single" w:sz="8" w:color="auto"/>
            </w:tcBorders>
            <w:vMerge w:val="restart"/>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80" w:type="dxa"/>
            <w:vAlign w:val="bottom"/>
            <w:tcBorders>
              <w:top w:val="single" w:sz="8" w:color="auto"/>
              <w:bottom w:val="single" w:sz="8" w:color="auto"/>
            </w:tcBorders>
            <w:vMerge w:val="continue"/>
          </w:tcPr>
          <w:p>
            <w:pPr>
              <w:spacing w:after="0"/>
              <w:rPr>
                <w:sz w:val="5"/>
                <w:szCs w:val="5"/>
                <w:color w:val="auto"/>
              </w:rPr>
            </w:pPr>
          </w:p>
        </w:tc>
        <w:tc>
          <w:tcPr>
            <w:tcW w:w="260" w:type="dxa"/>
            <w:vAlign w:val="bottom"/>
            <w:tcBorders>
              <w:top w:val="single" w:sz="8" w:color="auto"/>
            </w:tcBorders>
            <w:vMerge w:val="continue"/>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960" w:type="dxa"/>
            <w:vAlign w:val="bottom"/>
            <w:gridSpan w:val="4"/>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gridSpan w:val="7"/>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Standard BioTools Inc. (f/k/a Fluidigm Corporation) (the "Company"), hereby constitutes a</w:t>
      </w:r>
    </w:p>
    <w:p>
      <w:pPr>
        <w:spacing w:after="0" w:line="153" w:lineRule="exact"/>
        <w:rPr>
          <w:sz w:val="20"/>
          <w:szCs w:val="20"/>
          <w:color w:val="auto"/>
        </w:rPr>
      </w:pPr>
    </w:p>
    <w:p>
      <w:pPr>
        <w:ind w:left="460" w:hanging="460"/>
        <w:spacing w:after="0"/>
        <w:tabs>
          <w:tab w:leader="none" w:pos="4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ID, 3,4 and 5 and other forms and all amendments thereto as such attorney-in-fact shall in his or her discret</w:t>
      </w:r>
    </w:p>
    <w:p>
      <w:pPr>
        <w:spacing w:after="0" w:line="152" w:lineRule="exact"/>
        <w:rPr>
          <w:rFonts w:ascii="Courier New" w:cs="Courier New" w:eastAsia="Courier New" w:hAnsi="Courier New"/>
          <w:sz w:val="13"/>
          <w:szCs w:val="13"/>
          <w:color w:val="auto"/>
        </w:rPr>
      </w:pPr>
    </w:p>
    <w:p>
      <w:pPr>
        <w:jc w:val="both"/>
        <w:spacing w:after="0" w:line="489" w:lineRule="auto"/>
        <w:tabs>
          <w:tab w:leader="none" w:pos="468"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attorney-in-fact and agents shall do or cause to be done by virtue hereof. The und This Power of Attorney shall remain in full force and effect until the undersigned is no longer required to file Forms ID, 3, 4 and 5 with res IN WITNESS WHEREOF, the undersigned has caused this Power of Attorney to be executed as of this 28th day of March,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Frank R. Witney</w:t>
      </w:r>
    </w:p>
    <w:p>
      <w:pPr>
        <w:spacing w:after="0" w:line="27"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Frank R. Witney</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55312"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2022-04-06T17:30:46Z</dcterms:created>
  <dcterms:modified xsi:type="dcterms:W3CDTF">2022-04-06T17:30:46Z</dcterms:modified>
</cp:coreProperties>
</file>