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8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LEVIN CAPITAL STRATEGIES, L.P.</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FLUIDIGM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FLDM</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80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540" w:type="dxa"/>
            <w:vAlign w:val="bottom"/>
            <w:tcBorders>
              <w:top w:val="single" w:sz="8" w:color="0000EE"/>
            </w:tcBorders>
          </w:tcPr>
          <w:p>
            <w:pPr>
              <w:spacing w:after="0"/>
              <w:rPr>
                <w:sz w:val="5"/>
                <w:szCs w:val="5"/>
                <w:color w:val="auto"/>
              </w:rPr>
            </w:pPr>
          </w:p>
        </w:tc>
        <w:tc>
          <w:tcPr>
            <w:tcW w:w="2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400" w:type="dxa"/>
            <w:vAlign w:val="bottom"/>
            <w:vMerge w:val="restart"/>
          </w:tcPr>
          <w:p>
            <w:pPr>
              <w:ind w:left="460"/>
              <w:spacing w:after="0"/>
              <w:rPr>
                <w:sz w:val="20"/>
                <w:szCs w:val="20"/>
                <w:color w:val="auto"/>
              </w:rPr>
            </w:pPr>
            <w:r>
              <w:rPr>
                <w:rFonts w:ascii="Arial" w:cs="Arial" w:eastAsia="Arial" w:hAnsi="Arial"/>
                <w:sz w:val="14"/>
                <w:szCs w:val="14"/>
                <w:color w:val="auto"/>
              </w:rPr>
              <w:t>(First)</w:t>
            </w:r>
          </w:p>
        </w:tc>
        <w:tc>
          <w:tcPr>
            <w:tcW w:w="1580" w:type="dxa"/>
            <w:vAlign w:val="bottom"/>
            <w:gridSpan w:val="2"/>
            <w:vMerge w:val="restart"/>
          </w:tcPr>
          <w:p>
            <w:pPr>
              <w:ind w:left="3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gridSpan w:val="4"/>
          </w:tcPr>
          <w:p>
            <w:pPr>
              <w:ind w:left="160"/>
              <w:spacing w:after="0"/>
              <w:rPr>
                <w:sz w:val="20"/>
                <w:szCs w:val="20"/>
                <w:color w:val="auto"/>
              </w:rPr>
            </w:pPr>
            <w:r>
              <w:rPr>
                <w:rFonts w:ascii="Arial" w:cs="Arial" w:eastAsia="Arial" w:hAnsi="Arial"/>
                <w:sz w:val="18"/>
                <w:szCs w:val="18"/>
                <w:color w:val="0000FF"/>
              </w:rPr>
              <w:t>12/14/2018</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17TH FLOOR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tbl>
      <w:tblPr>
        <w:tblLayout w:type="fixed"/>
        <w:tblInd w:w="543"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Passive Investor</w:t>
      </w:r>
    </w:p>
    <w:p>
      <w:pPr>
        <w:spacing w:after="0" w:line="462" w:lineRule="exact"/>
        <w:rPr>
          <w:sz w:val="20"/>
          <w:szCs w:val="20"/>
          <w:color w:val="auto"/>
        </w:rPr>
      </w:pPr>
    </w:p>
    <w:p>
      <w:pPr>
        <w:sectPr>
          <w:pgSz w:w="11900" w:h="16838" w:orient="portrait"/>
          <w:cols w:equalWidth="0" w:num="2">
            <w:col w:w="7980" w:space="77"/>
            <w:col w:w="3363"/>
          </w:cols>
          <w:pgMar w:left="240" w:top="226" w:right="239" w:bottom="0" w:gutter="0" w:footer="0" w:header="0"/>
          <w:type w:val="continuous"/>
        </w:sectPr>
      </w:pPr>
    </w:p>
    <w:p>
      <w:pPr>
        <w:spacing w:after="0" w:line="175"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ind w:right="26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sectPr>
          <w:pgSz w:w="11900" w:h="16838" w:orient="portrait"/>
          <w:cols w:equalWidth="0" w:num="2">
            <w:col w:w="7340" w:space="720"/>
            <w:col w:w="336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46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2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2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172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2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1720" w:type="dxa"/>
            <w:vAlign w:val="bottom"/>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77"/>
        </w:trPr>
        <w:tc>
          <w:tcPr>
            <w:tcW w:w="246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46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4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4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4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46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By: Managed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8"/>
                <w:szCs w:val="18"/>
                <w:color w:val="0000FF"/>
                <w:w w:val="91"/>
              </w:rPr>
              <w:t>Common Stock</w:t>
            </w:r>
            <w:r>
              <w:rPr>
                <w:rFonts w:ascii="Arial" w:cs="Arial" w:eastAsia="Arial" w:hAnsi="Arial"/>
                <w:sz w:val="22"/>
                <w:szCs w:val="22"/>
                <w:color w:val="008000"/>
                <w:w w:val="91"/>
                <w:vertAlign w:val="superscript"/>
              </w:rPr>
              <w:t>(1)(2)</w:t>
            </w:r>
          </w:p>
        </w:tc>
        <w:tc>
          <w:tcPr>
            <w:tcW w:w="1180" w:type="dxa"/>
            <w:vAlign w:val="bottom"/>
          </w:tcPr>
          <w:p>
            <w:pPr>
              <w:spacing w:after="0"/>
              <w:rPr>
                <w:sz w:val="18"/>
                <w:szCs w:val="18"/>
                <w:color w:val="auto"/>
              </w:rPr>
            </w:pPr>
          </w:p>
        </w:tc>
        <w:tc>
          <w:tcPr>
            <w:tcW w:w="1720" w:type="dxa"/>
            <w:vAlign w:val="bottom"/>
            <w:gridSpan w:val="3"/>
            <w:vMerge w:val="restart"/>
          </w:tcPr>
          <w:p>
            <w:pPr>
              <w:ind w:left="500"/>
              <w:spacing w:after="0"/>
              <w:rPr>
                <w:sz w:val="20"/>
                <w:szCs w:val="20"/>
                <w:color w:val="auto"/>
              </w:rPr>
            </w:pPr>
            <w:r>
              <w:rPr>
                <w:rFonts w:ascii="Arial" w:cs="Arial" w:eastAsia="Arial" w:hAnsi="Arial"/>
                <w:sz w:val="18"/>
                <w:szCs w:val="18"/>
                <w:color w:val="0000FF"/>
              </w:rPr>
              <w:t>12/14/2018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vMerge w:val="restart"/>
          </w:tcPr>
          <w:p>
            <w:pPr>
              <w:ind w:left="80"/>
              <w:spacing w:after="0"/>
              <w:rPr>
                <w:sz w:val="20"/>
                <w:szCs w:val="20"/>
                <w:color w:val="auto"/>
              </w:rPr>
            </w:pPr>
            <w:r>
              <w:rPr>
                <w:rFonts w:ascii="Arial" w:cs="Arial" w:eastAsia="Arial" w:hAnsi="Arial"/>
                <w:sz w:val="14"/>
                <w:szCs w:val="14"/>
                <w:color w:val="0000FF"/>
              </w:rPr>
              <w:t>P</w:t>
            </w:r>
          </w:p>
        </w:tc>
        <w:tc>
          <w:tcPr>
            <w:tcW w:w="760" w:type="dxa"/>
            <w:vAlign w:val="bottom"/>
            <w:vMerge w:val="restart"/>
          </w:tcPr>
          <w:p>
            <w:pPr>
              <w:jc w:val="right"/>
              <w:ind w:right="350"/>
              <w:spacing w:after="0"/>
              <w:rPr>
                <w:sz w:val="20"/>
                <w:szCs w:val="20"/>
                <w:color w:val="auto"/>
              </w:rPr>
            </w:pPr>
            <w:r>
              <w:rPr>
                <w:rFonts w:ascii="Arial" w:cs="Arial" w:eastAsia="Arial" w:hAnsi="Arial"/>
                <w:sz w:val="18"/>
                <w:szCs w:val="18"/>
                <w:color w:val="0000FF"/>
              </w:rPr>
              <w:t>41</w:t>
            </w:r>
          </w:p>
        </w:tc>
        <w:tc>
          <w:tcPr>
            <w:tcW w:w="480" w:type="dxa"/>
            <w:vAlign w:val="bottom"/>
            <w:vMerge w:val="restart"/>
          </w:tcPr>
          <w:p>
            <w:pPr>
              <w:ind w:left="80"/>
              <w:spacing w:after="0"/>
              <w:rPr>
                <w:sz w:val="20"/>
                <w:szCs w:val="20"/>
                <w:color w:val="auto"/>
              </w:rPr>
            </w:pPr>
            <w:r>
              <w:rPr>
                <w:rFonts w:ascii="Arial" w:cs="Arial" w:eastAsia="Arial" w:hAnsi="Arial"/>
                <w:sz w:val="18"/>
                <w:szCs w:val="18"/>
                <w:color w:val="0000FF"/>
              </w:rPr>
              <w:t>A</w:t>
            </w:r>
          </w:p>
        </w:tc>
        <w:tc>
          <w:tcPr>
            <w:tcW w:w="620" w:type="dxa"/>
            <w:vAlign w:val="bottom"/>
            <w:vMerge w:val="restart"/>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7.81</w:t>
            </w:r>
          </w:p>
        </w:tc>
        <w:tc>
          <w:tcPr>
            <w:tcW w:w="1540" w:type="dxa"/>
            <w:vAlign w:val="bottom"/>
            <w:gridSpan w:val="2"/>
            <w:vMerge w:val="restart"/>
          </w:tcPr>
          <w:p>
            <w:pPr>
              <w:jc w:val="center"/>
              <w:ind w:right="439"/>
              <w:spacing w:after="0"/>
              <w:rPr>
                <w:sz w:val="20"/>
                <w:szCs w:val="20"/>
                <w:color w:val="auto"/>
              </w:rPr>
            </w:pPr>
            <w:r>
              <w:rPr>
                <w:rFonts w:ascii="Arial" w:cs="Arial" w:eastAsia="Arial" w:hAnsi="Arial"/>
                <w:sz w:val="18"/>
                <w:szCs w:val="18"/>
                <w:color w:val="0000FF"/>
                <w:w w:val="88"/>
              </w:rPr>
              <w:t>10,412,625</w:t>
            </w:r>
          </w:p>
        </w:tc>
        <w:tc>
          <w:tcPr>
            <w:tcW w:w="16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Accounts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3"/>
            <w:vMerge w:val="continue"/>
          </w:tcPr>
          <w:p>
            <w:pPr>
              <w:spacing w:after="0"/>
              <w:rPr>
                <w:sz w:val="18"/>
                <w:szCs w:val="18"/>
                <w:color w:val="auto"/>
              </w:rPr>
            </w:pPr>
          </w:p>
        </w:tc>
        <w:tc>
          <w:tcPr>
            <w:tcW w:w="1180" w:type="dxa"/>
            <w:vAlign w:val="bottom"/>
          </w:tcPr>
          <w:p>
            <w:pPr>
              <w:spacing w:after="0"/>
              <w:rPr>
                <w:sz w:val="18"/>
                <w:szCs w:val="18"/>
                <w:color w:val="auto"/>
              </w:rPr>
            </w:pPr>
          </w:p>
        </w:tc>
        <w:tc>
          <w:tcPr>
            <w:tcW w:w="17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Levin Capital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w w:val="90"/>
              </w:rPr>
              <w:t>Strategies, L.P.</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ind w:left="420"/>
              <w:spacing w:after="0"/>
              <w:rPr>
                <w:sz w:val="20"/>
                <w:szCs w:val="20"/>
                <w:color w:val="auto"/>
              </w:rPr>
            </w:pPr>
            <w:r>
              <w:rPr>
                <w:rFonts w:ascii="Arial" w:cs="Arial" w:eastAsia="Arial" w:hAnsi="Arial"/>
                <w:sz w:val="11"/>
                <w:szCs w:val="11"/>
                <w:color w:val="008000"/>
              </w:rPr>
              <w:t>(3)(4)</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By: Bi-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8"/>
                <w:szCs w:val="18"/>
                <w:color w:val="0000FF"/>
                <w:w w:val="91"/>
              </w:rPr>
              <w:t>Common Stock</w:t>
            </w:r>
            <w:r>
              <w:rPr>
                <w:rFonts w:ascii="Arial" w:cs="Arial" w:eastAsia="Arial" w:hAnsi="Arial"/>
                <w:sz w:val="22"/>
                <w:szCs w:val="22"/>
                <w:color w:val="008000"/>
                <w:w w:val="91"/>
                <w:vertAlign w:val="superscript"/>
              </w:rPr>
              <w:t>(1)(2)</w:t>
            </w: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vMerge w:val="restart"/>
          </w:tcPr>
          <w:p>
            <w:pPr>
              <w:jc w:val="center"/>
              <w:ind w:left="186"/>
              <w:spacing w:after="0"/>
              <w:rPr>
                <w:sz w:val="20"/>
                <w:szCs w:val="20"/>
                <w:color w:val="auto"/>
              </w:rPr>
            </w:pPr>
            <w:r>
              <w:rPr>
                <w:rFonts w:ascii="Arial" w:cs="Arial" w:eastAsia="Arial" w:hAnsi="Arial"/>
                <w:sz w:val="18"/>
                <w:szCs w:val="18"/>
                <w:color w:val="0000FF"/>
                <w:w w:val="87"/>
              </w:rPr>
              <w:t>95,606</w:t>
            </w:r>
          </w:p>
        </w:tc>
        <w:tc>
          <w:tcPr>
            <w:tcW w:w="760" w:type="dxa"/>
            <w:vAlign w:val="bottom"/>
          </w:tcPr>
          <w:p>
            <w:pPr>
              <w:spacing w:after="0"/>
              <w:rPr>
                <w:sz w:val="18"/>
                <w:szCs w:val="18"/>
                <w:color w:val="auto"/>
              </w:rPr>
            </w:pPr>
          </w:p>
        </w:tc>
        <w:tc>
          <w:tcPr>
            <w:tcW w:w="16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Directional</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560" w:type="dxa"/>
            <w:vAlign w:val="bottom"/>
            <w:gridSpan w:val="3"/>
            <w:vMerge w:val="restart"/>
          </w:tcPr>
          <w:p>
            <w:pPr>
              <w:ind w:left="420"/>
              <w:spacing w:after="0"/>
              <w:rPr>
                <w:sz w:val="20"/>
                <w:szCs w:val="20"/>
                <w:color w:val="auto"/>
              </w:rPr>
            </w:pPr>
            <w:r>
              <w:rPr>
                <w:rFonts w:ascii="Arial" w:cs="Arial" w:eastAsia="Arial" w:hAnsi="Arial"/>
                <w:sz w:val="18"/>
                <w:szCs w:val="18"/>
                <w:color w:val="0000FF"/>
                <w:w w:val="99"/>
              </w:rPr>
              <w:t>Disequilibrium</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Fund, L.P.</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ind w:left="420"/>
              <w:spacing w:after="0"/>
              <w:rPr>
                <w:sz w:val="20"/>
                <w:szCs w:val="20"/>
                <w:color w:val="auto"/>
              </w:rPr>
            </w:pPr>
            <w:r>
              <w:rPr>
                <w:rFonts w:ascii="Arial" w:cs="Arial" w:eastAsia="Arial" w:hAnsi="Arial"/>
                <w:sz w:val="18"/>
                <w:szCs w:val="18"/>
                <w:color w:val="0000FF"/>
              </w:rPr>
              <w:t>By:</w:t>
            </w:r>
          </w:p>
        </w:tc>
        <w:tc>
          <w:tcPr>
            <w:tcW w:w="7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8"/>
                <w:szCs w:val="18"/>
                <w:color w:val="0000FF"/>
                <w:w w:val="91"/>
              </w:rPr>
              <w:t>Common Stock</w:t>
            </w:r>
            <w:r>
              <w:rPr>
                <w:rFonts w:ascii="Arial" w:cs="Arial" w:eastAsia="Arial" w:hAnsi="Arial"/>
                <w:sz w:val="22"/>
                <w:szCs w:val="22"/>
                <w:color w:val="008000"/>
                <w:w w:val="91"/>
                <w:vertAlign w:val="superscript"/>
              </w:rPr>
              <w:t>(1)(2)</w:t>
            </w: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40" w:type="dxa"/>
            <w:vAlign w:val="bottom"/>
            <w:gridSpan w:val="2"/>
            <w:vMerge w:val="restart"/>
          </w:tcPr>
          <w:p>
            <w:pPr>
              <w:jc w:val="center"/>
              <w:ind w:right="459"/>
              <w:spacing w:after="0"/>
              <w:rPr>
                <w:sz w:val="20"/>
                <w:szCs w:val="20"/>
                <w:color w:val="auto"/>
              </w:rPr>
            </w:pPr>
            <w:r>
              <w:rPr>
                <w:rFonts w:ascii="Arial" w:cs="Arial" w:eastAsia="Arial" w:hAnsi="Arial"/>
                <w:sz w:val="18"/>
                <w:szCs w:val="18"/>
                <w:color w:val="0000FF"/>
                <w:w w:val="87"/>
              </w:rPr>
              <w:t>1,870,000</w:t>
            </w:r>
          </w:p>
        </w:tc>
        <w:tc>
          <w:tcPr>
            <w:tcW w:w="16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Transamerica</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560" w:type="dxa"/>
            <w:vAlign w:val="bottom"/>
            <w:gridSpan w:val="3"/>
            <w:vMerge w:val="restart"/>
          </w:tcPr>
          <w:p>
            <w:pPr>
              <w:ind w:left="420"/>
              <w:spacing w:after="0"/>
              <w:rPr>
                <w:sz w:val="20"/>
                <w:szCs w:val="20"/>
                <w:color w:val="auto"/>
              </w:rPr>
            </w:pPr>
            <w:r>
              <w:rPr>
                <w:rFonts w:ascii="Arial" w:cs="Arial" w:eastAsia="Arial" w:hAnsi="Arial"/>
                <w:sz w:val="18"/>
                <w:szCs w:val="18"/>
                <w:color w:val="0000FF"/>
              </w:rPr>
              <w:t>Large Cap</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420"/>
              <w:spacing w:after="0"/>
              <w:rPr>
                <w:sz w:val="20"/>
                <w:szCs w:val="20"/>
                <w:color w:val="auto"/>
              </w:rPr>
            </w:pPr>
            <w:r>
              <w:rPr>
                <w:rFonts w:ascii="Arial" w:cs="Arial" w:eastAsia="Arial" w:hAnsi="Arial"/>
                <w:sz w:val="18"/>
                <w:szCs w:val="18"/>
                <w:color w:val="0000FF"/>
                <w:w w:val="99"/>
              </w:rPr>
              <w:t>Value Fund</w:t>
            </w:r>
            <w:r>
              <w:rPr>
                <w:rFonts w:ascii="Arial" w:cs="Arial" w:eastAsia="Arial" w:hAnsi="Arial"/>
                <w:sz w:val="22"/>
                <w:szCs w:val="22"/>
                <w:color w:val="008000"/>
                <w:w w:val="99"/>
                <w:vertAlign w:val="superscript"/>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8"/>
                <w:szCs w:val="18"/>
                <w:color w:val="0000FF"/>
                <w:w w:val="91"/>
              </w:rPr>
              <w:t>Common Stock</w:t>
            </w:r>
            <w:r>
              <w:rPr>
                <w:rFonts w:ascii="Arial" w:cs="Arial" w:eastAsia="Arial" w:hAnsi="Arial"/>
                <w:sz w:val="22"/>
                <w:szCs w:val="22"/>
                <w:color w:val="008000"/>
                <w:w w:val="91"/>
                <w:vertAlign w:val="superscript"/>
              </w:rPr>
              <w:t>(1)(2)</w:t>
            </w: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80" w:type="dxa"/>
            <w:vAlign w:val="bottom"/>
            <w:vMerge w:val="restart"/>
          </w:tcPr>
          <w:p>
            <w:pPr>
              <w:jc w:val="center"/>
              <w:ind w:left="186"/>
              <w:spacing w:after="0"/>
              <w:rPr>
                <w:sz w:val="20"/>
                <w:szCs w:val="20"/>
                <w:color w:val="auto"/>
              </w:rPr>
            </w:pPr>
            <w:r>
              <w:rPr>
                <w:rFonts w:ascii="Arial" w:cs="Arial" w:eastAsia="Arial" w:hAnsi="Arial"/>
                <w:sz w:val="18"/>
                <w:szCs w:val="18"/>
                <w:color w:val="0000FF"/>
                <w:w w:val="87"/>
              </w:rPr>
              <w:t>49,179</w:t>
            </w:r>
          </w:p>
        </w:tc>
        <w:tc>
          <w:tcPr>
            <w:tcW w:w="760" w:type="dxa"/>
            <w:vAlign w:val="bottom"/>
          </w:tcPr>
          <w:p>
            <w:pPr>
              <w:spacing w:after="0"/>
              <w:rPr>
                <w:sz w:val="22"/>
                <w:szCs w:val="22"/>
                <w:color w:val="auto"/>
              </w:rPr>
            </w:pPr>
          </w:p>
        </w:tc>
        <w:tc>
          <w:tcPr>
            <w:tcW w:w="16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By: John A.</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820" w:type="dxa"/>
            <w:vAlign w:val="bottom"/>
            <w:vMerge w:val="restart"/>
          </w:tcPr>
          <w:p>
            <w:pPr>
              <w:ind w:left="420"/>
              <w:spacing w:after="0"/>
              <w:rPr>
                <w:sz w:val="20"/>
                <w:szCs w:val="20"/>
                <w:color w:val="auto"/>
              </w:rPr>
            </w:pPr>
            <w:r>
              <w:rPr>
                <w:rFonts w:ascii="Arial" w:cs="Arial" w:eastAsia="Arial" w:hAnsi="Arial"/>
                <w:sz w:val="18"/>
                <w:szCs w:val="18"/>
                <w:color w:val="0000FF"/>
                <w:w w:val="88"/>
              </w:rPr>
              <w:t>Levin</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gridSpan w:val="2"/>
          </w:tcPr>
          <w:p>
            <w:pPr>
              <w:spacing w:after="0"/>
              <w:rPr>
                <w:sz w:val="8"/>
                <w:szCs w:val="8"/>
                <w:color w:val="auto"/>
              </w:rPr>
            </w:pPr>
          </w:p>
        </w:tc>
        <w:tc>
          <w:tcPr>
            <w:tcW w:w="96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436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380" w:type="dxa"/>
            <w:vAlign w:val="bottom"/>
            <w:tcBorders>
              <w:top w:val="single" w:sz="8" w:color="2C2C2C"/>
            </w:tcBorders>
            <w:gridSpan w:val="13"/>
          </w:tcPr>
          <w:p>
            <w:pPr>
              <w:ind w:left="100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20" w:type="dxa"/>
            <w:vAlign w:val="bottom"/>
            <w:gridSpan w:val="11"/>
          </w:tcPr>
          <w:p>
            <w:pPr>
              <w:ind w:left="56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6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160" w:type="dxa"/>
            <w:vAlign w:val="bottom"/>
          </w:tcPr>
          <w:p>
            <w:pPr>
              <w:spacing w:after="0"/>
              <w:rPr>
                <w:sz w:val="15"/>
                <w:szCs w:val="15"/>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16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16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16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right"/>
              <w:ind w:right="1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jc w:val="right"/>
              <w:ind w:right="35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620" w:type="dxa"/>
            <w:vAlign w:val="bottom"/>
            <w:tcBorders>
              <w:bottom w:val="single" w:sz="8" w:color="2C2C2C"/>
            </w:tcBorders>
            <w:gridSpan w:val="3"/>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4"/>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7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40" w:type="dxa"/>
            <w:vAlign w:val="bottom"/>
            <w:gridSpan w:val="5"/>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LEVIN CAPITAL STRATEGIES, L.P.</w:t>
              </w:r>
            </w:hyperlink>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gridSpan w:val="2"/>
          </w:tcPr>
          <w:p>
            <w:pPr>
              <w:ind w:left="300"/>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3"/>
          </w:tcPr>
          <w:p>
            <w:pPr>
              <w:spacing w:after="0"/>
              <w:rPr>
                <w:sz w:val="20"/>
                <w:szCs w:val="20"/>
                <w:color w:val="auto"/>
              </w:rPr>
            </w:pPr>
            <w:r>
              <w:rPr>
                <w:rFonts w:ascii="Arial" w:cs="Arial" w:eastAsia="Arial" w:hAnsi="Arial"/>
                <w:sz w:val="18"/>
                <w:szCs w:val="18"/>
                <w:color w:val="0000FF"/>
              </w:rPr>
              <w:t>595 MADISON AVENUE</w:t>
            </w: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1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180" w:type="dxa"/>
            <w:vAlign w:val="bottom"/>
          </w:tcPr>
          <w:p>
            <w:pPr>
              <w:ind w:left="20"/>
              <w:spacing w:after="0"/>
              <w:rPr>
                <w:sz w:val="20"/>
                <w:szCs w:val="20"/>
                <w:color w:val="auto"/>
              </w:rPr>
            </w:pPr>
            <w:r>
              <w:rPr>
                <w:rFonts w:ascii="Arial" w:cs="Arial" w:eastAsia="Arial" w:hAnsi="Arial"/>
                <w:sz w:val="18"/>
                <w:szCs w:val="18"/>
                <w:color w:val="0000FF"/>
              </w:rPr>
              <w:t>NY</w:t>
            </w:r>
          </w:p>
        </w:tc>
        <w:tc>
          <w:tcPr>
            <w:tcW w:w="760" w:type="dxa"/>
            <w:vAlign w:val="bottom"/>
          </w:tcPr>
          <w:p>
            <w:pPr>
              <w:ind w:left="300"/>
              <w:spacing w:after="0"/>
              <w:rPr>
                <w:sz w:val="20"/>
                <w:szCs w:val="20"/>
                <w:color w:val="auto"/>
              </w:rPr>
            </w:pPr>
            <w:r>
              <w:rPr>
                <w:rFonts w:ascii="Arial" w:cs="Arial" w:eastAsia="Arial" w:hAnsi="Arial"/>
                <w:sz w:val="18"/>
                <w:szCs w:val="18"/>
                <w:color w:val="0000FF"/>
                <w:w w:val="87"/>
              </w:rPr>
              <w:t>10022</w:t>
            </w: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(State)</w:t>
            </w:r>
          </w:p>
        </w:tc>
        <w:tc>
          <w:tcPr>
            <w:tcW w:w="1120" w:type="dxa"/>
            <w:vAlign w:val="bottom"/>
            <w:gridSpan w:val="2"/>
          </w:tcPr>
          <w:p>
            <w:pPr>
              <w:ind w:left="300"/>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p>
      <w:pPr>
        <w:ind w:left="120"/>
        <w:spacing w:after="0"/>
        <w:rPr>
          <w:rFonts w:ascii="Arial" w:cs="Arial" w:eastAsia="Arial" w:hAnsi="Arial"/>
          <w:sz w:val="19"/>
          <w:szCs w:val="19"/>
          <w:u w:val="single" w:color="auto"/>
          <w:color w:val="0000EE"/>
        </w:rPr>
      </w:pPr>
      <w:hyperlink r:id="rId14">
        <w:r>
          <w:rPr>
            <w:rFonts w:ascii="Arial" w:cs="Arial" w:eastAsia="Arial" w:hAnsi="Arial"/>
            <w:sz w:val="19"/>
            <w:szCs w:val="19"/>
            <w:u w:val="single" w:color="auto"/>
            <w:color w:val="0000EE"/>
          </w:rPr>
          <w:t>Levin Capital Strategies GP, LLC</w:t>
        </w:r>
      </w:hyperlink>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line="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6572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24175" cy="6572885"/>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140" w:type="dxa"/>
            <w:vAlign w:val="bottom"/>
          </w:tcPr>
          <w:p>
            <w:pPr>
              <w:ind w:left="200"/>
              <w:spacing w:after="0"/>
              <w:rPr>
                <w:sz w:val="20"/>
                <w:szCs w:val="20"/>
                <w:color w:val="auto"/>
              </w:rPr>
            </w:pPr>
            <w:r>
              <w:rPr>
                <w:rFonts w:ascii="Arial" w:cs="Arial" w:eastAsia="Arial" w:hAnsi="Arial"/>
                <w:sz w:val="14"/>
                <w:szCs w:val="14"/>
                <w:color w:val="auto"/>
              </w:rPr>
              <w:t>(First)</w:t>
            </w:r>
          </w:p>
        </w:tc>
        <w:tc>
          <w:tcPr>
            <w:tcW w:w="1940" w:type="dxa"/>
            <w:vAlign w:val="bottom"/>
          </w:tcPr>
          <w:p>
            <w:pPr>
              <w:ind w:left="5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9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114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270"/>
        </w:trPr>
        <w:tc>
          <w:tcPr>
            <w:tcW w:w="13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140" w:type="dxa"/>
            <w:vAlign w:val="bottom"/>
          </w:tcPr>
          <w:p>
            <w:pPr>
              <w:ind w:left="20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140" w:type="dxa"/>
            <w:vAlign w:val="bottom"/>
          </w:tcPr>
          <w:p>
            <w:pPr>
              <w:ind w:left="20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6">
        <w:r>
          <w:rPr>
            <w:rFonts w:ascii="Arial" w:cs="Arial" w:eastAsia="Arial" w:hAnsi="Arial"/>
            <w:sz w:val="22"/>
            <w:szCs w:val="22"/>
            <w:u w:val="single" w:color="auto"/>
            <w:color w:val="0000EE"/>
          </w:rPr>
          <w:t>Bi-Directional Disequilibrium Fund, L.P.</w:t>
        </w:r>
      </w:hyperlink>
    </w:p>
    <w:p>
      <w:pPr>
        <w:spacing w:after="0" w:line="317"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595 MADISON AVENUE</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17TH FLOOR</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480" w:type="dxa"/>
            <w:vAlign w:val="bottom"/>
            <w:gridSpan w:val="2"/>
          </w:tcPr>
          <w:p>
            <w:pPr>
              <w:ind w:left="20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gridSpan w:val="2"/>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260" w:type="dxa"/>
            <w:vAlign w:val="bottom"/>
            <w:gridSpan w:val="2"/>
          </w:tcPr>
          <w:p>
            <w:pPr>
              <w:spacing w:after="0" w:line="224" w:lineRule="exact"/>
              <w:rPr>
                <w:rFonts w:ascii="Arial" w:cs="Arial" w:eastAsia="Arial" w:hAnsi="Arial"/>
                <w:sz w:val="22"/>
                <w:szCs w:val="22"/>
                <w:color w:val="0000EE"/>
              </w:rPr>
            </w:pPr>
            <w:hyperlink r:id="rId17">
              <w:r>
                <w:rPr>
                  <w:rFonts w:ascii="Arial" w:cs="Arial" w:eastAsia="Arial" w:hAnsi="Arial"/>
                  <w:sz w:val="22"/>
                  <w:szCs w:val="22"/>
                  <w:color w:val="0000EE"/>
                </w:rPr>
                <w:t>LCS, LLC</w:t>
              </w:r>
            </w:hyperlink>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4440" w:type="dxa"/>
            <w:vAlign w:val="bottom"/>
            <w:gridSpan w:val="6"/>
          </w:tcPr>
          <w:p>
            <w:pPr>
              <w:spacing w:after="0"/>
              <w:rPr>
                <w:sz w:val="20"/>
                <w:szCs w:val="20"/>
                <w:color w:val="auto"/>
              </w:rPr>
            </w:pPr>
            <w:r>
              <w:rPr>
                <w:rFonts w:ascii="Arial" w:cs="Arial" w:eastAsia="Arial" w:hAnsi="Arial"/>
                <w:sz w:val="18"/>
                <w:szCs w:val="18"/>
                <w:color w:val="0000FF"/>
              </w:rPr>
              <w:t>595 MADISON AVENUE, 17TH FLOOR</w:t>
            </w:r>
          </w:p>
        </w:tc>
      </w:tr>
      <w:tr>
        <w:trPr>
          <w:trHeight w:val="212"/>
        </w:trPr>
        <w:tc>
          <w:tcPr>
            <w:tcW w:w="100" w:type="dxa"/>
            <w:vAlign w:val="bottom"/>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480" w:type="dxa"/>
            <w:vAlign w:val="bottom"/>
            <w:gridSpan w:val="2"/>
          </w:tcPr>
          <w:p>
            <w:pPr>
              <w:ind w:left="20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gridSpan w:val="2"/>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4"/>
          </w:tcPr>
          <w:p>
            <w:pPr>
              <w:spacing w:after="0" w:line="224" w:lineRule="exact"/>
              <w:rPr>
                <w:rFonts w:ascii="Arial" w:cs="Arial" w:eastAsia="Arial" w:hAnsi="Arial"/>
                <w:sz w:val="22"/>
                <w:szCs w:val="22"/>
                <w:color w:val="0000EE"/>
              </w:rPr>
            </w:pPr>
            <w:hyperlink r:id="rId18">
              <w:r>
                <w:rPr>
                  <w:rFonts w:ascii="Arial" w:cs="Arial" w:eastAsia="Arial" w:hAnsi="Arial"/>
                  <w:sz w:val="22"/>
                  <w:szCs w:val="22"/>
                  <w:color w:val="0000EE"/>
                </w:rPr>
                <w:t>LEVIN JOHN A</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480" w:type="dxa"/>
            <w:vAlign w:val="bottom"/>
            <w:gridSpan w:val="2"/>
          </w:tcPr>
          <w:p>
            <w:pPr>
              <w:ind w:left="20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10020</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4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Form 4 is filed jointly by Levin Capital Strategies, L.P. ("LCS"), Levin Capital Strategies GP, LLC ("LCS GP"), Bi-Directional Disequilibrium Fund, L.P. ("BDD")(formerly known as Levin Capital Trilogy Master Fund, Ltd.), LCS, LLC ("LCSL"), and John A. Levin (collectively, the "Reporting Persons"). The Reporting Persons are passive investors in the Issuer and are voluntarily filing this Form 4 as a result of acquiring over 20% of the Issuer's outstanding shares of Common Stock. The Reporting Persons have not acquired the shares with a purpose or effect of changing or influencing control of the Issuer.</w:t>
      </w:r>
    </w:p>
    <w:p>
      <w:pPr>
        <w:spacing w:after="0" w:line="2" w:lineRule="exact"/>
        <w:rPr>
          <w:rFonts w:ascii="Arial" w:cs="Arial" w:eastAsia="Arial" w:hAnsi="Arial"/>
          <w:sz w:val="12"/>
          <w:szCs w:val="12"/>
          <w:color w:val="008000"/>
        </w:rPr>
      </w:pPr>
    </w:p>
    <w:p>
      <w:pPr>
        <w:ind w:left="20" w:right="14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Rule 16a-1(a)(4) under the Securities Exchange Act of 1934, as amended (the "Exchange Act"), this filing shall not be construed as an admission that the Reporting Persons are, for purposes of Section 16 of the Exchange Act or otherwise, the beneficial owners of any of the securities reported herein under Section 16 or otherwise. Each of the Reporting Persons specifically disclaims beneficial ownership of the securities reported herein that are not directly owned by such Reporting Person, except to the extent of their pecuniary interest therein.</w:t>
      </w:r>
    </w:p>
    <w:p>
      <w:pPr>
        <w:spacing w:after="0" w:line="2" w:lineRule="exact"/>
        <w:rPr>
          <w:rFonts w:ascii="Arial" w:cs="Arial" w:eastAsia="Arial" w:hAnsi="Arial"/>
          <w:sz w:val="12"/>
          <w:szCs w:val="12"/>
          <w:color w:val="008000"/>
        </w:rPr>
      </w:pPr>
    </w:p>
    <w:p>
      <w:pPr>
        <w:ind w:left="20" w:firstLine="9"/>
        <w:spacing w:after="0" w:line="273"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in certain separately managed accounts (the "Managed Accounts"). LCS, as the investment manager to the Managed Accounts, may be deemed to beneficially own such shares. LCS does not have a reportable pecuniary interest under Section 16a-1(a)(2) of the Exchange Act in the shares held in the Managed Accounts, as LCS receives an asset-based management fee for serving as investment manager to the Managed Accounts, except that with respect to 127,460 shares held in the Managed Accounts, LCS receives a performance-based incentive fee. The performance-based incentive fee LCS receives also does not constitute a reportable pecuniary interest under Section 16a-1(a)(2) of the Exchange Act, as such fee is based on the performance of the overall account, over a period of one year or more, and the shares of the Issuer held in such accounts constitute no more than 10% of the market value thereof.</w:t>
      </w:r>
    </w:p>
    <w:p>
      <w:pPr>
        <w:spacing w:after="0" w:line="11" w:lineRule="exact"/>
        <w:rPr>
          <w:rFonts w:ascii="Arial" w:cs="Arial" w:eastAsia="Arial" w:hAnsi="Arial"/>
          <w:sz w:val="12"/>
          <w:szCs w:val="12"/>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For the reasons set forth in footnote 3, none of LCS GP, BDD, LCSL and Mr. Levin have a reportable pecuniary interest in the shares held in the Managed Accounts.</w:t>
      </w:r>
    </w:p>
    <w:p>
      <w:pPr>
        <w:spacing w:after="0" w:line="41" w:lineRule="exact"/>
        <w:rPr>
          <w:rFonts w:ascii="Arial" w:cs="Arial" w:eastAsia="Arial" w:hAnsi="Arial"/>
          <w:sz w:val="14"/>
          <w:szCs w:val="14"/>
          <w:color w:val="008000"/>
        </w:rPr>
      </w:pPr>
    </w:p>
    <w:p>
      <w:pPr>
        <w:ind w:left="20" w:right="26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the separate managed account Transamerica Large Cap Value Fund ("Transamerica"). LCS, as the sub-investment advisor to Transamerica, may be deemed to share voting and dispositive power over the shares held by Transamerica. LCS receives an asset-based management fee for serving as sub-investment advisor to Transamerica. Accordingly, LCS does not have a reportable pecuniary interest in the shares held by Transamerica. In addition, none of LCS GP, BDD, LCSL and Mr. Levin have a reportable pecuniary interest in the shares held by Transamerica.</w:t>
      </w:r>
    </w:p>
    <w:p>
      <w:pPr>
        <w:spacing w:after="0" w:line="2" w:lineRule="exact"/>
        <w:rPr>
          <w:rFonts w:ascii="Arial" w:cs="Arial" w:eastAsia="Arial" w:hAnsi="Arial"/>
          <w:sz w:val="12"/>
          <w:szCs w:val="12"/>
          <w:color w:val="008000"/>
        </w:rPr>
      </w:pPr>
    </w:p>
    <w:p>
      <w:pPr>
        <w:jc w:val="both"/>
        <w:ind w:left="20" w:right="20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BDD. LCSL, as the general partner of the domestic feeder fund which owns a controlling interest in BDD, may be deemed to share voting and dispositive power over the shares owned directly by BDD. LCS, as the investment advisor of BDD, may be deemed to share voting and dispositive power over the shares owned directly by BDD. Mr. Levin, as the Chief Executive Officer of LCS, may be deemed to share voting and dispositive power over the shares owned directly by BDD.</w:t>
      </w:r>
    </w:p>
    <w:p>
      <w:pPr>
        <w:sectPr>
          <w:pgSz w:w="11900" w:h="16884" w:orient="portrait"/>
          <w:cols w:equalWidth="0" w:num="1">
            <w:col w:w="11340"/>
          </w:cols>
          <w:pgMar w:left="260" w:top="140" w:right="299" w:bottom="0" w:gutter="0" w:footer="0" w:header="0"/>
        </w:sectPr>
      </w:pPr>
    </w:p>
    <w:p>
      <w:pPr>
        <w:spacing w:after="0" w:line="60"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Levin Capital Strategies,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373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By: /s/ John A. Levin,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604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7931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79311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Levin Capital Strategies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2630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26301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LLC; By: John A. Levin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436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34366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GRAT Separation Trust;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4077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40779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Elisabeth Levin,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890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Bi-Directional Disequilibrium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468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34683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Fund, L.P.; By: LCS;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63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John A. Levin,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423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14236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78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rPr>
          <w:sz w:val="20"/>
          <w:szCs w:val="20"/>
          <w:color w:val="auto"/>
        </w:rPr>
      </w:pPr>
      <w:r>
        <w:rPr>
          <w:rFonts w:ascii="Arial" w:cs="Arial" w:eastAsia="Arial" w:hAnsi="Arial"/>
          <w:sz w:val="15"/>
          <w:szCs w:val="15"/>
          <w:color w:val="0000FF"/>
        </w:rPr>
        <w:t>12/18/2018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12/18/2018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12/18/2018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98" w:lineRule="exact"/>
        <w:rPr>
          <w:sz w:val="20"/>
          <w:szCs w:val="20"/>
          <w:color w:val="auto"/>
        </w:rPr>
      </w:pPr>
    </w:p>
    <w:p>
      <w:pPr>
        <w:sectPr>
          <w:pgSz w:w="11900" w:h="16884" w:orient="portrait"/>
          <w:cols w:equalWidth="0" w:num="2">
            <w:col w:w="9060" w:space="80"/>
            <w:col w:w="2200"/>
          </w:cols>
          <w:pgMar w:left="260" w:top="140" w:right="299" w:bottom="0" w:gutter="0" w:footer="0" w:header="0"/>
          <w:type w:val="continuous"/>
        </w:sectPr>
      </w:pPr>
    </w:p>
    <w:tbl>
      <w:tblPr>
        <w:tblLayout w:type="fixed"/>
        <w:tblInd w:w="6840" w:type="dxa"/>
        <w:tblCellMar>
          <w:top w:w="0" w:type="dxa"/>
          <w:left w:w="0" w:type="dxa"/>
          <w:bottom w:w="0" w:type="dxa"/>
          <w:right w:w="0" w:type="dxa"/>
        </w:tblCellMar>
      </w:tblPr>
      <w:tr>
        <w:trPr>
          <w:trHeight w:val="207"/>
        </w:trPr>
        <w:tc>
          <w:tcPr>
            <w:tcW w:w="1900" w:type="dxa"/>
            <w:vAlign w:val="bottom"/>
            <w:gridSpan w:val="2"/>
          </w:tcPr>
          <w:p>
            <w:pPr>
              <w:spacing w:after="0"/>
              <w:rPr>
                <w:sz w:val="20"/>
                <w:szCs w:val="20"/>
                <w:color w:val="auto"/>
              </w:rPr>
            </w:pPr>
            <w:r>
              <w:rPr>
                <w:rFonts w:ascii="Arial" w:cs="Arial" w:eastAsia="Arial" w:hAnsi="Arial"/>
                <w:sz w:val="18"/>
                <w:szCs w:val="18"/>
                <w:color w:val="0000FF"/>
                <w:w w:val="92"/>
              </w:rPr>
              <w:t>LCS, LLC; By: /s/ John A.</w:t>
            </w:r>
          </w:p>
        </w:tc>
        <w:tc>
          <w:tcPr>
            <w:tcW w:w="20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0000FF"/>
              </w:rPr>
              <w:t>12/18/2018</w:t>
            </w:r>
          </w:p>
        </w:tc>
      </w:tr>
      <w:tr>
        <w:trPr>
          <w:trHeight w:val="196"/>
        </w:trPr>
        <w:tc>
          <w:tcPr>
            <w:tcW w:w="18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0000FF"/>
                <w:w w:val="90"/>
              </w:rPr>
              <w:t>Levin, Managing Member</w:t>
            </w:r>
          </w:p>
        </w:tc>
        <w:tc>
          <w:tcPr>
            <w:tcW w:w="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r>
    </w:tbl>
    <w:p>
      <w:pPr>
        <w:sectPr>
          <w:pgSz w:w="11900" w:h="16884" w:orient="portrait"/>
          <w:cols w:equalWidth="0" w:num="1">
            <w:col w:w="11340"/>
          </w:cols>
          <w:pgMar w:left="260" w:top="140" w:right="299" w:bottom="0" w:gutter="0" w:footer="0" w:header="0"/>
          <w:type w:val="continuous"/>
        </w:sectPr>
      </w:pPr>
    </w:p>
    <w:bookmarkStart w:id="2" w:name="page3"/>
    <w:bookmarkEnd w:id="2"/>
    <w:p>
      <w:pPr>
        <w:spacing w:after="0" w:line="1" w:lineRule="exact"/>
        <w:rPr>
          <w:sz w:val="20"/>
          <w:szCs w:val="20"/>
          <w:color w:val="auto"/>
        </w:rPr>
      </w:pPr>
    </w:p>
    <w:tbl>
      <w:tblPr>
        <w:tblLayout w:type="fixed"/>
        <w:tblInd w:w="682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Arial" w:cs="Arial" w:eastAsia="Arial" w:hAnsi="Arial"/>
                <w:sz w:val="18"/>
                <w:szCs w:val="18"/>
                <w:color w:val="0000FF"/>
                <w:w w:val="90"/>
              </w:rPr>
              <w:t>/s/ John A. Levin</w:t>
            </w:r>
          </w:p>
        </w:tc>
        <w:tc>
          <w:tcPr>
            <w:tcW w:w="900" w:type="dxa"/>
            <w:vAlign w:val="bottom"/>
          </w:tcPr>
          <w:p>
            <w:pPr>
              <w:spacing w:after="0"/>
              <w:rPr>
                <w:sz w:val="17"/>
                <w:szCs w:val="17"/>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12/18/2018</w:t>
            </w:r>
          </w:p>
        </w:tc>
      </w:tr>
      <w:tr>
        <w:trPr>
          <w:trHeight w:val="20"/>
        </w:trPr>
        <w:tc>
          <w:tcPr>
            <w:tcW w:w="12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62"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12" Type="http://schemas.openxmlformats.org/officeDocument/2006/relationships/hyperlink" Target="http://www.sec.gov/cgi-bin/browse-edgar?action=getcompany&amp;CIK=0001354821" TargetMode="External"/><Relationship Id="rId13" Type="http://schemas.openxmlformats.org/officeDocument/2006/relationships/hyperlink" Target="http://www.sec.gov/cgi-bin/browse-edgar?action=getcompany&amp;CIK=0001162194" TargetMode="External"/><Relationship Id="rId14" Type="http://schemas.openxmlformats.org/officeDocument/2006/relationships/hyperlink" Target="http://www.sec.gov/cgi-bin/browse-edgar?action=getcompany&amp;CIK=0001688305" TargetMode="External"/><Relationship Id="rId16" Type="http://schemas.openxmlformats.org/officeDocument/2006/relationships/hyperlink" Target="http://www.sec.gov/cgi-bin/browse-edgar?action=getcompany&amp;CIK=0001688307" TargetMode="External"/><Relationship Id="rId17" Type="http://schemas.openxmlformats.org/officeDocument/2006/relationships/hyperlink" Target="http://www.sec.gov/cgi-bin/browse-edgar?action=getcompany&amp;CIK=0001688304" TargetMode="External"/><Relationship Id="rId18" Type="http://schemas.openxmlformats.org/officeDocument/2006/relationships/hyperlink" Target="http://www.sec.gov/cgi-bin/browse-edgar?action=getcompany&amp;CIK=00010180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2019-12-23T16:24:26Z</dcterms:created>
  <dcterms:modified xsi:type="dcterms:W3CDTF">2019-12-23T16:24:26Z</dcterms:modified>
</cp:coreProperties>
</file>