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892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8926830"/>
                    </a:xfrm>
                    <a:prstGeom prst="rect">
                      <a:avLst/>
                    </a:prstGeom>
                    <a:noFill/>
                  </pic:spPr>
                </pic:pic>
              </a:graphicData>
            </a:graphic>
          </wp:anchor>
        </w:drawing>
      </w:r>
    </w:p>
    <w:p>
      <w:pPr>
        <w:spacing w:after="0" w:line="102" w:lineRule="exact"/>
        <w:rPr>
          <w:sz w:val="24"/>
          <w:szCs w:val="24"/>
          <w:color w:val="auto"/>
        </w:rPr>
      </w:pPr>
    </w:p>
    <w:p>
      <w:pPr>
        <w:sectPr>
          <w:pgSz w:w="11900" w:h="16933" w:orient="portrait"/>
          <w:cols w:equalWidth="0" w:num="2">
            <w:col w:w="2340" w:space="340"/>
            <w:col w:w="884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COLELLA SAMUEL D</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FLUIDIGM CORPORATION</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FLUIDIGM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07/31/2017</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536" w:val="left"/>
          <w:tab w:leader="none" w:pos="21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2"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6"/>
        <w:spacing w:after="0"/>
        <w:tabs>
          <w:tab w:leader="none" w:pos="21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3" w:lineRule="exact"/>
        <w:rPr>
          <w:sz w:val="24"/>
          <w:szCs w:val="24"/>
          <w:color w:val="auto"/>
        </w:rPr>
      </w:pPr>
    </w:p>
    <w:p>
      <w:pPr>
        <w:sectPr>
          <w:pgSz w:w="11900" w:h="16933" w:orient="portrait"/>
          <w:cols w:equalWidth="0" w:num="3">
            <w:col w:w="3340" w:space="720"/>
            <w:col w:w="3264" w:space="720"/>
            <w:col w:w="3476"/>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800" w:type="dxa"/>
            <w:vAlign w:val="bottom"/>
            <w:tcBorders>
              <w:bottom w:val="single" w:sz="8" w:color="9A9A9A"/>
            </w:tcBorders>
          </w:tcPr>
          <w:p>
            <w:pPr>
              <w:spacing w:after="0"/>
              <w:rPr>
                <w:sz w:val="13"/>
                <w:szCs w:val="13"/>
                <w:color w:val="auto"/>
              </w:rPr>
            </w:pPr>
          </w:p>
        </w:tc>
        <w:tc>
          <w:tcPr>
            <w:tcW w:w="384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6"/>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180" w:type="dxa"/>
            <w:vAlign w:val="bottom"/>
            <w:gridSpan w:val="5"/>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17"/>
                <w:szCs w:val="17"/>
                <w:color w:val="0000FF"/>
              </w:rPr>
              <w:t>SOUTH SAN</w:t>
            </w:r>
          </w:p>
        </w:tc>
        <w:tc>
          <w:tcPr>
            <w:tcW w:w="820" w:type="dxa"/>
            <w:vAlign w:val="bottom"/>
            <w:vMerge w:val="restart"/>
          </w:tcPr>
          <w:p>
            <w:pPr>
              <w:ind w:left="120"/>
              <w:spacing w:after="0"/>
              <w:rPr>
                <w:sz w:val="20"/>
                <w:szCs w:val="20"/>
                <w:color w:val="auto"/>
              </w:rPr>
            </w:pPr>
            <w:r>
              <w:rPr>
                <w:rFonts w:ascii="Arial" w:cs="Arial" w:eastAsia="Arial" w:hAnsi="Arial"/>
                <w:sz w:val="17"/>
                <w:szCs w:val="17"/>
                <w:color w:val="0000FF"/>
              </w:rPr>
              <w:t>CA</w:t>
            </w:r>
          </w:p>
        </w:tc>
        <w:tc>
          <w:tcPr>
            <w:tcW w:w="1800" w:type="dxa"/>
            <w:vAlign w:val="bottom"/>
            <w:vMerge w:val="restart"/>
          </w:tcPr>
          <w:p>
            <w:pPr>
              <w:ind w:left="560"/>
              <w:spacing w:after="0"/>
              <w:rPr>
                <w:sz w:val="20"/>
                <w:szCs w:val="20"/>
                <w:color w:val="auto"/>
              </w:rPr>
            </w:pPr>
            <w:r>
              <w:rPr>
                <w:rFonts w:ascii="Arial" w:cs="Arial" w:eastAsia="Arial" w:hAnsi="Arial"/>
                <w:sz w:val="17"/>
                <w:szCs w:val="17"/>
                <w:color w:val="0000FF"/>
              </w:rPr>
              <w:t>94080</w:t>
            </w:r>
          </w:p>
        </w:tc>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1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8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vMerge w:val="restart"/>
          </w:tcPr>
          <w:p>
            <w:pPr>
              <w:spacing w:after="0" w:line="169" w:lineRule="exact"/>
              <w:rPr>
                <w:sz w:val="20"/>
                <w:szCs w:val="20"/>
                <w:color w:val="auto"/>
              </w:rPr>
            </w:pPr>
            <w:r>
              <w:rPr>
                <w:rFonts w:ascii="Arial" w:cs="Arial" w:eastAsia="Arial" w:hAnsi="Arial"/>
                <w:sz w:val="17"/>
                <w:szCs w:val="17"/>
                <w:color w:val="0000FF"/>
              </w:rPr>
              <w:t>FRANCISCO</w:t>
            </w:r>
          </w:p>
        </w:tc>
        <w:tc>
          <w:tcPr>
            <w:tcW w:w="820" w:type="dxa"/>
            <w:vAlign w:val="bottom"/>
            <w:vMerge w:val="continue"/>
          </w:tcPr>
          <w:p>
            <w:pPr>
              <w:spacing w:after="0"/>
              <w:rPr>
                <w:sz w:val="9"/>
                <w:szCs w:val="9"/>
                <w:color w:val="auto"/>
              </w:rPr>
            </w:pPr>
          </w:p>
        </w:tc>
        <w:tc>
          <w:tcPr>
            <w:tcW w:w="180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8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ind w:left="200"/>
              <w:spacing w:after="0"/>
              <w:rPr>
                <w:sz w:val="20"/>
                <w:szCs w:val="20"/>
                <w:color w:val="auto"/>
              </w:rPr>
            </w:pPr>
            <w:r>
              <w:rPr>
                <w:rFonts w:ascii="Arial" w:cs="Arial" w:eastAsia="Arial" w:hAnsi="Arial"/>
                <w:sz w:val="13"/>
                <w:szCs w:val="13"/>
                <w:color w:val="auto"/>
              </w:rPr>
              <w:t>Person</w:t>
            </w: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800" w:type="dxa"/>
            <w:vAlign w:val="bottom"/>
            <w:tcBorders>
              <w:bottom w:val="single" w:sz="8" w:color="9A9A9A"/>
            </w:tcBorders>
          </w:tcPr>
          <w:p>
            <w:pPr>
              <w:spacing w:after="0"/>
              <w:rPr>
                <w:sz w:val="4"/>
                <w:szCs w:val="4"/>
                <w:color w:val="auto"/>
              </w:rPr>
            </w:pPr>
          </w:p>
        </w:tc>
        <w:tc>
          <w:tcPr>
            <w:tcW w:w="5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20" w:type="dxa"/>
            <w:vAlign w:val="bottom"/>
          </w:tcPr>
          <w:p>
            <w:pPr>
              <w:ind w:left="120"/>
              <w:spacing w:after="0"/>
              <w:rPr>
                <w:sz w:val="20"/>
                <w:szCs w:val="20"/>
                <w:color w:val="auto"/>
              </w:rPr>
            </w:pPr>
            <w:r>
              <w:rPr>
                <w:rFonts w:ascii="Arial" w:cs="Arial" w:eastAsia="Arial" w:hAnsi="Arial"/>
                <w:sz w:val="13"/>
                <w:szCs w:val="13"/>
                <w:color w:val="auto"/>
              </w:rPr>
              <w:t>(State)</w:t>
            </w:r>
          </w:p>
        </w:tc>
        <w:tc>
          <w:tcPr>
            <w:tcW w:w="238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4500" w:type="dxa"/>
            <w:vAlign w:val="bottom"/>
            <w:tcBorders>
              <w:bottom w:val="single" w:sz="8" w:color="2C2C2C"/>
            </w:tcBorders>
            <w:gridSpan w:val="7"/>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440" w:type="dxa"/>
            <w:vAlign w:val="bottom"/>
            <w:tcBorders>
              <w:top w:val="single" w:sz="8" w:color="2C2C2C"/>
            </w:tcBorders>
            <w:gridSpan w:val="9"/>
          </w:tcPr>
          <w:p>
            <w:pPr>
              <w:ind w:left="3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3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380" w:type="dxa"/>
            <w:vAlign w:val="bottom"/>
            <w:gridSpan w:val="2"/>
          </w:tcPr>
          <w:p>
            <w:pPr>
              <w:ind w:left="13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380" w:type="dxa"/>
            <w:vAlign w:val="bottom"/>
            <w:gridSpan w:val="2"/>
          </w:tcPr>
          <w:p>
            <w:pPr>
              <w:ind w:left="134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60" w:type="dxa"/>
            <w:vAlign w:val="bottom"/>
          </w:tcPr>
          <w:p>
            <w:pPr>
              <w:spacing w:after="0"/>
              <w:rPr>
                <w:sz w:val="11"/>
                <w:szCs w:val="11"/>
                <w:color w:val="auto"/>
              </w:rPr>
            </w:pP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380" w:type="dxa"/>
            <w:vAlign w:val="bottom"/>
            <w:gridSpan w:val="2"/>
          </w:tcPr>
          <w:p>
            <w:pPr>
              <w:ind w:left="134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90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3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3"/>
                <w:szCs w:val="23"/>
                <w:color w:val="auto"/>
              </w:rPr>
            </w:pPr>
          </w:p>
        </w:tc>
        <w:tc>
          <w:tcPr>
            <w:tcW w:w="2380" w:type="dxa"/>
            <w:vAlign w:val="bottom"/>
            <w:gridSpan w:val="2"/>
          </w:tcPr>
          <w:p>
            <w:pPr>
              <w:ind w:left="1440"/>
              <w:spacing w:after="0"/>
              <w:rPr>
                <w:sz w:val="20"/>
                <w:szCs w:val="20"/>
                <w:color w:val="auto"/>
              </w:rPr>
            </w:pPr>
            <w:r>
              <w:rPr>
                <w:rFonts w:ascii="Arial" w:cs="Arial" w:eastAsia="Arial" w:hAnsi="Arial"/>
                <w:sz w:val="17"/>
                <w:szCs w:val="17"/>
                <w:color w:val="0000FF"/>
              </w:rPr>
              <w:t>07/31/2017</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ind w:left="220"/>
              <w:spacing w:after="0"/>
              <w:rPr>
                <w:sz w:val="20"/>
                <w:szCs w:val="20"/>
                <w:color w:val="auto"/>
              </w:rPr>
            </w:pPr>
            <w:r>
              <w:rPr>
                <w:rFonts w:ascii="Arial" w:cs="Arial" w:eastAsia="Arial" w:hAnsi="Arial"/>
                <w:sz w:val="17"/>
                <w:szCs w:val="17"/>
                <w:color w:val="0000FF"/>
              </w:rPr>
              <w:t>5,000</w:t>
            </w:r>
          </w:p>
        </w:tc>
        <w:tc>
          <w:tcPr>
            <w:tcW w:w="560" w:type="dxa"/>
            <w:vAlign w:val="bottom"/>
          </w:tcPr>
          <w:p>
            <w:pPr>
              <w:ind w:left="260"/>
              <w:spacing w:after="0"/>
              <w:rPr>
                <w:sz w:val="20"/>
                <w:szCs w:val="20"/>
                <w:color w:val="auto"/>
              </w:rPr>
            </w:pPr>
            <w:r>
              <w:rPr>
                <w:rFonts w:ascii="Arial" w:cs="Arial" w:eastAsia="Arial" w:hAnsi="Arial"/>
                <w:sz w:val="17"/>
                <w:szCs w:val="17"/>
                <w:color w:val="0000FF"/>
              </w:rPr>
              <w:t>A</w:t>
            </w:r>
          </w:p>
        </w:tc>
        <w:tc>
          <w:tcPr>
            <w:tcW w:w="500" w:type="dxa"/>
            <w:vAlign w:val="bottom"/>
          </w:tcPr>
          <w:p>
            <w:pPr>
              <w:jc w:val="right"/>
              <w:ind w:right="1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00" w:type="dxa"/>
            <w:vAlign w:val="bottom"/>
            <w:gridSpan w:val="2"/>
          </w:tcPr>
          <w:p>
            <w:pPr>
              <w:jc w:val="center"/>
              <w:ind w:left="93"/>
              <w:spacing w:after="0"/>
              <w:rPr>
                <w:sz w:val="20"/>
                <w:szCs w:val="20"/>
                <w:color w:val="auto"/>
              </w:rPr>
            </w:pPr>
            <w:r>
              <w:rPr>
                <w:rFonts w:ascii="Arial" w:cs="Arial" w:eastAsia="Arial" w:hAnsi="Arial"/>
                <w:sz w:val="17"/>
                <w:szCs w:val="17"/>
                <w:color w:val="0000FF"/>
                <w:w w:val="92"/>
              </w:rPr>
              <w:t>45,197</w:t>
            </w:r>
          </w:p>
        </w:tc>
        <w:tc>
          <w:tcPr>
            <w:tcW w:w="980" w:type="dxa"/>
            <w:vAlign w:val="bottom"/>
          </w:tcPr>
          <w:p>
            <w:pPr>
              <w:ind w:left="460"/>
              <w:spacing w:after="0"/>
              <w:rPr>
                <w:sz w:val="20"/>
                <w:szCs w:val="20"/>
                <w:color w:val="auto"/>
              </w:rPr>
            </w:pPr>
            <w:r>
              <w:rPr>
                <w:rFonts w:ascii="Arial" w:cs="Arial" w:eastAsia="Arial" w:hAnsi="Arial"/>
                <w:sz w:val="17"/>
                <w:szCs w:val="17"/>
                <w:color w:val="0000FF"/>
              </w:rPr>
              <w:t>D</w:t>
            </w: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Colella</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gridSpan w:val="2"/>
            <w:vMerge w:val="restart"/>
          </w:tcPr>
          <w:p>
            <w:pPr>
              <w:jc w:val="center"/>
              <w:ind w:left="93"/>
              <w:spacing w:after="0"/>
              <w:rPr>
                <w:sz w:val="20"/>
                <w:szCs w:val="20"/>
                <w:color w:val="auto"/>
              </w:rPr>
            </w:pPr>
            <w:r>
              <w:rPr>
                <w:rFonts w:ascii="Arial" w:cs="Arial" w:eastAsia="Arial" w:hAnsi="Arial"/>
                <w:sz w:val="17"/>
                <w:szCs w:val="17"/>
                <w:color w:val="0000FF"/>
                <w:w w:val="93"/>
              </w:rPr>
              <w:t>5,561</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rPr>
              <w:t>Partners,</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Colella</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Exempt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gridSpan w:val="2"/>
            <w:vMerge w:val="restart"/>
          </w:tcPr>
          <w:p>
            <w:pPr>
              <w:jc w:val="center"/>
              <w:ind w:left="93"/>
              <w:spacing w:after="0"/>
              <w:rPr>
                <w:sz w:val="20"/>
                <w:szCs w:val="20"/>
                <w:color w:val="auto"/>
              </w:rPr>
            </w:pPr>
            <w:r>
              <w:rPr>
                <w:rFonts w:ascii="Arial" w:cs="Arial" w:eastAsia="Arial" w:hAnsi="Arial"/>
                <w:sz w:val="17"/>
                <w:szCs w:val="17"/>
                <w:color w:val="0000FF"/>
                <w:w w:val="92"/>
              </w:rPr>
              <w:t>17,500</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Marital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rPr>
              <w:t>Deduction</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dated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9/21/1992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Colella</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Non-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Exempt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gridSpan w:val="2"/>
          </w:tcPr>
          <w:p>
            <w:pPr>
              <w:jc w:val="center"/>
              <w:ind w:left="93"/>
              <w:spacing w:after="0"/>
              <w:rPr>
                <w:sz w:val="20"/>
                <w:szCs w:val="20"/>
                <w:color w:val="auto"/>
              </w:rPr>
            </w:pPr>
            <w:r>
              <w:rPr>
                <w:rFonts w:ascii="Arial" w:cs="Arial" w:eastAsia="Arial" w:hAnsi="Arial"/>
                <w:sz w:val="17"/>
                <w:szCs w:val="17"/>
                <w:color w:val="0000FF"/>
                <w:w w:val="93"/>
              </w:rPr>
              <w:t>3,326</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Marital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color w:val="0000FF"/>
              </w:rPr>
              <w:t>Deduction</w:t>
            </w:r>
          </w:p>
        </w:tc>
        <w:tc>
          <w:tcPr>
            <w:tcW w:w="0" w:type="dxa"/>
            <w:vAlign w:val="bottom"/>
          </w:tcPr>
          <w:p>
            <w:pPr>
              <w:spacing w:after="0"/>
              <w:rPr>
                <w:sz w:val="1"/>
                <w:szCs w:val="1"/>
                <w:color w:val="auto"/>
              </w:rPr>
            </w:pPr>
          </w:p>
        </w:tc>
      </w:tr>
    </w:tbl>
    <w:p>
      <w:pPr>
        <w:ind w:left="10600"/>
        <w:spacing w:after="0"/>
        <w:rPr>
          <w:sz w:val="20"/>
          <w:szCs w:val="20"/>
          <w:color w:val="auto"/>
        </w:rPr>
      </w:pPr>
      <w:r>
        <w:rPr>
          <w:rFonts w:ascii="Arial" w:cs="Arial" w:eastAsia="Arial" w:hAnsi="Arial"/>
          <w:sz w:val="17"/>
          <w:szCs w:val="17"/>
          <w:color w:val="0000FF"/>
        </w:rPr>
        <w:t>Trust</w:t>
      </w:r>
    </w:p>
    <w:p>
      <w:pPr>
        <w:spacing w:after="0" w:line="18" w:lineRule="exact"/>
        <w:rPr>
          <w:sz w:val="24"/>
          <w:szCs w:val="24"/>
          <w:color w:val="auto"/>
        </w:rPr>
      </w:pPr>
    </w:p>
    <w:p>
      <w:pPr>
        <w:ind w:left="10600"/>
        <w:spacing w:after="0"/>
        <w:rPr>
          <w:sz w:val="20"/>
          <w:szCs w:val="20"/>
          <w:color w:val="auto"/>
        </w:rPr>
      </w:pPr>
      <w:r>
        <w:rPr>
          <w:rFonts w:ascii="Arial" w:cs="Arial" w:eastAsia="Arial" w:hAnsi="Arial"/>
          <w:sz w:val="17"/>
          <w:szCs w:val="17"/>
          <w:color w:val="0000FF"/>
        </w:rPr>
        <w:t>dated</w:t>
      </w:r>
    </w:p>
    <w:p>
      <w:pPr>
        <w:spacing w:after="0" w:line="18" w:lineRule="exact"/>
        <w:rPr>
          <w:sz w:val="24"/>
          <w:szCs w:val="24"/>
          <w:color w:val="auto"/>
        </w:rPr>
      </w:pPr>
    </w:p>
    <w:p>
      <w:pPr>
        <w:ind w:left="10600"/>
        <w:spacing w:after="0"/>
        <w:rPr>
          <w:sz w:val="20"/>
          <w:szCs w:val="20"/>
          <w:color w:val="auto"/>
        </w:rPr>
      </w:pPr>
      <w:r>
        <w:rPr>
          <w:rFonts w:ascii="Arial" w:cs="Arial" w:eastAsia="Arial" w:hAnsi="Arial"/>
          <w:sz w:val="17"/>
          <w:szCs w:val="17"/>
          <w:color w:val="0000FF"/>
        </w:rPr>
        <w:t>9/21/1992</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Acquired (A)</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 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5,000</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vMerge w:val="restart"/>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5"/>
                <w:szCs w:val="5"/>
                <w:color w:val="auto"/>
              </w:rPr>
            </w:pPr>
          </w:p>
        </w:tc>
        <w:tc>
          <w:tcPr>
            <w:tcW w:w="1120" w:type="dxa"/>
            <w:vAlign w:val="bottom"/>
            <w:vMerge w:val="restart"/>
          </w:tcPr>
          <w:p>
            <w:pPr>
              <w:jc w:val="center"/>
              <w:spacing w:after="0" w:line="147" w:lineRule="exact"/>
              <w:rPr>
                <w:sz w:val="20"/>
                <w:szCs w:val="20"/>
                <w:color w:val="auto"/>
              </w:rPr>
            </w:pPr>
            <w:r>
              <w:rPr>
                <w:rFonts w:ascii="Arial" w:cs="Arial" w:eastAsia="Arial" w:hAnsi="Arial"/>
                <w:sz w:val="13"/>
                <w:szCs w:val="13"/>
                <w:color w:val="0000FF"/>
                <w:w w:val="92"/>
              </w:rPr>
              <w:t>07/31/2017</w:t>
            </w:r>
          </w:p>
        </w:tc>
        <w:tc>
          <w:tcPr>
            <w:tcW w:w="1120" w:type="dxa"/>
            <w:vAlign w:val="bottom"/>
          </w:tcPr>
          <w:p>
            <w:pPr>
              <w:spacing w:after="0"/>
              <w:rPr>
                <w:sz w:val="5"/>
                <w:szCs w:val="5"/>
                <w:color w:val="auto"/>
              </w:rPr>
            </w:pPr>
          </w:p>
        </w:tc>
        <w:tc>
          <w:tcPr>
            <w:tcW w:w="820" w:type="dxa"/>
            <w:vAlign w:val="bottom"/>
            <w:vMerge w:val="restart"/>
          </w:tcPr>
          <w:p>
            <w:pPr>
              <w:ind w:left="160"/>
              <w:spacing w:after="0" w:line="147" w:lineRule="exact"/>
              <w:rPr>
                <w:sz w:val="20"/>
                <w:szCs w:val="20"/>
                <w:color w:val="auto"/>
              </w:rPr>
            </w:pPr>
            <w:r>
              <w:rPr>
                <w:rFonts w:ascii="Arial" w:cs="Arial" w:eastAsia="Arial" w:hAnsi="Arial"/>
                <w:sz w:val="13"/>
                <w:szCs w:val="13"/>
                <w:color w:val="0000FF"/>
              </w:rPr>
              <w:t>M</w:t>
            </w:r>
          </w:p>
        </w:tc>
        <w:tc>
          <w:tcPr>
            <w:tcW w:w="460" w:type="dxa"/>
            <w:vAlign w:val="bottom"/>
          </w:tcPr>
          <w:p>
            <w:pPr>
              <w:spacing w:after="0"/>
              <w:rPr>
                <w:sz w:val="5"/>
                <w:szCs w:val="5"/>
                <w:color w:val="auto"/>
              </w:rPr>
            </w:pPr>
          </w:p>
        </w:tc>
        <w:tc>
          <w:tcPr>
            <w:tcW w:w="440" w:type="dxa"/>
            <w:vAlign w:val="bottom"/>
            <w:vMerge w:val="restart"/>
          </w:tcPr>
          <w:p>
            <w:pPr>
              <w:ind w:left="80"/>
              <w:spacing w:after="0" w:line="147" w:lineRule="exact"/>
              <w:rPr>
                <w:sz w:val="20"/>
                <w:szCs w:val="20"/>
                <w:color w:val="auto"/>
              </w:rPr>
            </w:pPr>
            <w:r>
              <w:rPr>
                <w:rFonts w:ascii="Arial" w:cs="Arial" w:eastAsia="Arial" w:hAnsi="Arial"/>
                <w:sz w:val="13"/>
                <w:szCs w:val="13"/>
                <w:color w:val="0000FF"/>
              </w:rPr>
              <w:t>5,000</w:t>
            </w:r>
          </w:p>
        </w:tc>
        <w:tc>
          <w:tcPr>
            <w:tcW w:w="820" w:type="dxa"/>
            <w:vAlign w:val="bottom"/>
            <w:vMerge w:val="restart"/>
          </w:tcPr>
          <w:p>
            <w:pPr>
              <w:jc w:val="center"/>
              <w:spacing w:after="0" w:line="147" w:lineRule="exact"/>
              <w:rPr>
                <w:sz w:val="20"/>
                <w:szCs w:val="20"/>
                <w:color w:val="auto"/>
              </w:rPr>
            </w:pPr>
            <w:r>
              <w:rPr>
                <w:rFonts w:ascii="Arial" w:cs="Arial" w:eastAsia="Arial" w:hAnsi="Arial"/>
                <w:sz w:val="13"/>
                <w:szCs w:val="13"/>
                <w:color w:val="0000FF"/>
                <w:w w:val="92"/>
              </w:rPr>
              <w:t>07/31/2017</w:t>
            </w:r>
          </w:p>
        </w:tc>
        <w:tc>
          <w:tcPr>
            <w:tcW w:w="740" w:type="dxa"/>
            <w:vAlign w:val="bottom"/>
            <w:vMerge w:val="restart"/>
          </w:tcPr>
          <w:p>
            <w:pPr>
              <w:jc w:val="center"/>
              <w:spacing w:after="0" w:line="147" w:lineRule="exact"/>
              <w:rPr>
                <w:sz w:val="20"/>
                <w:szCs w:val="20"/>
                <w:color w:val="auto"/>
              </w:rPr>
            </w:pPr>
            <w:r>
              <w:rPr>
                <w:rFonts w:ascii="Arial" w:cs="Arial" w:eastAsia="Arial" w:hAnsi="Arial"/>
                <w:sz w:val="13"/>
                <w:szCs w:val="13"/>
                <w:color w:val="0000FF"/>
                <w:w w:val="92"/>
              </w:rPr>
              <w:t>07/31/2017</w:t>
            </w: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restart"/>
          </w:tcPr>
          <w:p>
            <w:pPr>
              <w:jc w:val="center"/>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jc w:val="center"/>
              <w:spacing w:after="0" w:line="147" w:lineRule="exact"/>
              <w:rPr>
                <w:sz w:val="20"/>
                <w:szCs w:val="20"/>
                <w:color w:val="auto"/>
              </w:rPr>
            </w:pPr>
            <w:r>
              <w:rPr>
                <w:rFonts w:ascii="Arial" w:cs="Arial" w:eastAsia="Arial" w:hAnsi="Arial"/>
                <w:sz w:val="13"/>
                <w:szCs w:val="13"/>
                <w:color w:val="0000FF"/>
                <w:w w:val="82"/>
              </w:rPr>
              <w:t>0</w:t>
            </w:r>
          </w:p>
        </w:tc>
        <w:tc>
          <w:tcPr>
            <w:tcW w:w="780" w:type="dxa"/>
            <w:vAlign w:val="bottom"/>
            <w:vMerge w:val="restart"/>
          </w:tcPr>
          <w:p>
            <w:pPr>
              <w:ind w:left="340"/>
              <w:spacing w:after="0" w:line="147"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7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5,000</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vMerge w:val="restart"/>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5"/>
                <w:szCs w:val="5"/>
                <w:color w:val="auto"/>
              </w:rPr>
            </w:pPr>
          </w:p>
        </w:tc>
        <w:tc>
          <w:tcPr>
            <w:tcW w:w="1120" w:type="dxa"/>
            <w:vAlign w:val="bottom"/>
            <w:vMerge w:val="restart"/>
          </w:tcPr>
          <w:p>
            <w:pPr>
              <w:jc w:val="center"/>
              <w:spacing w:after="0" w:line="147" w:lineRule="exact"/>
              <w:rPr>
                <w:sz w:val="20"/>
                <w:szCs w:val="20"/>
                <w:color w:val="auto"/>
              </w:rPr>
            </w:pPr>
            <w:r>
              <w:rPr>
                <w:rFonts w:ascii="Arial" w:cs="Arial" w:eastAsia="Arial" w:hAnsi="Arial"/>
                <w:sz w:val="13"/>
                <w:szCs w:val="13"/>
                <w:color w:val="0000FF"/>
                <w:w w:val="92"/>
              </w:rPr>
              <w:t>08/01/2017</w:t>
            </w:r>
          </w:p>
        </w:tc>
        <w:tc>
          <w:tcPr>
            <w:tcW w:w="1120" w:type="dxa"/>
            <w:vAlign w:val="bottom"/>
          </w:tcPr>
          <w:p>
            <w:pPr>
              <w:spacing w:after="0"/>
              <w:rPr>
                <w:sz w:val="5"/>
                <w:szCs w:val="5"/>
                <w:color w:val="auto"/>
              </w:rPr>
            </w:pPr>
          </w:p>
        </w:tc>
        <w:tc>
          <w:tcPr>
            <w:tcW w:w="820" w:type="dxa"/>
            <w:vAlign w:val="bottom"/>
            <w:vMerge w:val="restart"/>
          </w:tcPr>
          <w:p>
            <w:pPr>
              <w:ind w:left="180"/>
              <w:spacing w:after="0" w:line="147" w:lineRule="exact"/>
              <w:rPr>
                <w:sz w:val="20"/>
                <w:szCs w:val="20"/>
                <w:color w:val="auto"/>
              </w:rPr>
            </w:pPr>
            <w:r>
              <w:rPr>
                <w:rFonts w:ascii="Arial" w:cs="Arial" w:eastAsia="Arial" w:hAnsi="Arial"/>
                <w:sz w:val="13"/>
                <w:szCs w:val="13"/>
                <w:color w:val="0000FF"/>
              </w:rPr>
              <w:t>A</w:t>
            </w:r>
          </w:p>
        </w:tc>
        <w:tc>
          <w:tcPr>
            <w:tcW w:w="460" w:type="dxa"/>
            <w:vAlign w:val="bottom"/>
            <w:vMerge w:val="restart"/>
          </w:tcPr>
          <w:p>
            <w:pPr>
              <w:ind w:left="100"/>
              <w:spacing w:after="0" w:line="147" w:lineRule="exact"/>
              <w:rPr>
                <w:sz w:val="20"/>
                <w:szCs w:val="20"/>
                <w:color w:val="auto"/>
              </w:rPr>
            </w:pPr>
            <w:r>
              <w:rPr>
                <w:rFonts w:ascii="Arial" w:cs="Arial" w:eastAsia="Arial" w:hAnsi="Arial"/>
                <w:sz w:val="13"/>
                <w:szCs w:val="13"/>
                <w:color w:val="0000FF"/>
              </w:rPr>
              <w:t>5,000</w:t>
            </w:r>
          </w:p>
        </w:tc>
        <w:tc>
          <w:tcPr>
            <w:tcW w:w="4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restart"/>
          </w:tcPr>
          <w:p>
            <w:pPr>
              <w:jc w:val="center"/>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jc w:val="center"/>
              <w:spacing w:after="0" w:line="147" w:lineRule="exact"/>
              <w:rPr>
                <w:sz w:val="20"/>
                <w:szCs w:val="20"/>
                <w:color w:val="auto"/>
              </w:rPr>
            </w:pPr>
            <w:r>
              <w:rPr>
                <w:rFonts w:ascii="Arial" w:cs="Arial" w:eastAsia="Arial" w:hAnsi="Arial"/>
                <w:sz w:val="13"/>
                <w:szCs w:val="13"/>
                <w:color w:val="0000FF"/>
                <w:w w:val="92"/>
              </w:rPr>
              <w:t>5,000</w:t>
            </w:r>
          </w:p>
        </w:tc>
        <w:tc>
          <w:tcPr>
            <w:tcW w:w="780" w:type="dxa"/>
            <w:vAlign w:val="bottom"/>
            <w:vMerge w:val="restart"/>
          </w:tcPr>
          <w:p>
            <w:pPr>
              <w:ind w:left="340"/>
              <w:spacing w:after="0" w:line="147"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7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3.43</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0000FF"/>
                <w:w w:val="92"/>
              </w:rPr>
              <w:t>08/01/2017</w:t>
            </w:r>
          </w:p>
        </w:tc>
        <w:tc>
          <w:tcPr>
            <w:tcW w:w="1120" w:type="dxa"/>
            <w:vAlign w:val="bottom"/>
          </w:tcPr>
          <w:p>
            <w:pPr>
              <w:spacing w:after="0"/>
              <w:rPr>
                <w:sz w:val="12"/>
                <w:szCs w:val="12"/>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460" w:type="dxa"/>
            <w:vAlign w:val="bottom"/>
            <w:vMerge w:val="restart"/>
          </w:tcPr>
          <w:p>
            <w:pPr>
              <w:ind w:left="100"/>
              <w:spacing w:after="0"/>
              <w:rPr>
                <w:sz w:val="20"/>
                <w:szCs w:val="20"/>
                <w:color w:val="auto"/>
              </w:rPr>
            </w:pPr>
            <w:r>
              <w:rPr>
                <w:rFonts w:ascii="Arial" w:cs="Arial" w:eastAsia="Arial" w:hAnsi="Arial"/>
                <w:sz w:val="13"/>
                <w:szCs w:val="13"/>
                <w:color w:val="0000FF"/>
              </w:rPr>
              <w:t>5,000</w:t>
            </w:r>
          </w:p>
        </w:tc>
        <w:tc>
          <w:tcPr>
            <w:tcW w:w="44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0000FF"/>
                <w:w w:val="92"/>
              </w:rPr>
              <w:t>08/01/2027</w:t>
            </w:r>
          </w:p>
        </w:tc>
        <w:tc>
          <w:tcPr>
            <w:tcW w:w="720" w:type="dxa"/>
            <w:vAlign w:val="bottom"/>
          </w:tcPr>
          <w:p>
            <w:pPr>
              <w:ind w:left="8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5,000</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0000FF"/>
                <w:w w:val="92"/>
              </w:rPr>
              <w:t>5,000</w:t>
            </w:r>
          </w:p>
        </w:tc>
        <w:tc>
          <w:tcPr>
            <w:tcW w:w="7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300" w:firstLine="7"/>
        <w:spacing w:after="0" w:line="284"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are held by Colella Family Partners, L.P. ("Colella Partners"). The shares were received in in-kind distributions by Versant Ventures I, LLC, which is the general partner of each of Versant Venture Capital I, L.P., Versant Side Fund I, L.P., Versant Affiliates Fund I-A, L.P. and Versant Affiliates Fund I-B, L.P. (collectively, the "Versant Funds"), on November 4, 2013. The Reporting Person is the General Partner of Colella Partners. The Reporting Person disclaims beneficial ownership of such shares held by Colella Partners, except to the extent of his proportionate pecuniary interest therein, if any.</w:t>
      </w:r>
    </w:p>
    <w:p>
      <w:pPr>
        <w:sectPr>
          <w:pgSz w:w="11900" w:h="16933" w:orient="portrait"/>
          <w:cols w:equalWidth="0" w:num="1">
            <w:col w:w="11520"/>
          </w:cols>
          <w:pgMar w:left="240" w:top="225" w:right="139" w:bottom="0" w:gutter="0" w:footer="0" w:header="0"/>
          <w:type w:val="continuous"/>
        </w:sectPr>
      </w:pPr>
    </w:p>
    <w:bookmarkStart w:id="1" w:name="page2"/>
    <w:bookmarkEnd w:id="1"/>
    <w:p>
      <w:pPr>
        <w:ind w:left="140" w:hanging="133"/>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Restricted Stock Unit represents the contingent right to receive one share of FLDM common stock upon vesting of the unit.</w:t>
      </w:r>
    </w:p>
    <w:p>
      <w:pPr>
        <w:spacing w:after="0" w:line="50" w:lineRule="exact"/>
        <w:rPr>
          <w:rFonts w:ascii="Arial" w:cs="Arial" w:eastAsia="Arial" w:hAnsi="Arial"/>
          <w:sz w:val="13"/>
          <w:szCs w:val="13"/>
          <w:color w:val="008000"/>
        </w:rPr>
      </w:pPr>
    </w:p>
    <w:p>
      <w:pPr>
        <w:ind w:firstLine="7"/>
        <w:spacing w:after="0" w:line="270" w:lineRule="auto"/>
        <w:tabs>
          <w:tab w:leader="none" w:pos="13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All shares underlying the Restricted Stock Units will fully vest on the earlier to occur of one day prior to the date of the next annual meeting of the stockholders of the Company or August 1, 2018, subject to continued service as a director through the vesting date.</w:t>
      </w:r>
    </w:p>
    <w:p>
      <w:pPr>
        <w:spacing w:after="0" w:line="10" w:lineRule="exact"/>
        <w:rPr>
          <w:rFonts w:ascii="Arial" w:cs="Arial" w:eastAsia="Arial" w:hAnsi="Arial"/>
          <w:sz w:val="13"/>
          <w:szCs w:val="13"/>
          <w:color w:val="008000"/>
        </w:rPr>
      </w:pPr>
    </w:p>
    <w:p>
      <w:pPr>
        <w:ind w:left="140" w:hanging="133"/>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1/12th of the shares subject to the Option will vest monthly, subject to continued service as a director, such that the Option will be fully vested on August 1, 2018.</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82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Nicholas Khadder, attorney</w:t>
            </w:r>
          </w:p>
        </w:tc>
        <w:tc>
          <w:tcPr>
            <w:tcW w:w="8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08/02/2017</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 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right="344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160"/>
      </w:cols>
      <w:pgMar w:left="280" w:top="16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1580"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2019-12-04T00:39:03Z</dcterms:created>
  <dcterms:modified xsi:type="dcterms:W3CDTF">2019-12-04T00:39:03Z</dcterms:modified>
</cp:coreProperties>
</file>