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 xml:space="preserve">WASHINGTON, </w:t>
      </w:r>
      <w:r>
        <w:rPr>
          <w:rFonts w:ascii="Times New Roman" w:cs="Times New Roman" w:eastAsia="Times New Roman" w:hAnsi="Times New Roman"/>
          <w:sz w:val="17"/>
          <w:szCs w:val="17"/>
          <w:b w:val="1"/>
          <w:bCs w:val="1"/>
          <w:color w:val="auto"/>
        </w:rPr>
        <w:t>D.C.</w:t>
      </w:r>
      <w:r>
        <w:rPr>
          <w:rFonts w:ascii="Times New Roman" w:cs="Times New Roman" w:eastAsia="Times New Roman" w:hAnsi="Times New Roman"/>
          <w:sz w:val="20"/>
          <w:szCs w:val="20"/>
          <w:b w:val="1"/>
          <w:bCs w:val="1"/>
          <w:color w:val="auto"/>
        </w:rPr>
        <w:t xml:space="preserve">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June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Standard BioTools Inc.</w:t>
      </w:r>
    </w:p>
    <w:p>
      <w:pPr>
        <w:spacing w:after="0" w:line="7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1820" w:type="dxa"/>
            <w:vAlign w:val="bottom"/>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6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001-34180</w:t>
            </w:r>
          </w:p>
        </w:tc>
        <w:tc>
          <w:tcPr>
            <w:tcW w:w="144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77-0513190</w:t>
            </w:r>
          </w:p>
        </w:tc>
      </w:tr>
      <w:tr>
        <w:trPr>
          <w:trHeight w:val="220"/>
        </w:trPr>
        <w:tc>
          <w:tcPr>
            <w:tcW w:w="1820" w:type="dxa"/>
            <w:vAlign w:val="bottom"/>
          </w:tcPr>
          <w:p>
            <w:pPr>
              <w:jc w:val="center"/>
              <w:ind w:right="162"/>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5640" w:type="dxa"/>
            <w:vAlign w:val="bottom"/>
          </w:tcPr>
          <w:p>
            <w:pPr>
              <w:jc w:val="center"/>
              <w:ind w:right="61"/>
              <w:spacing w:after="0"/>
              <w:rPr>
                <w:sz w:val="20"/>
                <w:szCs w:val="20"/>
                <w:color w:val="auto"/>
              </w:rPr>
            </w:pPr>
            <w:r>
              <w:rPr>
                <w:rFonts w:ascii="Times New Roman" w:cs="Times New Roman" w:eastAsia="Times New Roman" w:hAnsi="Times New Roman"/>
                <w:sz w:val="14"/>
                <w:szCs w:val="14"/>
                <w:color w:val="auto"/>
              </w:rPr>
              <w:t>(Commission</w:t>
            </w:r>
          </w:p>
        </w:tc>
        <w:tc>
          <w:tcPr>
            <w:tcW w:w="1440" w:type="dxa"/>
            <w:vAlign w:val="bottom"/>
          </w:tcPr>
          <w:p>
            <w:pPr>
              <w:jc w:val="center"/>
              <w:ind w:left="302"/>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1820" w:type="dxa"/>
            <w:vAlign w:val="bottom"/>
          </w:tcPr>
          <w:p>
            <w:pPr>
              <w:jc w:val="center"/>
              <w:ind w:right="162"/>
              <w:spacing w:after="0"/>
              <w:rPr>
                <w:sz w:val="20"/>
                <w:szCs w:val="20"/>
                <w:color w:val="auto"/>
              </w:rPr>
            </w:pPr>
            <w:r>
              <w:rPr>
                <w:rFonts w:ascii="Times New Roman" w:cs="Times New Roman" w:eastAsia="Times New Roman" w:hAnsi="Times New Roman"/>
                <w:sz w:val="14"/>
                <w:szCs w:val="14"/>
                <w:color w:val="auto"/>
              </w:rPr>
              <w:t>of Incorporation)</w:t>
            </w:r>
          </w:p>
        </w:tc>
        <w:tc>
          <w:tcPr>
            <w:tcW w:w="5640" w:type="dxa"/>
            <w:vAlign w:val="bottom"/>
          </w:tcPr>
          <w:p>
            <w:pPr>
              <w:jc w:val="center"/>
              <w:ind w:right="61"/>
              <w:spacing w:after="0"/>
              <w:rPr>
                <w:sz w:val="20"/>
                <w:szCs w:val="20"/>
                <w:color w:val="auto"/>
              </w:rPr>
            </w:pPr>
            <w:r>
              <w:rPr>
                <w:rFonts w:ascii="Times New Roman" w:cs="Times New Roman" w:eastAsia="Times New Roman" w:hAnsi="Times New Roman"/>
                <w:sz w:val="14"/>
                <w:szCs w:val="14"/>
                <w:color w:val="auto"/>
              </w:rPr>
              <w:t>File Number)</w:t>
            </w:r>
          </w:p>
        </w:tc>
        <w:tc>
          <w:tcPr>
            <w:tcW w:w="1440" w:type="dxa"/>
            <w:vAlign w:val="bottom"/>
          </w:tcPr>
          <w:p>
            <w:pPr>
              <w:jc w:val="center"/>
              <w:ind w:left="282"/>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608"/>
        </w:trPr>
        <w:tc>
          <w:tcPr>
            <w:tcW w:w="1820" w:type="dxa"/>
            <w:vAlign w:val="bottom"/>
          </w:tcPr>
          <w:p>
            <w:pPr>
              <w:spacing w:after="0"/>
              <w:rPr>
                <w:sz w:val="24"/>
                <w:szCs w:val="24"/>
                <w:color w:val="auto"/>
              </w:rPr>
            </w:pPr>
          </w:p>
        </w:tc>
        <w:tc>
          <w:tcPr>
            <w:tcW w:w="5640" w:type="dxa"/>
            <w:vAlign w:val="bottom"/>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2 Tower Place, Suite 2000, South San Francisco, California 94080</w:t>
            </w:r>
          </w:p>
        </w:tc>
        <w:tc>
          <w:tcPr>
            <w:tcW w:w="1440" w:type="dxa"/>
            <w:vAlign w:val="bottom"/>
          </w:tcPr>
          <w:p>
            <w:pPr>
              <w:spacing w:after="0"/>
              <w:rPr>
                <w:sz w:val="24"/>
                <w:szCs w:val="24"/>
                <w:color w:val="auto"/>
              </w:rPr>
            </w:pPr>
          </w:p>
        </w:tc>
      </w:tr>
      <w:tr>
        <w:trPr>
          <w:trHeight w:val="188"/>
        </w:trPr>
        <w:tc>
          <w:tcPr>
            <w:tcW w:w="1820" w:type="dxa"/>
            <w:vAlign w:val="bottom"/>
          </w:tcPr>
          <w:p>
            <w:pPr>
              <w:spacing w:after="0"/>
              <w:rPr>
                <w:sz w:val="16"/>
                <w:szCs w:val="16"/>
                <w:color w:val="auto"/>
              </w:rPr>
            </w:pPr>
          </w:p>
        </w:tc>
        <w:tc>
          <w:tcPr>
            <w:tcW w:w="5640" w:type="dxa"/>
            <w:vAlign w:val="bottom"/>
          </w:tcPr>
          <w:p>
            <w:pPr>
              <w:jc w:val="center"/>
              <w:ind w:right="21"/>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1440" w:type="dxa"/>
            <w:vAlign w:val="bottom"/>
          </w:tcPr>
          <w:p>
            <w:pPr>
              <w:spacing w:after="0"/>
              <w:rPr>
                <w:sz w:val="16"/>
                <w:szCs w:val="16"/>
                <w:color w:val="auto"/>
              </w:rPr>
            </w:pPr>
          </w:p>
        </w:tc>
      </w:tr>
      <w:tr>
        <w:trPr>
          <w:trHeight w:val="460"/>
        </w:trPr>
        <w:tc>
          <w:tcPr>
            <w:tcW w:w="1820" w:type="dxa"/>
            <w:vAlign w:val="bottom"/>
          </w:tcPr>
          <w:p>
            <w:pPr>
              <w:spacing w:after="0"/>
              <w:rPr>
                <w:sz w:val="24"/>
                <w:szCs w:val="24"/>
                <w:color w:val="auto"/>
              </w:rPr>
            </w:pPr>
          </w:p>
        </w:tc>
        <w:tc>
          <w:tcPr>
            <w:tcW w:w="5640" w:type="dxa"/>
            <w:vAlign w:val="bottom"/>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(650) 266-6000</w:t>
            </w:r>
          </w:p>
        </w:tc>
        <w:tc>
          <w:tcPr>
            <w:tcW w:w="1440" w:type="dxa"/>
            <w:vAlign w:val="bottom"/>
          </w:tcPr>
          <w:p>
            <w:pPr>
              <w:spacing w:after="0"/>
              <w:rPr>
                <w:sz w:val="24"/>
                <w:szCs w:val="24"/>
                <w:color w:val="auto"/>
              </w:rPr>
            </w:pPr>
          </w:p>
        </w:tc>
      </w:tr>
      <w:tr>
        <w:trPr>
          <w:trHeight w:val="188"/>
        </w:trPr>
        <w:tc>
          <w:tcPr>
            <w:tcW w:w="1820" w:type="dxa"/>
            <w:vAlign w:val="bottom"/>
          </w:tcPr>
          <w:p>
            <w:pPr>
              <w:spacing w:after="0"/>
              <w:rPr>
                <w:sz w:val="16"/>
                <w:szCs w:val="16"/>
                <w:color w:val="auto"/>
              </w:rPr>
            </w:pPr>
          </w:p>
        </w:tc>
        <w:tc>
          <w:tcPr>
            <w:tcW w:w="5640" w:type="dxa"/>
            <w:vAlign w:val="bottom"/>
          </w:tcPr>
          <w:p>
            <w:pPr>
              <w:jc w:val="center"/>
              <w:ind w:right="2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440" w:type="dxa"/>
            <w:vAlign w:val="bottom"/>
          </w:tcPr>
          <w:p>
            <w:pPr>
              <w:spacing w:after="0"/>
              <w:rPr>
                <w:sz w:val="16"/>
                <w:szCs w:val="16"/>
                <w:color w:val="auto"/>
              </w:rPr>
            </w:pPr>
          </w:p>
        </w:tc>
      </w:tr>
      <w:tr>
        <w:trPr>
          <w:trHeight w:val="486"/>
        </w:trPr>
        <w:tc>
          <w:tcPr>
            <w:tcW w:w="1820" w:type="dxa"/>
            <w:vAlign w:val="bottom"/>
          </w:tcPr>
          <w:p>
            <w:pPr>
              <w:spacing w:after="0"/>
              <w:rPr>
                <w:sz w:val="24"/>
                <w:szCs w:val="24"/>
                <w:color w:val="auto"/>
              </w:rPr>
            </w:pPr>
          </w:p>
        </w:tc>
        <w:tc>
          <w:tcPr>
            <w:tcW w:w="5640" w:type="dxa"/>
            <w:vAlign w:val="bottom"/>
          </w:tcPr>
          <w:p>
            <w:pPr>
              <w:jc w:val="center"/>
              <w:ind w:right="81"/>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1440" w:type="dxa"/>
            <w:vAlign w:val="bottom"/>
          </w:tcPr>
          <w:p>
            <w:pPr>
              <w:spacing w:after="0"/>
              <w:rPr>
                <w:sz w:val="24"/>
                <w:szCs w:val="24"/>
                <w:color w:val="auto"/>
              </w:rPr>
            </w:pPr>
          </w:p>
        </w:tc>
      </w:tr>
    </w:tbl>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i w:val="1"/>
          <w:iCs w:val="1"/>
          <w:color w:val="auto"/>
        </w:rPr>
        <w:t>see</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240" w:lineRule="exact"/>
        <w:rPr>
          <w:sz w:val="24"/>
          <w:szCs w:val="24"/>
          <w:color w:val="auto"/>
        </w:rPr>
      </w:pPr>
    </w:p>
    <w:p>
      <w:pPr>
        <w:ind w:left="860" w:hanging="416"/>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221" w:lineRule="exact"/>
        <w:rPr>
          <w:rFonts w:ascii="MS PGothic" w:cs="MS PGothic" w:eastAsia="MS PGothic" w:hAnsi="MS PGothic"/>
          <w:sz w:val="16"/>
          <w:szCs w:val="16"/>
          <w:color w:val="auto"/>
        </w:rPr>
      </w:pPr>
    </w:p>
    <w:p>
      <w:pPr>
        <w:ind w:left="860" w:hanging="416"/>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820" w:hanging="376"/>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14d-2(b) under the Exchange Act (17 CFR 240.14d-2(b))</w:t>
      </w:r>
    </w:p>
    <w:p>
      <w:pPr>
        <w:spacing w:after="0" w:line="221" w:lineRule="exact"/>
        <w:rPr>
          <w:rFonts w:ascii="MS PGothic" w:cs="MS PGothic" w:eastAsia="MS PGothic" w:hAnsi="MS PGothic"/>
          <w:sz w:val="16"/>
          <w:szCs w:val="16"/>
          <w:color w:val="auto"/>
        </w:rPr>
      </w:pPr>
    </w:p>
    <w:p>
      <w:pPr>
        <w:ind w:left="820" w:hanging="376"/>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13e-4(c) under the Exchange Act (17 CFR 240.13e-4(c))</w:t>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r>
      <w:tr>
        <w:trPr>
          <w:trHeight w:val="250"/>
        </w:trPr>
        <w:tc>
          <w:tcPr>
            <w:tcW w:w="4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LAB</w:t>
            </w:r>
          </w:p>
        </w:tc>
        <w:tc>
          <w:tcPr>
            <w:tcW w:w="4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41"/>
        </w:trPr>
        <w:tc>
          <w:tcPr>
            <w:tcW w:w="4180" w:type="dxa"/>
            <w:vAlign w:val="bottom"/>
            <w:tcBorders>
              <w:left w:val="single" w:sz="8" w:color="auto"/>
              <w:bottom w:val="single" w:sz="8" w:color="auto"/>
              <w:right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4160" w:type="dxa"/>
            <w:vAlign w:val="bottom"/>
            <w:tcBorders>
              <w:bottom w:val="single" w:sz="8" w:color="auto"/>
              <w:right w:val="single" w:sz="8" w:color="auto"/>
            </w:tcBorders>
          </w:tcPr>
          <w:p>
            <w:pPr>
              <w:spacing w:after="0"/>
              <w:rPr>
                <w:sz w:val="3"/>
                <w:szCs w:val="3"/>
                <w:color w:val="auto"/>
              </w:rPr>
            </w:pPr>
          </w:p>
        </w:tc>
      </w:tr>
    </w:tbl>
    <w:p>
      <w:pPr>
        <w:spacing w:after="0" w:line="33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89" w:right="319" w:bottom="874" w:gutter="0" w:footer="0" w:header="0"/>
        </w:sectPr>
      </w:pPr>
    </w:p>
    <w:bookmarkStart w:id="1" w:name="page2"/>
    <w:bookmarkEnd w:id="1"/>
    <w:p>
      <w:pPr>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12"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8"/>
          <w:szCs w:val="18"/>
          <w:color w:val="auto"/>
        </w:rPr>
        <w:t>On June 30, 2022, Nicholas Khadder notified Standard BioTools Inc. (the “Company”) of his intention to resign from his position as Senior Vice President, General Counsel and Corporate Secretary, and from any and all other positions he holds as an officer or employee of the Company, in order to pursue another employment opportunity. Mr. Khadder’s resignation is effective as of July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651510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89" w:right="57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391" w:lineRule="exact"/>
        <w:rPr>
          <w:sz w:val="20"/>
          <w:szCs w:val="20"/>
          <w:color w:val="auto"/>
        </w:rPr>
      </w:pPr>
    </w:p>
    <w:p>
      <w:pPr>
        <w:ind w:left="20"/>
        <w:spacing w:after="0"/>
        <w:tabs>
          <w:tab w:leader="none" w:pos="4320" w:val="left"/>
          <w:tab w:leader="none" w:pos="5060" w:val="left"/>
        </w:tabs>
        <w:rPr>
          <w:sz w:val="20"/>
          <w:szCs w:val="20"/>
          <w:color w:val="auto"/>
        </w:rPr>
      </w:pPr>
      <w:r>
        <w:rPr>
          <w:rFonts w:ascii="Times New Roman" w:cs="Times New Roman" w:eastAsia="Times New Roman" w:hAnsi="Times New Roman"/>
          <w:sz w:val="18"/>
          <w:szCs w:val="18"/>
          <w:color w:val="auto"/>
        </w:rPr>
        <w:t>Date: July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43180</wp:posOffset>
            </wp:positionV>
            <wp:extent cx="328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Nicholas Khadder</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sectPr>
      <w:pgSz w:w="11900" w:h="16838" w:orient="portrait"/>
      <w:cols w:equalWidth="0" w:num="1">
        <w:col w:w="10600"/>
      </w:cols>
      <w:pgMar w:left="320" w:top="1089"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2022-07-07T15:03:02Z</dcterms:created>
  <dcterms:modified xsi:type="dcterms:W3CDTF">2022-07-07T15:03:02Z</dcterms:modified>
</cp:coreProperties>
</file>