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19, 2024</w:t>
      </w:r>
    </w:p>
    <w:p>
      <w:pPr>
        <w:spacing w:after="0" w:line="225" w:lineRule="exact"/>
        <w:rPr>
          <w:sz w:val="24"/>
          <w:szCs w:val="24"/>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STANDARD BIOTOOLS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77-0513190</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organization)</w:t>
            </w:r>
          </w:p>
        </w:tc>
        <w:tc>
          <w:tcPr>
            <w:tcW w:w="55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Egholm,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William C. Hicks,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T. Rudy,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Mintz, Levin, Cohn, Ferris, Glovsky and Popeo,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Financial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542-6000</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this registration statement becomes effective.</w:t>
      </w:r>
    </w:p>
    <w:p>
      <w:pPr>
        <w:spacing w:after="0" w:line="229"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0" w:gutter="0" w:footer="0" w:header="0"/>
        </w:sectPr>
      </w:pP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4">
            <w:col w:w="3100" w:space="720"/>
            <w:col w:w="2120" w:space="720"/>
            <w:col w:w="3420" w:space="720"/>
            <w:col w:w="440"/>
          </w:cols>
          <w:pgMar w:left="320" w:top="468" w:right="339" w:bottom="0" w:gutter="0" w:footer="0" w:header="0"/>
          <w:type w:val="continuous"/>
        </w:sectPr>
      </w:pP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3100" w:space="720"/>
            <w:col w:w="2120" w:space="720"/>
            <w:col w:w="3420" w:space="720"/>
            <w:col w:w="440"/>
          </w:cols>
          <w:pgMar w:left="320" w:top="468" w:right="339" w:bottom="0" w:gutter="0" w:footer="0" w:header="0"/>
          <w:type w:val="continuous"/>
        </w:sectPr>
      </w:pPr>
    </w:p>
    <w:bookmarkStart w:id="1" w:name="page2"/>
    <w:bookmarkEnd w:id="1"/>
    <w:p>
      <w:pPr>
        <w:ind w:left="6660"/>
        <w:spacing w:after="0" w:line="207" w:lineRule="exact"/>
        <w:tabs>
          <w:tab w:leader="none" w:pos="107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46"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601345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2" w:name="page3"/>
    <w:bookmarkEnd w:id="2"/>
    <w:p>
      <w:pPr>
        <w:jc w:val="both"/>
        <w:spacing w:after="0" w:line="262" w:lineRule="auto"/>
        <w:rPr>
          <w:sz w:val="20"/>
          <w:szCs w:val="20"/>
          <w:color w:val="auto"/>
        </w:rPr>
      </w:pPr>
      <w:r>
        <w:rPr>
          <w:rFonts w:ascii="Times New Roman" w:cs="Times New Roman" w:eastAsia="Times New Roman" w:hAnsi="Times New Roman"/>
          <w:sz w:val="18"/>
          <w:szCs w:val="18"/>
          <w:b w:val="1"/>
          <w:bCs w:val="1"/>
          <w:color w:val="FF4040"/>
        </w:rPr>
        <w:t>The information in this preliminary prospectus is not complete and may be changed. A registration statement relating to these securities has been filed with the Securities and Exchange Commission. These securities may not be sold nor may offers to buy be accepted prior to the time the registration statement becomes effective. This preliminary prospectus is not an offer to sell these securities and is not soliciting an offer to buy these securities in any state where the offer or sale is not permitted.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4040"/>
        </w:rPr>
        <w:t>SUBJECT TO COMPLETION, DATED JANUARY 19,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156845</wp:posOffset>
            </wp:positionV>
            <wp:extent cx="1276985" cy="986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698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38,428,964 Shares of Common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5, 2024, we consummated the transactions contemplated by that certain Agreement and Plan of Merger, dated as of October 4, 2023 (the “Merger Agreement”), by and among us, SomaLogic, Inc. (“SomaLogic”) and Martis Merger Sub, Inc. (“Merger Sub”). As contemplated by the Merger Agreement, Merger Sub, our direct, wholly owned subsidiary, merged with and into SomaLogic, with SomaLogic becoming our wholly owned subsidiary (the “Merger”).</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the effective time of the Merger (the “Effective Time”), each issued and outstanding share of SomaLogic common stock, par value $0.0001 per share (“SomaLogic Common Stock”), was automatically converted into 1.11 shares (the “Exchange Ratio”) of our common stock, par value $0.001 per share (“Standard BioTools Common Stock”), and each SomaLogic Warrant (as defined below), each exercisable for one share of SomaLogic Common Stock, was treated in accordance with its terms and each Warrant will convert into the right to receive, upon exercise of such Warrant, the number of shares of Standard BioTools Common Stock equal to multiplying the number of shares of common stock of SomaLogic subject to such Warrant by the Exchange Ratio.</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named in this prospectus (the “Selling Securityholders”) of</w:t>
      </w:r>
    </w:p>
    <w:p>
      <w:pPr>
        <w:spacing w:after="0" w:line="27" w:lineRule="exact"/>
        <w:rPr>
          <w:sz w:val="20"/>
          <w:szCs w:val="20"/>
          <w:color w:val="auto"/>
        </w:rPr>
      </w:pPr>
    </w:p>
    <w:p>
      <w:pPr>
        <w:jc w:val="both"/>
        <w:ind w:firstLine="8"/>
        <w:spacing w:after="0" w:line="266" w:lineRule="auto"/>
        <w:tabs>
          <w:tab w:leader="none" w:pos="313"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26,392,931 shares of Standard BioTools Common Stock, consisting of up to (i) 13,807,380 shares of Standard BioTools Common Stock (the “PIPE Shares”), originally issued as SomaLogic Common Stock in SomaLogic’s private placement pursuant to subscription agreements each entered into on March 28, 2021 (the “Subscription Agreements”); (ii) 7,575,750 shares of Standard BioTools Common Stock originally issued as SomaLogic Common Stock pursuant to that certain Agreement and Plan of Merger, dated as of March 28, 2021, as amended by Amendment No. 1 and Amendment No. 2 thereto, dated as of May 12, 2021 and July 15, 2021, respectively, by and among CM Life Sciences II Inc., SomaLogic’s predecessor company (“CMLS II”), private SomaLogic, Inc., a Delaware corporation (“Old SomaLogic”), and S-Craft Merger Sub, Inc., a Delaware corporation and a direct, wholly owned subsidiary of CMLS II (“Merger Sub”), in exchange for shares of Class B common stock of CMLS II originally issued in SomaLogic’s private placement to CMLS Holdings II LLC, a Delaware limited liability company (the “Sponsor”), and certain directors and former directors of SomaLogic (collectively, the “Founder Shares”); and (iii) 5,009,801 shares of Standard BioTools Common Stock issuable upon the exercise of the warrants to purchase SomaLogic Common Stock (“Private Placement Warrants”) originally issued in a private placement to the Sponsor and certain CMLS II directors at the time of CMLS II’s initial public offering (the “IPO”) of units; and (B) up to 344,044 shares of Standard BioTools Common Stock consisting of (i) 238,864 shares of Standard BioTools Common Stock (the “Upfront Shares”); and (ii) up to 105,180 shares of Standard BioTools Common Stock (the “Milestone Shares”) originally issued as SomaLogic Common Stock pursuant to that certain Agreement and Plan of Merger, dated as of July 25, 2022 (the “Palamedrix Merger Agreement”), by and among SomaLogic, Panther Merger Subsidiary I, LLC, a Delaware limited liability company and wholly-owned subsidiary of SomaLogic, Panther Merger Subsidiary II, LLC, a Delaware limited liability company and wholly owned subsidiary of SomaLogic, Palamedrix, Inc., and Shareholders Representative Services LLC, a Colorado limited liability company, solely in its capacity as the shareholder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this prospectus relates to the offer and sale of: (i) up to 6,127,190 shares of Standard BioTools Common Stock that are issuable by us upon the exercise of warrants to purchase SomaLogic Common Stock (“Previously Public Warrants,” and together with the Private Placement Warrants, the “Warrants”) originally issued in CMLS II’s IPO; and (ii) up to 5,564,799 shares of Standard BioTools Common Stock that are issuable by us upon the exercise of the Private Placement Warrants.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registering the offer and sale of these securities to satisfy certain registration rights previously granted by SomaLogic, which we assumed following the closing of the Merger. The Selling Securityholders may offer, sell or distribute all or a portion of the securities hereby registered publicly or through private transactions at prevailing market prices or at negotiated prices. We will not receive any of the proceeds from such sales of the shares of Standard BioTools Common Stock or Warrants, except with respect to amounts received by us upon the exercise of the Warrants for cash. We will bear all costs, expenses and fees in connection with the registration of these securities, including with regard to compliance with state securities or “blue sky” laws. The Selling Securityholders will bear all commissions and discounts, if any, attributable to their sale of shares of Standard BioTools Common Stock. See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14 of this prospectus.</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shares of Standard BioTools Common Stock are listed on The Nasdaq Global Select Market under the symbol “LAB.” On January 18, 2024, the last reported sale price of the Standard BioTools Common Stock on The Nasdaq Global Select Market was $2.29 per share.</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risks. You should read carefully this prospectus, the documents incorporated by reference in this prospectus and any prospectus supplement before you invest. Please carefully read the information under the headings “Risk Factors” beginning on page 5 of this prospectus and “Item 1A – Risk Factors” of our most recent report on Form 10-K, as revised or supplemented by our subsequent Quarterly Reports on Form 10-Q, that are incorporated by reference in this prospectus before you invest in our securities.</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930"/>
              <w:spacing w:after="0"/>
              <w:rPr>
                <w:sz w:val="20"/>
                <w:szCs w:val="20"/>
                <w:color w:val="auto"/>
              </w:rPr>
            </w:pPr>
            <w:r>
              <w:rPr>
                <w:rFonts w:ascii="Times New Roman" w:cs="Times New Roman" w:eastAsia="Times New Roman" w:hAnsi="Times New Roman"/>
                <w:sz w:val="18"/>
                <w:szCs w:val="18"/>
                <w:b w:val="1"/>
                <w:bCs w:val="1"/>
                <w:color w:val="auto"/>
              </w:rPr>
              <w:t>, 2024.</w:t>
            </w:r>
          </w:p>
        </w:tc>
      </w:tr>
      <w:tr>
        <w:trPr>
          <w:trHeight w:val="675"/>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10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2"/>
        </w:trPr>
        <w:tc>
          <w:tcPr>
            <w:tcW w:w="22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ABOUT THIS PROSPECTUS</w:t>
            </w:r>
          </w:p>
        </w:tc>
        <w:tc>
          <w:tcPr>
            <w:tcW w:w="8680" w:type="dxa"/>
            <w:vAlign w:val="bottom"/>
            <w:gridSpan w:val="7"/>
          </w:tcPr>
          <w:p>
            <w:pPr>
              <w:spacing w:after="0"/>
              <w:rPr>
                <w:sz w:val="24"/>
                <w:szCs w:val="24"/>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8"/>
                <w:szCs w:val="18"/>
                <w:color w:val="0000EE"/>
                <w:w w:val="88"/>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140" w:type="dxa"/>
            <w:vAlign w:val="bottom"/>
          </w:tcPr>
          <w:p>
            <w:pPr>
              <w:spacing w:after="0"/>
              <w:rPr>
                <w:sz w:val="17"/>
                <w:szCs w:val="17"/>
                <w:color w:val="auto"/>
              </w:rPr>
            </w:pPr>
          </w:p>
        </w:tc>
        <w:tc>
          <w:tcPr>
            <w:tcW w:w="8680" w:type="dxa"/>
            <w:vAlign w:val="bottom"/>
            <w:gridSpan w:val="7"/>
          </w:tcPr>
          <w:p>
            <w:pPr>
              <w:spacing w:after="0"/>
              <w:rPr>
                <w:sz w:val="17"/>
                <w:szCs w:val="17"/>
                <w:color w:val="auto"/>
              </w:rPr>
            </w:pPr>
          </w:p>
        </w:tc>
        <w:tc>
          <w:tcPr>
            <w:tcW w:w="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THE OFFERING</w:t>
            </w:r>
          </w:p>
        </w:tc>
        <w:tc>
          <w:tcPr>
            <w:tcW w:w="8820" w:type="dxa"/>
            <w:vAlign w:val="bottom"/>
            <w:gridSpan w:val="8"/>
          </w:tcPr>
          <w:p>
            <w:pPr>
              <w:spacing w:after="0"/>
              <w:rPr>
                <w:sz w:val="17"/>
                <w:szCs w:val="17"/>
                <w:color w:val="auto"/>
              </w:rPr>
            </w:pPr>
          </w:p>
        </w:tc>
        <w:tc>
          <w:tcPr>
            <w:tcW w:w="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RISK FACTORS</w:t>
            </w:r>
          </w:p>
        </w:tc>
        <w:tc>
          <w:tcPr>
            <w:tcW w:w="9660" w:type="dxa"/>
            <w:vAlign w:val="bottom"/>
            <w:gridSpan w:val="11"/>
          </w:tcPr>
          <w:p>
            <w:pPr>
              <w:spacing w:after="0"/>
              <w:rPr>
                <w:sz w:val="17"/>
                <w:szCs w:val="17"/>
                <w:color w:val="auto"/>
              </w:rPr>
            </w:pPr>
          </w:p>
        </w:tc>
        <w:tc>
          <w:tcPr>
            <w:tcW w:w="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09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700" w:type="dxa"/>
            <w:vAlign w:val="bottom"/>
            <w:gridSpan w:val="7"/>
          </w:tcPr>
          <w:p>
            <w:pPr>
              <w:spacing w:after="0"/>
              <w:rPr>
                <w:sz w:val="17"/>
                <w:szCs w:val="17"/>
                <w:color w:val="auto"/>
              </w:rPr>
            </w:pPr>
          </w:p>
        </w:tc>
        <w:tc>
          <w:tcPr>
            <w:tcW w:w="4580" w:type="dxa"/>
            <w:vAlign w:val="bottom"/>
            <w:gridSpan w:val="2"/>
          </w:tcPr>
          <w:p>
            <w:pPr>
              <w:spacing w:after="0"/>
              <w:rPr>
                <w:sz w:val="17"/>
                <w:szCs w:val="17"/>
                <w:color w:val="auto"/>
              </w:rPr>
            </w:pPr>
          </w:p>
        </w:tc>
        <w:tc>
          <w:tcPr>
            <w:tcW w:w="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5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8400" w:type="dxa"/>
            <w:vAlign w:val="bottom"/>
            <w:gridSpan w:val="6"/>
          </w:tcPr>
          <w:p>
            <w:pPr>
              <w:spacing w:after="0"/>
              <w:rPr>
                <w:sz w:val="17"/>
                <w:szCs w:val="17"/>
                <w:color w:val="auto"/>
              </w:rPr>
            </w:pPr>
          </w:p>
        </w:tc>
        <w:tc>
          <w:tcPr>
            <w:tcW w:w="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09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U.S. FEDERAL INCOME TAX CONSEQUENCES TO NON-U.S. HOLDERS OF SHARES OF STANDARD BIOTOOLS COMMON STOCK</w:t>
            </w:r>
          </w:p>
        </w:tc>
        <w:tc>
          <w:tcPr>
            <w:tcW w:w="1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EE"/>
                <w:w w:val="70"/>
              </w:rPr>
              <w:t>11</w:t>
            </w:r>
          </w:p>
        </w:tc>
        <w:tc>
          <w:tcPr>
            <w:tcW w:w="180" w:type="dxa"/>
            <w:vAlign w:val="bottom"/>
          </w:tcPr>
          <w:p>
            <w:pPr>
              <w:spacing w:after="0"/>
              <w:rPr>
                <w:sz w:val="17"/>
                <w:szCs w:val="17"/>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840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bottom w:val="single" w:sz="8" w:color="0000EE"/>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EE"/>
                <w:w w:val="77"/>
              </w:rPr>
              <w:t>14</w:t>
            </w:r>
          </w:p>
        </w:tc>
        <w:tc>
          <w:tcPr>
            <w:tcW w:w="180" w:type="dxa"/>
            <w:vAlign w:val="bottom"/>
          </w:tcPr>
          <w:p>
            <w:pPr>
              <w:spacing w:after="0"/>
              <w:rPr>
                <w:sz w:val="17"/>
                <w:szCs w:val="17"/>
                <w:color w:val="auto"/>
              </w:rPr>
            </w:pPr>
          </w:p>
        </w:tc>
      </w:tr>
      <w:tr>
        <w:trPr>
          <w:trHeight w:val="196"/>
        </w:trPr>
        <w:tc>
          <w:tcPr>
            <w:tcW w:w="28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8040" w:type="dxa"/>
            <w:vAlign w:val="bottom"/>
            <w:gridSpan w:val="5"/>
          </w:tcPr>
          <w:p>
            <w:pPr>
              <w:spacing w:after="0"/>
              <w:rPr>
                <w:sz w:val="17"/>
                <w:szCs w:val="17"/>
                <w:color w:val="auto"/>
              </w:rPr>
            </w:pPr>
          </w:p>
        </w:tc>
        <w:tc>
          <w:tcPr>
            <w:tcW w:w="140" w:type="dxa"/>
            <w:vAlign w:val="bottom"/>
            <w:tcBorders>
              <w:bottom w:val="single" w:sz="8" w:color="0000EE"/>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EE"/>
                <w:w w:val="77"/>
              </w:rPr>
              <w:t>18</w:t>
            </w:r>
          </w:p>
        </w:tc>
        <w:tc>
          <w:tcPr>
            <w:tcW w:w="180" w:type="dxa"/>
            <w:vAlign w:val="bottom"/>
          </w:tcPr>
          <w:p>
            <w:pPr>
              <w:spacing w:after="0"/>
              <w:rPr>
                <w:sz w:val="17"/>
                <w:szCs w:val="17"/>
                <w:color w:val="auto"/>
              </w:rPr>
            </w:pPr>
          </w:p>
        </w:tc>
      </w:tr>
      <w:tr>
        <w:trPr>
          <w:trHeight w:val="196"/>
        </w:trPr>
        <w:tc>
          <w:tcPr>
            <w:tcW w:w="109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320" w:type="dxa"/>
            <w:vAlign w:val="bottom"/>
            <w:gridSpan w:val="3"/>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0000EE"/>
                <w:w w:val="77"/>
              </w:rPr>
              <w:t>26</w:t>
            </w:r>
          </w:p>
        </w:tc>
      </w:tr>
      <w:tr>
        <w:trPr>
          <w:trHeight w:val="196"/>
        </w:trPr>
        <w:tc>
          <w:tcPr>
            <w:tcW w:w="7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2"/>
          </w:tcPr>
          <w:p>
            <w:pPr>
              <w:spacing w:after="0"/>
              <w:rPr>
                <w:sz w:val="17"/>
                <w:szCs w:val="17"/>
                <w:color w:val="auto"/>
              </w:rPr>
            </w:pPr>
          </w:p>
        </w:tc>
        <w:tc>
          <w:tcPr>
            <w:tcW w:w="9460" w:type="dxa"/>
            <w:vAlign w:val="bottom"/>
            <w:gridSpan w:val="10"/>
          </w:tcPr>
          <w:p>
            <w:pPr>
              <w:spacing w:after="0"/>
              <w:rPr>
                <w:sz w:val="17"/>
                <w:szCs w:val="17"/>
                <w:color w:val="auto"/>
              </w:rPr>
            </w:pPr>
          </w:p>
        </w:tc>
        <w:tc>
          <w:tcPr>
            <w:tcW w:w="140" w:type="dxa"/>
            <w:vAlign w:val="bottom"/>
            <w:tcBorders>
              <w:top w:val="single" w:sz="8" w:color="0000EE"/>
              <w:bottom w:val="single" w:sz="8" w:color="0000EE"/>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EE"/>
                <w:w w:val="77"/>
              </w:rPr>
              <w:t>26</w:t>
            </w:r>
          </w:p>
        </w:tc>
        <w:tc>
          <w:tcPr>
            <w:tcW w:w="180" w:type="dxa"/>
            <w:vAlign w:val="bottom"/>
          </w:tcPr>
          <w:p>
            <w:pPr>
              <w:spacing w:after="0"/>
              <w:rPr>
                <w:sz w:val="17"/>
                <w:szCs w:val="17"/>
                <w:color w:val="auto"/>
              </w:rPr>
            </w:pPr>
          </w:p>
        </w:tc>
      </w:tr>
      <w:tr>
        <w:trPr>
          <w:trHeight w:val="196"/>
        </w:trPr>
        <w:tc>
          <w:tcPr>
            <w:tcW w:w="109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3"/>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0000EE"/>
                <w:w w:val="77"/>
              </w:rPr>
              <w:t>26</w:t>
            </w:r>
          </w:p>
        </w:tc>
      </w:tr>
      <w:tr>
        <w:trPr>
          <w:trHeight w:val="20"/>
        </w:trPr>
        <w:tc>
          <w:tcPr>
            <w:tcW w:w="3820" w:type="dxa"/>
            <w:vAlign w:val="bottom"/>
            <w:gridSpan w:val="9"/>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60" w:type="dxa"/>
            <w:vAlign w:val="bottom"/>
            <w:tcBorders>
              <w:right w:val="single" w:sz="8" w:color="0000EE"/>
            </w:tcBorders>
            <w:gridSpan w:val="3"/>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09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320" w:type="dxa"/>
            <w:vAlign w:val="bottom"/>
            <w:gridSpan w:val="3"/>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0000EE"/>
                <w:w w:val="77"/>
              </w:rPr>
              <w:t>27</w:t>
            </w:r>
          </w:p>
        </w:tc>
      </w:tr>
      <w:tr>
        <w:trPr>
          <w:trHeight w:val="696"/>
        </w:trPr>
        <w:tc>
          <w:tcPr>
            <w:tcW w:w="7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(“SEC”) using the “shelf” registration process. Under this shelf registration process, the Selling Securityholders hereunder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shares of Standard BioTools Common Stock issuable upon the exercise of the Warrants. We will receive proceeds from any exercise of the Warrants for cash.</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or incorporated by reference into, this prospectus.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 No dealer, salesperson or other person is authorized to give any information or to represent anything not contained in, or incorporated by reference into, this prospectus. You should assume that the information appearing in, or incorporated by reference into, this prospectus is accurate as of their respective dates, regardless of the time of delivery of this prospectus, or any sale of a security. Our business, financial condition, results of operations and prospects may have changed since those dates.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Securityholders and their permitted transferees may use the shelf registration statement of which this prospectus forms a part to sell securities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Securityholders and their permitted transferees offer and sell may be provided in a prospectus supplement that describes, among other things, the specific amounts and prices of the securities being offered and the terms of the offering.</w:t>
      </w:r>
    </w:p>
    <w:p>
      <w:pPr>
        <w:spacing w:after="0" w:line="17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Unless expressly indicated or the context otherwise requires, references in this prospectus to “</w:t>
      </w:r>
      <w:r>
        <w:rPr>
          <w:rFonts w:ascii="Times New Roman" w:cs="Times New Roman" w:eastAsia="Times New Roman" w:hAnsi="Times New Roman"/>
          <w:sz w:val="18"/>
          <w:szCs w:val="18"/>
          <w:i w:val="1"/>
          <w:iCs w:val="1"/>
          <w:color w:val="auto"/>
        </w:rPr>
        <w:t>Standard BioTools,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in this prospectus refer to Standard BioTools Inc., a Delaware corporation and its consolidated subsidiaries, including SomaLogic, unless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424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6424930"/>
                    </a:xfrm>
                    <a:prstGeom prst="rect">
                      <a:avLst/>
                    </a:prstGeom>
                    <a:noFill/>
                  </pic:spPr>
                </pic:pic>
              </a:graphicData>
            </a:graphic>
          </wp:anchor>
        </w:drawing>
        <w:t>PROSPECTUS SUMMARY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summary highlights information contained in greater detail elsewhere in this prospectus and the documents we have filed with the SEC that are incorporated by reference. This summary is not complete and does not contain all of the information you should consider in making your investment decision. We urge you to read this entire prospectus, including the more detailed consolidated financial statements, notes to the consolidated financial statements and other information incorporated by reference from our other filings with the SEC. Investing in our securities involves risks. Therefore, carefully consider the risk factors set forth in our most recent annual and quarterly filings with the SEC, as well as other information in this prospectus and the documents incorporated by reference herein, before purchasing our securities. Each of the risk factors could adversely affect our business, operating results and financial condition, as well as adversely affect the value of an investment in our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Standard BioTools is driven by a bold purpose — unleashing tools to accelerate breakthroughs in human health. Standard BioTools has an established portfolio of essential, standardized next-generation high resolution technologies that assist biomedical researchers to develop medicines faster and better. Standard BioTools’ tools are designed to provide reliable and repeatable insights in health and disease using its proprietary mass cytometry and microfluidics technologies, which are useful in proteomics and genomics that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the Merger</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October 4, 2023, Standard BioTools entered into the Merger Agreement with SomaLogic and Merger Sub, </w:t>
      </w:r>
      <w:r>
        <w:rPr>
          <w:rFonts w:ascii="Times New Roman" w:cs="Times New Roman" w:eastAsia="Times New Roman" w:hAnsi="Times New Roman"/>
          <w:sz w:val="18"/>
          <w:szCs w:val="18"/>
          <w:color w:val="auto"/>
          <w:highlight w:val="white"/>
        </w:rPr>
        <w:t>pursuant to which, at the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Time, among other matters, Merger </w:t>
      </w:r>
      <w:r>
        <w:rPr>
          <w:rFonts w:ascii="Times New Roman" w:cs="Times New Roman" w:eastAsia="Times New Roman" w:hAnsi="Times New Roman"/>
          <w:sz w:val="18"/>
          <w:szCs w:val="18"/>
          <w:color w:val="auto"/>
        </w:rPr>
        <w:t>Sub merged with and into SomaLogic, with SomaLogic surviving as a wholly owned subsidiary of Standard</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BioTools. </w:t>
      </w:r>
      <w:r>
        <w:rPr>
          <w:rFonts w:ascii="Times New Roman" w:cs="Times New Roman" w:eastAsia="Times New Roman" w:hAnsi="Times New Roman"/>
          <w:sz w:val="18"/>
          <w:szCs w:val="18"/>
          <w:color w:val="auto"/>
          <w:highlight w:val="white"/>
        </w:rPr>
        <w:t>Upon the terms and subject to the conditions set forth in the Merger Agreement, at the Effective Time, each share of SomaLogic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Stock converted into the right to receive 1.11 shares of Standard BioTools Common Stock, pursuant to the Exchange Ratio. At the Effective Time, SomaLogic’s common stockholders owned approximately 57%, and Standard BioTools’ common stockholders owned approximately 43%, of the outstanding shares of common stock of the combined company on a fully diluted basis.</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as of the Effective Time, Standard BioTools assumed each of the SomaLogic equity incentive plans and outstanding options to purchase shares of SomaLogic Common Stock (the “SomaLogic Stock Options”) and restricted stock units convertible into shares of SomaLogic Stock (“SomaLogic RSUs” and together with the SomaLogic Stock Options, the “Equity Awards”), whether vested or unvested. Each such Equity Award so assumed by the Company continued to have, and be subject to, the same terms and conditions applicable to such Equity Award immediately prior to the Effective Time, except that (A) such SomaLogic Stock Option is now exercisable for that number of shares of Standard BioTools Common Stock equal to the number of shares of SomaLogic Stock subject to such SomaLogic Stock Option immediately prior to the Effective Time multiplied by the Exchange Ratio and rounded down to the next nearest share of Standard BioTools Common Stock, (B) the exercise price per share is now the exercise price per share in effect for that SomaLogic Stock Option immediately prior to the Effective Time divided by the Exchange Ratio and rounded up to the next nearest cent and (C) such SomaLogic RSU vested for that number of shares of Standard BioTools Common Stock equal to the number of shares of SomaLogic Stock subject to such SomaLogic RSU immediately prior to the Effective Time multiplied by the Exchange Ratio and rounded to the next nearest share of Standard BioTools Common Stock. In addition, as of the Effective Time, each SomaLogic Warrant, each exercisable for one share of SomaLogic Common Stock, was treated in accordance with its terms and each Warrant will convert into the right to receive, upon exercise of such Warrant, the number of shares of Standard BioTools Common Stock equal to multiplying the number of shares of common stock of SomaLogic subject to such Warrant by the Exchange Ratio. Additionally, as of the Effective Time, each share of SomaLogic Common Stock issuable in satisfaction of the applicable Milestone Consideration (as defined in the Palamedrix Merger Agreement) shall be satisfied with Standard BioTools Common Stock after applying the Exchange Ratio, if the Milestone Consideration is earned.</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520" w:top="1103"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738505</wp:posOffset>
            </wp:positionV>
            <wp:extent cx="7136130" cy="2310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2310130"/>
                    </a:xfrm>
                    <a:prstGeom prst="rect">
                      <a:avLst/>
                    </a:prstGeom>
                    <a:noFill/>
                  </pic:spPr>
                </pic:pic>
              </a:graphicData>
            </a:graphic>
          </wp:anchor>
        </w:drawing>
        <w:t>Corporate History and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were incorporated in California in May 1999 as “Mycometrix Corporation”, changed our name to “Fluidigm Corporation” in April 2001, reincorporated in Delaware in July 2007, and subsequently changed our name to “Standard BioTools Inc.” in April 2022.</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principal executive offices are located at 2 Tower Place, South San Francisco, California 94080. Our telephone number is (650) 266-6000.</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make available on our website, free of charge, our Annual Report on Form 10-K, Quarterly Reports on Form 10-Q, Current Reports on Form 8-K, and any amendments to those reports, as soon as reasonably practicable after we electronically file such material with, or furnish it to, the SEC. Our SEC reports can be accessed through the investor relations page of our website. The SEC also maintains an Internet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Standard BioTools Common Stock is listed on The Nasdaq Global Select Market under the symbol “LAB.”</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520" w:top="1346" w:right="539" w:bottom="1440" w:gutter="0" w:footer="0" w:header="0"/>
        </w:sectPr>
      </w:pPr>
    </w:p>
    <w:bookmarkStart w:id="8" w:name="page9"/>
    <w:bookmarkEnd w:id="8"/>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Issuance of Standard BioTools Common Stock</w:t>
      </w:r>
    </w:p>
    <w:p>
      <w:pPr>
        <w:spacing w:after="0" w:line="1"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7"/>
          <w:szCs w:val="17"/>
          <w:color w:val="auto"/>
        </w:rPr>
        <w:t>Shares of Standard BioTools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b w:val="1"/>
          <w:bCs w:val="1"/>
          <w:color w:val="auto"/>
        </w:rPr>
        <w:t>Resale of Standard BioTools Common Stock</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Shares of Standard BioTools Common Stock offered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symbol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ind w:left="21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-247015</wp:posOffset>
            </wp:positionV>
            <wp:extent cx="7136130" cy="6150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615061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Up to 11,691,989 shares of Standard BioTools Common Stock issuable upon exercise of the Warrants, consisting of:</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up to 6,127,190 shares of Standard BioTools Common Stock that are issuable upon the exercise of the Previously Public Warrants; and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 up to 5,564,799 shares of Standard BioTools Common Stock that are issuable upon the exercise of the Private Placement Warrants.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will receive up to an aggregate of approximately $121.1 million from the exercise of all Warrants, assuming the exercise in full of such Warrants for cash.</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we inform you otherwise in a prospectus supplement or free writing prospectus, we intend to use the net proceeds from the exercise of such Warrants for general corporate purposes.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26,736,975 shares of Standard BioTools Common Stock, consisting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up to 13,807,380 PIPE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up to 7,575,750 Founder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up to 238,864 Upfront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up to 105,180 Milestone Shares; and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 up to 5,009,801 shares of Standard BioTools Common Stock issuable upon the exercise of the Private Placement Warrants.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Standard BioTools Common Stock or Private Placement Warrants by the Selling Securityholders.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BioTools Common Stock is listed on The Nasdaq Global Select Market under the symbol “LAB.”</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other information included in this prospectus for a discussion of factors that you should consider carefully before deciding to invest in our securities.</w:t>
      </w:r>
    </w:p>
    <w:p>
      <w:pPr>
        <w:spacing w:after="0" w:line="200" w:lineRule="exact"/>
        <w:rPr>
          <w:sz w:val="20"/>
          <w:szCs w:val="20"/>
          <w:color w:val="auto"/>
        </w:rPr>
      </w:pPr>
    </w:p>
    <w:p>
      <w:pPr>
        <w:sectPr>
          <w:pgSz w:w="11900" w:h="16838" w:orient="portrait"/>
          <w:cols w:equalWidth="0" w:num="2">
            <w:col w:w="2340" w:space="280"/>
            <w:col w:w="8220"/>
          </w:cols>
          <w:pgMar w:left="520" w:top="1103" w:right="53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26035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520" w:top="1103" w:right="5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Before you invest in our securities you should carefully consider those risk factors described under, but not limited to, the heading “Risk Factors” in our most recent Annual Report on Form 10-K, any subsequently filed Quarterly Reports on Form 10-Q and any subsequently filed Current Reports on Form 8-K (other than, in each case, information furnished rather than filed), which are incorporated by reference herein, and those risk factors that may be included in any applicable prospectus supplement, together with all of the other information included in this prospectus, any prospectus supplement and the documents we incorporate by reference. The risks and uncertainties we have described are not the only ones we face. Additional risks and uncertainties not presently known to us or that we currently deem immaterial may also affect our operations. If any of these risks were actually to occur, our business, financial condition or results of operations could be materially adversely affected. In that case, the value of our securities could decline, and you could lose part or all of your investment.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contain certain statements that constitute “forward-looking statements” within the meaning of Section 27A of the Securities Act of 1933, as amended (the “Securities Act”), and Section 21E of the Securities Exchange Act of 1934, as amended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Forward-looking statements include, but are not necessarily limited to, those relating to: the anticipated benefits of the Merger, the future financial performance of the combined company, information concerning our possible or assumed future cash flow, revenue, sources of revenue and results of operations, cost of product revenue and product margin, operating and other income and expenses, unit sales and the selling prices of our products, business strategies, financing plans, expansion of our business, competitive position, industry environment, potential growth opportunities, market growth expectations, and the effects of competition and public health crises on our business, the global supply chain, and our customers, suppliers, and other business partners. Those statements appear in this prospectus, any accompanying prospectus supplement and the documents incorporated herein and therein by reference, particularly in the sections captioned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9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All of the shares of Standard BioTools Common Stock offered by the Selling Securityholders pursuant to this prospectus will be sold by the Selling Securityholders for their respective accounts. We will not receive any of the proceeds from the sale of shares of Standard BioTools Common Stock hereunder.</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Assuming the exercise of all outstanding Warrants for cash, we will receive an aggregate of approximately $121.1 million but will not receive any proceeds from the sale of the shares of Standard BioTools Common Stock issuable upon such exercise. We expect to use the net proceeds from the exercise of the Warrants, if any, for general corporate purposes. We will have broad discretion over the use of any proceeds from the exercise of the Warrants. There is no assurance that the holders of the Warrants will elect to exercise for cash any or all of such Warrants. To the extent that any Warrants are exercised on a “cashless basis,” the amount of cash we would receive from the exercise of the Warrants will decrease.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shares of Standard BioTools Common Stock. We will bear the costs, fees and expenses incurred in effecting the registration of the shares of Standard BioTools Common Stock covered by this prospectus, including all registration and filing fees, The Nasdaq Stock Market listing fees and fees and expenses of our counsel and our independent registered public accounting firm.</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Selling Securityholders may offer and sell, from time to time, any or all of the shares of Standard BioTools Common Stock being offered for resale by this prospectus, which consists of:</w:t>
      </w:r>
    </w:p>
    <w:p>
      <w:pPr>
        <w:spacing w:after="0" w:line="16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13,807,380 PIPE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7,575,750 Founder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238,864 Upfront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105,180 Milestone Shares;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5,009,801 shares of Standard BioTools Common Stock issuable upon the exercise of Private Placement Warrants.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number of Milestone Shares set forth above was determined assuming the achievement of remaining milestones set forth in the Palamedrix Merger Agreement. The Milestone Shares have not been earned and are not currently outstanding. The actual number of Milestone Shares issued to the Selling Securityholders could be materially greater or less than 105,180 shares of Standard BioTools Common Stock depending on whether and to what extent the future milestones are achieved and/or the actual volume weighted average price of the Standard BioTools Common Stock at the time such milestones are achieved. This presentation is not intended to constitute an indication or prediction of whether any of the future milestones will be achieved, the election to pay the milestone consideration in cash or Standard BioTools Common Stock, or the future market price of the Standard BioTools Common Stock.</w:t>
      </w:r>
    </w:p>
    <w:p>
      <w:pPr>
        <w:spacing w:after="0" w:line="18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Selling Securityholders may from time to time offer and sell any or all of the shares of Standard BioTools Common Stock set forth below pursuant to this prospectus. In this prospectus, the term “</w:t>
      </w:r>
      <w:r>
        <w:rPr>
          <w:rFonts w:ascii="Times New Roman" w:cs="Times New Roman" w:eastAsia="Times New Roman" w:hAnsi="Times New Roman"/>
          <w:sz w:val="18"/>
          <w:szCs w:val="18"/>
          <w:i w:val="1"/>
          <w:iCs w:val="1"/>
          <w:color w:val="auto"/>
        </w:rPr>
        <w:t>Selling Securityholders</w:t>
      </w:r>
      <w:r>
        <w:rPr>
          <w:rFonts w:ascii="Times New Roman" w:cs="Times New Roman" w:eastAsia="Times New Roman" w:hAnsi="Times New Roman"/>
          <w:sz w:val="18"/>
          <w:szCs w:val="18"/>
          <w:color w:val="auto"/>
        </w:rPr>
        <w:t>” includes (i) the entities identified in the table below (as such table may be amended from time to time by means of an amendment to the registration statement of which this prospectus forms a part or by a supplement to this prospectus) and</w:t>
      </w:r>
    </w:p>
    <w:p>
      <w:pPr>
        <w:spacing w:after="0" w:line="1" w:lineRule="exact"/>
        <w:rPr>
          <w:sz w:val="20"/>
          <w:szCs w:val="20"/>
          <w:color w:val="auto"/>
        </w:rPr>
      </w:pPr>
    </w:p>
    <w:p>
      <w:pPr>
        <w:ind w:right="20" w:firstLine="8"/>
        <w:spacing w:after="0" w:line="260" w:lineRule="auto"/>
        <w:tabs>
          <w:tab w:leader="none" w:pos="2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donees, pledgees, transferees or other successors-in-interest that acquire any of the securities covered by this prospectus from the named Selling Securityholders as a gift, pledge, partnership distribution or other non-sale related transfer.</w:t>
      </w:r>
    </w:p>
    <w:p>
      <w:pPr>
        <w:spacing w:after="0" w:line="1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tables provide, as of January 10, 2024, information regarding the beneficial ownership of Standard BioTools Common Stock and other securities convertible or exercisable into shares of Standard BioTools Common Stock, including shares of Standard BioTools Common Stock issuable upon the exercise of the Private Placement Warrants of each Selling Securityholder, and the number of shares of Standard BioTools Common Stock that may be sold by each Selling Securityholder under this prospectus and that each Selling Securityholder will beneficially own after this offering.</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Because each Selling Securityholder may dispose of all, none or some portion of their securities, no estimate can be given as to the number of securities that will be beneficially owned by a Selling Securityholder upon termination of this offering. For purposes of the tables below, however, we have assumed that after termination of this offering none of the securities covered by this prospectus will be beneficially owned by the Selling Securityholders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tables is presented. Beneficial ownership is determined in accordance with the rules and regulations of the SEC. In computing the number of shares beneficially owned by the Selling Securityholders and the percentage ownership of each Selling Securityholder, securities that are currently convertible or exercisable into shares of Standard BioTools Common Stock, or convertible or exercisable within 60 days following the date of this prospectus, are deemed beneficially owned by the Selling Securityholder.</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described herein or in the documents incorporated by reference, none of the Selling Securityholders or their respective affiliates has been an officer or director of our Company or any of our predecessors or affiliates within the last three years, nor has any Selling Securityholder had a material relationship with us within the last three years.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a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shares of Standard BioTools Common Stock or Private Placement Warrants registered on its behalf.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right="20" w:firstLine="324"/>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further information regarding the Selling Securityholders’ method of distributing these shares of Standard BioTools Common Stock.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8"/>
              </w:rPr>
              <w:t>Shares of Standard BioTools Common Stock</w:t>
            </w:r>
          </w:p>
        </w:tc>
        <w:tc>
          <w:tcPr>
            <w:tcW w:w="12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96"/>
        </w:trPr>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320" w:type="dxa"/>
            <w:vAlign w:val="bottom"/>
          </w:tcPr>
          <w:p>
            <w:pPr>
              <w:spacing w:after="0"/>
              <w:rPr>
                <w:sz w:val="17"/>
                <w:szCs w:val="17"/>
                <w:color w:val="auto"/>
              </w:rPr>
            </w:pPr>
          </w:p>
        </w:tc>
        <w:tc>
          <w:tcPr>
            <w:tcW w:w="1540" w:type="dxa"/>
            <w:vAlign w:val="bottom"/>
            <w:gridSpan w:val="2"/>
          </w:tcPr>
          <w:p>
            <w:pPr>
              <w:jc w:val="center"/>
              <w:ind w:right="3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560" w:type="dxa"/>
            <w:vAlign w:val="bottom"/>
            <w:gridSpan w:val="2"/>
          </w:tcPr>
          <w:p>
            <w:pPr>
              <w:jc w:val="center"/>
              <w:ind w:right="3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80" w:type="dxa"/>
            <w:vAlign w:val="bottom"/>
          </w:tcPr>
          <w:p>
            <w:pPr>
              <w:spacing w:after="0"/>
              <w:rPr>
                <w:sz w:val="17"/>
                <w:szCs w:val="17"/>
                <w:color w:val="auto"/>
              </w:rPr>
            </w:pPr>
          </w:p>
        </w:tc>
      </w:tr>
      <w:tr>
        <w:trPr>
          <w:trHeight w:val="216"/>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3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16"/>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Prior</w:t>
            </w:r>
          </w:p>
        </w:tc>
        <w:tc>
          <w:tcPr>
            <w:tcW w:w="3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r>
      <w:tr>
        <w:trPr>
          <w:trHeight w:val="270"/>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2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5"/>
              </w:rPr>
              <w:t>to Offering</w:t>
            </w:r>
            <w:r>
              <w:rPr>
                <w:rFonts w:ascii="Times New Roman" w:cs="Times New Roman" w:eastAsia="Times New Roman" w:hAnsi="Times New Roman"/>
                <w:sz w:val="29"/>
                <w:szCs w:val="29"/>
                <w:b w:val="1"/>
                <w:bCs w:val="1"/>
                <w:color w:val="auto"/>
                <w:w w:val="95"/>
                <w:vertAlign w:val="superscript"/>
              </w:rPr>
              <w:t>(1)*</w:t>
            </w:r>
          </w:p>
        </w:tc>
        <w:tc>
          <w:tcPr>
            <w:tcW w:w="32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3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3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Offering</w:t>
            </w:r>
            <w:r>
              <w:rPr>
                <w:rFonts w:ascii="Times New Roman" w:cs="Times New Roman" w:eastAsia="Times New Roman" w:hAnsi="Times New Roman"/>
                <w:sz w:val="29"/>
                <w:szCs w:val="29"/>
                <w:b w:val="1"/>
                <w:bCs w:val="1"/>
                <w:color w:val="auto"/>
                <w:w w:val="94"/>
                <w:vertAlign w:val="superscript"/>
              </w:rPr>
              <w:t>(2)</w:t>
            </w:r>
          </w:p>
        </w:tc>
        <w:tc>
          <w:tcPr>
            <w:tcW w:w="180" w:type="dxa"/>
            <w:vAlign w:val="bottom"/>
            <w:tcBorders>
              <w:bottom w:val="single" w:sz="8" w:color="CCEEFF"/>
            </w:tcBorders>
          </w:tcPr>
          <w:p>
            <w:pPr>
              <w:spacing w:after="0"/>
              <w:rPr>
                <w:sz w:val="23"/>
                <w:szCs w:val="23"/>
                <w:color w:val="auto"/>
              </w:rPr>
            </w:pPr>
          </w:p>
        </w:tc>
      </w:tr>
      <w:tr>
        <w:trPr>
          <w:trHeight w:val="250"/>
        </w:trPr>
        <w:tc>
          <w:tcPr>
            <w:tcW w:w="49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Casdin Partners Master Fund, L.P.</w:t>
            </w:r>
            <w:r>
              <w:rPr>
                <w:rFonts w:ascii="Times New Roman" w:cs="Times New Roman" w:eastAsia="Times New Roman" w:hAnsi="Times New Roman"/>
                <w:sz w:val="28"/>
                <w:szCs w:val="28"/>
                <w:color w:val="auto"/>
                <w:vertAlign w:val="superscript"/>
              </w:rPr>
              <w:t>(3)</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37,659,347</w:t>
            </w:r>
          </w:p>
        </w:tc>
        <w:tc>
          <w:tcPr>
            <w:tcW w:w="1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11,351,705</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26,307,642</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57"/>
        </w:trPr>
        <w:tc>
          <w:tcPr>
            <w:tcW w:w="51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Casdin Private Growth Equity Fund, L.P.</w:t>
            </w:r>
            <w:r>
              <w:rPr>
                <w:rFonts w:ascii="Times New Roman" w:cs="Times New Roman" w:eastAsia="Times New Roman" w:hAnsi="Times New Roman"/>
                <w:sz w:val="29"/>
                <w:szCs w:val="29"/>
                <w:color w:val="auto"/>
                <w:vertAlign w:val="superscript"/>
              </w:rPr>
              <w:t>(4)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2,744,219</w:t>
            </w:r>
          </w:p>
        </w:tc>
        <w:tc>
          <w:tcPr>
            <w:tcW w:w="1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2,744,219</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1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CMLS Holdings II LLC</w:t>
            </w:r>
            <w:r>
              <w:rPr>
                <w:rFonts w:ascii="Times New Roman" w:cs="Times New Roman" w:eastAsia="Times New Roman" w:hAnsi="Times New Roman"/>
                <w:sz w:val="29"/>
                <w:szCs w:val="29"/>
                <w:color w:val="auto"/>
                <w:vertAlign w:val="superscript"/>
              </w:rPr>
              <w:t>(5)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12,372,802</w:t>
            </w:r>
          </w:p>
        </w:tc>
        <w:tc>
          <w:tcPr>
            <w:tcW w:w="1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12,372,802</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1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Troy M. Cox</w:t>
            </w:r>
            <w:r>
              <w:rPr>
                <w:rFonts w:ascii="Times New Roman" w:cs="Times New Roman" w:eastAsia="Times New Roman" w:hAnsi="Times New Roman"/>
                <w:sz w:val="29"/>
                <w:szCs w:val="29"/>
                <w:color w:val="auto"/>
                <w:vertAlign w:val="superscript"/>
              </w:rPr>
              <w:t>(6)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761,967</w:t>
            </w:r>
          </w:p>
        </w:tc>
        <w:tc>
          <w:tcPr>
            <w:tcW w:w="1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268,249</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493,718</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53,538,335</w:t>
            </w:r>
          </w:p>
        </w:tc>
        <w:tc>
          <w:tcPr>
            <w:tcW w:w="1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26,736,975</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26,801,360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r>
    </w:tbl>
    <w:p>
      <w:pPr>
        <w:spacing w:after="0" w:line="198" w:lineRule="exact"/>
        <w:rPr>
          <w:sz w:val="20"/>
          <w:szCs w:val="20"/>
          <w:color w:val="auto"/>
        </w:rPr>
      </w:pPr>
    </w:p>
    <w:p>
      <w:pPr>
        <w:ind w:left="340" w:right="3400" w:hanging="8"/>
        <w:spacing w:after="0" w:line="282" w:lineRule="auto"/>
        <w:tabs>
          <w:tab w:leader="none" w:pos="6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Selling Securityholders may be deemed to beneficially own other securities reported herein. ** Less than 1%</w:t>
      </w:r>
    </w:p>
    <w:p>
      <w:pPr>
        <w:spacing w:after="0" w:line="161" w:lineRule="exact"/>
        <w:rPr>
          <w:rFonts w:ascii="Times New Roman" w:cs="Times New Roman" w:eastAsia="Times New Roman" w:hAnsi="Times New Roman"/>
          <w:sz w:val="18"/>
          <w:szCs w:val="18"/>
          <w:color w:val="auto"/>
        </w:rPr>
      </w:pPr>
    </w:p>
    <w:p>
      <w:pPr>
        <w:jc w:val="both"/>
        <w:ind w:left="1100" w:hanging="444"/>
        <w:spacing w:after="0" w:line="258" w:lineRule="auto"/>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includes PIPE Shares, Founder Shares, and shares of Common Stock issuable upon exercise of the Private Placement Warrants (including both shares beneficially owned as determined in accordance with Rule 13d-3 of the Exchange Act and additional shares underlying the Private Placement Warrants to purchase Common Stock which may be exercisable or vest within one year following the Closing), (collectively, the “Resale Securities”). We do not know when or in what amounts the Selling Securityholders will offer the Resale Securities for sale, if at all.</w:t>
      </w:r>
    </w:p>
    <w:p>
      <w:pPr>
        <w:spacing w:after="0" w:line="183" w:lineRule="exact"/>
        <w:rPr>
          <w:rFonts w:ascii="Times New Roman" w:cs="Times New Roman" w:eastAsia="Times New Roman" w:hAnsi="Times New Roman"/>
          <w:sz w:val="18"/>
          <w:szCs w:val="18"/>
          <w:color w:val="auto"/>
        </w:rPr>
      </w:pPr>
    </w:p>
    <w:p>
      <w:pPr>
        <w:jc w:val="both"/>
        <w:ind w:left="1100" w:hanging="444"/>
        <w:spacing w:after="0" w:line="255" w:lineRule="auto"/>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shares to be beneficially owned after completion of the offering is calculated on the basis of 289,809,158 shares of Standard BioTools Common Stock and 127,780 shares of Series B-1 Preferred Stock (which represents up to 37,582,346 shares of Standard BioTools Common Stock issuable upon conversion of the Series B-1 Preferred Stock) outstanding, in each case at January 10, 2024. In calculating percentages of shares of Standard BioTools Common Stock owned by a particular Selling Securityholder, we treated as outstanding the number of shares of Standard BioTools Common Stock issuable upon exercise of that particular Selling Securityholder’s Private Placement Warrants or Series B-1 Preferred Stock, if any, and did not assume the exercise of any other Selling Securityholder’s Private Placement Warrants or the conversion of any other Selling Securityholder’s Series B-1 Preferred Stock.</w:t>
      </w:r>
    </w:p>
    <w:p>
      <w:pPr>
        <w:spacing w:after="0" w:line="188" w:lineRule="exact"/>
        <w:rPr>
          <w:rFonts w:ascii="Times New Roman" w:cs="Times New Roman" w:eastAsia="Times New Roman" w:hAnsi="Times New Roman"/>
          <w:sz w:val="18"/>
          <w:szCs w:val="18"/>
          <w:color w:val="auto"/>
        </w:rPr>
      </w:pPr>
    </w:p>
    <w:p>
      <w:pPr>
        <w:jc w:val="both"/>
        <w:ind w:left="1100" w:hanging="444"/>
        <w:spacing w:after="0" w:line="254" w:lineRule="auto"/>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registered for sale hereby includes (i) 11,007,661 PIPE Shares held by Casdin Partners Master Fund, L.P., (ii) 238,864 Upfront Shares held by Casdin Partners Master Fund, L.P., and (iii) up to 105,180 Milestone Shares to be received by Casdin Partners Master Fund, L.P., based on milestone assumptions. The number of shares beneficially owned prior to and after the offering also includes 26,307,642 shares of Standard BioTools Common Stock issuable upon conversion of the Series B-1 Preferred Stock held by Casdin Partners Master Fund, L.P. The shares held by Casdin Partners Master Fund, L.P. may be deemed to be indirectly beneficially owned by (i) Casdin Capital, LLC, the investment adviser to Casdin Partners Master Fund, L.P., (ii) Casdin Partners GP, LLC, the general partner of Casdin Partners Master Fund L.P., and (iii) Eli casdin, the managing member of Casdin Capital, LLC and Casdin Partners GP, LLC. Mr. Casdin is a director of the Company. The business address of Casdin Partners Master Fund, L.P. is 1350 Avenue of the Americas, Suite 2600, New York, New York 10019.</w:t>
      </w:r>
    </w:p>
    <w:p>
      <w:pPr>
        <w:spacing w:after="0" w:line="188" w:lineRule="exact"/>
        <w:rPr>
          <w:rFonts w:ascii="Times New Roman" w:cs="Times New Roman" w:eastAsia="Times New Roman" w:hAnsi="Times New Roman"/>
          <w:sz w:val="18"/>
          <w:szCs w:val="18"/>
          <w:color w:val="auto"/>
        </w:rPr>
      </w:pPr>
    </w:p>
    <w:p>
      <w:pPr>
        <w:jc w:val="both"/>
        <w:ind w:left="1100" w:hanging="444"/>
        <w:spacing w:after="0" w:line="256" w:lineRule="auto"/>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registered for sale hereby includes 2,744,219 PIPE Shares held by Casdin Private Growth Equity Fund, L.P. The shares held by Casdin Private Growth Equity Fund, L.P. may be deemed to be indirectly beneficially owned by (i) Casdin Capital, LLC, the investment adviser to Casdin Private Growth Equity Fund, L.P., (ii) Casdin Private Growth Equity GP, LLC, the general partner of Casdin Private Growth Equity Fund, L.P., and (iii) Eli Casdin, the managing member of Casdin Capital, LLC and Casdin Private Growth Equity GP, LLC. Mr. Casdin is a director of the Company. The business address of Casdin Private Growth Equity Fund, L.P. is 1350 Avenue of the Americas, Suite 2600, New York, New York 10019.</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 w:name="page15"/>
    <w:bookmarkEnd w:id="14"/>
    <w:p>
      <w:pPr>
        <w:jc w:val="both"/>
        <w:ind w:left="444" w:hanging="444"/>
        <w:spacing w:after="0" w:line="256" w:lineRule="auto"/>
        <w:tabs>
          <w:tab w:leader="none" w:pos="4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4,824,802 shares of Standard BioTools Common Stock issuable upon exercise of the Private Placement Warrants and 7,548,000 Founder Shares held by CMLS Holdings II LLC. The Board of Managers of CMLS Holdings II LLC includes Mr. Casdin, who, as a member of the Board of Managers of CMLS Holdings II LLC, shares voting and investment discretion with respect to the shares of Standard BioTools Common Stock held by CMLS Holdings II LLC. Mr. Casdin may be deemed to have or share beneficial ownership of the securities held by CMLS Holdings II LLC. Mr. Casdin is a director of the Company. The business address of CMLS Holdings II LLC is c/o Corvex Management LP, 667 Madison Avenue, New York, New York 10065.</w:t>
      </w:r>
    </w:p>
    <w:p>
      <w:pPr>
        <w:spacing w:after="0" w:line="187" w:lineRule="exact"/>
        <w:rPr>
          <w:rFonts w:ascii="Times New Roman" w:cs="Times New Roman" w:eastAsia="Times New Roman" w:hAnsi="Times New Roman"/>
          <w:sz w:val="18"/>
          <w:szCs w:val="18"/>
          <w:color w:val="auto"/>
        </w:rPr>
      </w:pPr>
    </w:p>
    <w:p>
      <w:pPr>
        <w:jc w:val="both"/>
        <w:ind w:left="444" w:hanging="444"/>
        <w:spacing w:after="0" w:line="258" w:lineRule="auto"/>
        <w:tabs>
          <w:tab w:leader="none" w:pos="4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registered for sale hereby includes (i) 55,500 PIPE Shares, (ii) 184,999 shares of Standard BioTools Common Stock issuable upon exercise of the Private Placement Warrants and (iii) 27,750 Founder Shares. Mr. Cox is a Director of the Company. The number of shares beneficially owned prior to and after the offering also includes (i) 3,807 shares of Standard BioTools Common Stock held by Mr. Cox and (ii) 489,911 shares of Standard BioTools Common Stock underlying stock options exercisable within 60 days of January 10, 2024. The business address of Mr. Cox is c/o Standard BioTools Inc., 2 Tower Place, South San Francisco, California 94080.</w:t>
      </w: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 w:name="page16"/>
    <w:bookmarkEnd w:id="15"/>
    <w:p>
      <w:pPr>
        <w:jc w:val="center"/>
        <w:ind w:left="660" w:right="280"/>
        <w:spacing w:after="0" w:line="286" w:lineRule="auto"/>
        <w:rPr>
          <w:sz w:val="20"/>
          <w:szCs w:val="20"/>
          <w:color w:val="auto"/>
        </w:rPr>
      </w:pPr>
      <w:r>
        <w:rPr>
          <w:rFonts w:ascii="Times New Roman" w:cs="Times New Roman" w:eastAsia="Times New Roman" w:hAnsi="Times New Roman"/>
          <w:sz w:val="18"/>
          <w:szCs w:val="18"/>
          <w:b w:val="1"/>
          <w:bCs w:val="1"/>
          <w:color w:val="auto"/>
        </w:rPr>
        <w:t>U.S. FEDERAL INCOME TAX CONSEQUENCES TO NON-U.S. HOLDERS OF SHARES OF STANDARD BIOTOOLS COMMON STOCK</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U.S. federal income tax consequences to non-U.S. holders (as defined below) of the ownership and disposition of shares of Standard BioTools Common Stock but does not purport to be a complete analysis of all the potential tax considerations relating thereto. This summary is based upon the provisions of the Internal Revenue Code of 1986, as amended (the “Code”), Treasury regulations promulgated thereunder, administrative rulings and judicial decisions, all as of the date hereof. These authorities may be changed, possibly retroactively, and any changes may result in U.S. federal income tax consequences different from those set forth below. We have not sought any ruling from the Internal Revenue Service (“IRS”) with respect to the statements made and the conclusions reached in the following summary, and there can be no assurance that the IRS will agree with such statements and conclusions.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summary also does not address the tax considerations arising under the laws of any state, local or non-U.S. jurisdiction or under U.S. federal non-income tax laws, except to the limited extent set forth below. It also does not discuss the consequences of ownership, disposition or converting Series B Preferred Stock into shares of Standard BioTools Common Stock. In addition, this discussion does not address the potential application of the alternative minimum tax or the Medicare contribution tax on net investment income or any tax considerations applicable to an investor’s particular circumstances or to investors that may be subject to special tax rules, including, without limitation:</w:t>
      </w:r>
    </w:p>
    <w:p>
      <w:pPr>
        <w:spacing w:after="0" w:line="18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accounts;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or corporations that accumulate earnings to avoid U.S. federal income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5% of our capital stock, by vote or value (except to the extent specifically set forth below);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shares of Standard BioTools Common Stock as a position in a hedging transaction, “straddle,” “conversion transaction” or other risk reduction transaction;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shares of Standard BioTools Common Stock as a capital asset within the meaning of Section 1221 of the Code (generally property held for investment);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gross income with respect to shares of Standard BioTools Common Stock as a result of such income being recognized on an applicable financial statement;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shares of Standard BioTools Common Stock under the constructive sale provisions of the Code.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if a partnership (or entity or arrangement classified as a partnership for U.S. federal income tax purposes) holds shares of Standard BioTools Common Stock, the tax treatment of a person treated as a partner in such partnership generally will depend on the status of the partner and upon the activities of the partnership. Accordingly, partnerships that hold shares of Standard BioTools Common Stock, and partners in such partnerships, should consult their tax advisors.</w:t>
      </w:r>
    </w:p>
    <w:p>
      <w:pPr>
        <w:spacing w:after="0" w:line="176"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are urged to consult your tax advisor with respect to the application of the U.S. federal income tax laws to your particular situation, as well as any tax consequences of the purchase, ownership and disposition of shares of Standard BioTools Common Stock arising under the U.S. federal estate or gift tax laws or under the laws of any state, local, non-U.S. or other taxing jurisdiction or under any applicable tax treaty.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b w:val="1"/>
          <w:bCs w:val="1"/>
          <w:color w:val="auto"/>
        </w:rPr>
        <w:t>Non-U.S. Holder Defined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this discussion, you are a non-U.S. holder if you are a beneficial owner of shares of Standard BioTools Common Stock that is not,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federal income tax purposes, any of the following:</w:t>
      </w:r>
    </w:p>
    <w:p>
      <w:pPr>
        <w:spacing w:after="0" w:line="20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or arrangement treated as a partnership;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the United States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(x) whose administration is subject to the primary supervision of a court within the United States and which has one or more “United States persons” (within the meaning of Section 7701(a)(30) of the Code) who have the authority to control all substantial decisions of the trust or</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which has made a valid election under applicable Treasury regulations to be treated as a “United States person.”</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not made any distributions on shares of Standard BioTools Common Stock and do not intend to make any distributions on shares of Standard BioTools Common Stock for the foreseeable future. However, if we do make distributions of cash or property on shares of Standard BioTools Common Stock, those distributions will constitute dividends for U.S. federal income tax purposes to the extent paid from our current or accumulated earnings and profits, as determined under U.S. federal income tax principles. To the extent those distributions exceed both our current and accumulated earnings and profits, such excess will first constitute a return of capital and will reduce your basis in shares of Standard BioTools Common Stock (determined separately with respect to each share of Standard BioTools Common Stock), but not below zero, and then, any amount in excess of such basis, will be treated as gain from the deemed sale of that stock.</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any dividend paid to you generally will be subject to U.S. withholding tax either at a rate of 30% of the gross amount of the dividend or such lower rate as may be specified by an applicable income tax treaty. In order to receive a reduced treaty rate, you must provide us in a timely manner an IRS Form W-8BEN, IRS Form W-8BEN-E or other appropriate version of IRS Form W-8 properly certifying qualification for the reduced rate. If you are eligible for a reduced rate of U.S. withholding tax pursuant to an income tax treaty, you may obtain a refund of any excess amounts withheld by filing an appropriate claim for refund with the IRS in a timely manner. If you hold shares of Standard BioTools Common Stock through a financial institution or other agent acting on your behalf, you will be required to provide appropriate documentation to the agent, who then may be required to provide the required certification to us or our paying agent, either directly or through other intermediaries. You should consult your tax advisor regarding to the availability of benefits under any applicable income tax treaty.</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Dividends received by you that are effectively connected with your conduct of a U.S. trade or business (and, if required by an applicable income tax treaty, that are attributable to a permanent establishment or fixed base maintained by you in the United States) generally are exempt from such withholding tax. In order to obtain this exemption, you must provide us with an IRS Form W-8ECI or other applicable IRS Form W-8 properly certifying such exemption. Such effectively connected dividends, although not subject to withholding tax, generally are taxed at the same graduated rates applicable to U.S. persons.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subject to certain adjustments.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Gain on Disposition of shares of Standard BioTools Common Stock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 generally will not be required to pay U.S. federal income tax on any gain realized upon the sale or other disposition of shares of Standard BioTools Common Stock unless:</w:t>
      </w:r>
    </w:p>
    <w:p>
      <w:pPr>
        <w:spacing w:after="0" w:line="162"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required by an applicable income tax treaty, the gain is attributable to a permanent establishment or fixed base maintained by you in the United States);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a period or periods aggregating 183 days or more during the taxable year in which the sale or disposition occurs and certain other conditions are met; or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Standard BioTools Common Stock constitute a U.S. real property interest by reason of our status as a “United States real property holding corporation” (“USRPHC”) for U.S. federal income tax purposes.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are or become a USRPHC, as long as shares of Standard BioTools Common Stock is regularly traded on an established securities market, such shares of Standard BioTools Common Stock will be treated as U.S. real property interest with respect to you only if you actually or constructively hold more than 5% of the shares of Standard BioTools Common Stock at any time during the shorter of the five-year period preceding your disposition of, or your holding period for, shares of Standard BioTools Common Stock.</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you are a non-U.S. holder described in the first bullet above, you will be required to pay tax on the net gain derived from the sale under regular graduated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required to pay a tax at a rate of 30% (or such lower rate specified by an applicable income tax treaty) on the gain derived from the sale, which gain may be offset by U.S.-source capital losses for the year, provided you have timely filed U.S. federal income tax returns with respect to such losses. You should consult your own tax advisors regarding any applicable income tax or other treaties that may provide for different rules.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Payments of dividends on, or of proceeds from, the disposition of shares of Standard BioTools Common Stock made to you may be subject to additional information reporting and backup withholding at a current rate of 24% unless you establish an exemption, for example, by properly certifying your non-U.S. status on an IRS Form W-8BEN, IRS Form W-8BEN-E or another appropriate version of IRS Form W-8.</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Notwithstanding the foregoing, backup withholding and information reporting may apply if either we or our paying agent has actual knowledge, or reason to know, that you are a U.S. person.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credited against the U.S. federal income tax liability of persons subject to backup withholding, provided that the required information is furnished to the IRS in a timely manner.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Foreign Account Tax Compliance Act (“FATCA”) generally imposes a U.S. federal withholding tax of 30% on dividends and on the gross proceeds of a disposition of shares of Standard BioTools Common Stock paid to a “foreign financial institution” (as specially defined under these rules), unless otherwise provided by the Treasury Secretary or such institution enters into an agreement with the U.S. government to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the gross proceeds of a disposition of shares of Standard BioTools Common Stock paid to a “non-financial foreign entity” (as specially defined under these rules) unless otherwise provided by the Treasury Secretary or such entity provides the withholding agent with a certification identifying certain substantial direct and indirect U.S. owners of the entity, certifies that there are none or otherwise establishes an exemption. The withholding obligations under FATCA generally apply to payments of dividends on shares of Standard BioTools Common Stock. The Treasury Secretary has issued proposed regulations providing that the withholding provisions under FATCA do not apply to payments of gross proceeds from a sale or other disposition of shares of Standard BioTools Common Stock, which may be relied upon by taxpayers until final regulations are issued. Under certain circumstances, a non-U.S. holder might be eligible for refunds or credits of such taxes. An intergovernmental agreement between the United States and an applicable foreign country may modify the requirements described in this paragraph. Prospective investors are encouraged to consult with their own tax advisors regarding the possible implications of this legislation on their investment in shares of Standard BioTools Common Stock.</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Each prospective investor should consult its own tax advisor regarding the particular U.S. federal, state and local and non-U.S. tax consequences of purchasing, owning and disposing of shares of Standard BioTools Common Stock, including the consequences of any proposed changes in applicable laws.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Selling Securityholders, which as used herein includes donees, pledgees, transferees, distributees or other successors-in-interest selling shares of Standard BioTools Common Stock or interests in Standard BioTools Common Stock received from the Selling Securityholders as a gift, pledge, partnership distribution or other transfer, may, from time to time, sell, transfer, distribute or otherwise dispose of certain of their shares of Standard BioTools Common Stock or interests in Standard BioTools Common Stock on any stock exchange, market or trading facility on which shares of Standard BioTools Common Stock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Selling Securityholders may use any one or more of the following methods when disposing of their shares of Standard BioTools Common Stock or interests therein:</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(which may involve crosses) in which the broker-dealer will attempt to sell the shares of Standard BioTools Common Stock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and/or secondary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their employees, partners, members or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(including short sales “against the box”) effected after the date of the registration statement of which this prospectus is a part is declared effective by the SEC;</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standardized or over-the-counter options or other hedging transactions, whether through an options exchange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market transactions, including transactions on a national securities exchange or quotations service or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 debts and other obligation;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our affiliates and stockholders, in a rights offering or otherwise;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Securityholders to sell a specified number of such shares of Standard BioTools Common Stock at a stipulated price per share;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or any other method permitted by applicable law.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Selling Securityholders may effect the distribution of Standard BioTools Common Stock and from time to time in one or more transactions either:</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relating to the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Selling Securityholders may, from time to time, pledge or grant a security interest in some shares of Standard BioTools Common Stock owned by them and, if a Selling Securityholder defaults in the performance of its secured obligations, the pledgees or secured parties may offer and sell such shares of Standard BioTools Common Stock from time to time, under this prospectus, or under an amendment or supplement to this prospectus under Rule 424(b)</w:t>
      </w:r>
    </w:p>
    <w:p>
      <w:pPr>
        <w:spacing w:after="0" w:line="1" w:lineRule="exact"/>
        <w:rPr>
          <w:sz w:val="20"/>
          <w:szCs w:val="20"/>
          <w:color w:val="auto"/>
        </w:rPr>
      </w:pPr>
    </w:p>
    <w:p>
      <w:pPr>
        <w:jc w:val="both"/>
        <w:ind w:firstLine="8"/>
        <w:spacing w:after="0" w:line="253" w:lineRule="auto"/>
        <w:tabs>
          <w:tab w:leader="none" w:pos="2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other applicable provision of the Securities Act amending the list of the Selling Securityholders to include the pledgee, transferee or other successors in interest as the Selling Securityholders under this prospectus. The Selling Securityholders also may transfer shares of Standard BioTools Common Stock in other circumstances, in which case the transferees, pledgees or other successors in interest will be the selling beneficial owners for purposes of this prospectus.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and the Selling Securityholders may agree to indemnify an underwriter, broker-dealer or agent against certain liabilities related to the sale of Standard BioTools Common Stock, including liabilities under the Securities Act. The Selling Securityholders have advised us that they have not entered into any agreements, understandings or arrangements with any underwriters or broker-dealers regarding the sale of their Standard BioTools Common Stock. Upon our notification by a Selling Securityholder that any material arrangement has been entered into with an underwriter or broker-dealer for the sale of Standard BioTools Common Stock through a block trade, special offering, exchange distribution, secondary distribution or a purchase by an underwriter or broker-dealer, we will file a supplement to this prospectus, if required, pursuant to Rule 424(b) under the Securities Act, disclosing certain material information, including:</w:t>
      </w:r>
    </w:p>
    <w:p>
      <w:pPr>
        <w:spacing w:after="0" w:line="18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selling security 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Standard BioTools Common Stock being offered;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participating underwriters, broker-dealers or agents;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commissions or other compensation paid to underwriters or broker-dealers and any discounts, commissions or concessions allowed or reallowed or paid by any underwriters to dealers;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 from the sale of shares of Standard BioTools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terms of the offering.</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upon being notified by a Selling Securityholder that a donee, pledgee, transferee or other successor-in-interest intends to sell Standard BioTools Common Stock, we will, to the extent required, promptly file a supplement to this prospectus to name specifically such person as a Selling Securityholder.</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Agents, broker-dealers and underwriters or their affiliates may engage in transactions with, or perform services for, the Selling Securityholders (or their affiliates) in the ordinary course of business. The Selling Securityholders may also use underwriters or other third parties with whom such selling securityholders have a material relationship. The Selling Securityholders (or their affiliates) will describe the nature of any such relationship in the applicable prospectus supplement.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can be no assurances that the Selling Securityholders will sell, nor are the Selling Securityholders required to sell, any or all of the Standard BioTools Common Stock offered under this prospectus.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sale of shares of Standard BioTools Common Stock or interests therein, the Selling Securityholder may enter into hedging transactions with broker-dealers or other financial institutions, which may in turn engage in short sales of Standard BioTools Common Stock in the course of hedging the positions they assume. The Selling Securityholders may also sell shares of Standard BioTools Common Stock short and deliver these securities to close out their short positions, or loan or pledge shares of Standard BioTools Common Stock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shares of Standard BioTools Common Stock offered by this prospectus, which shares such broker-dealer or other financial institution may resell pursuant to this prospectus (as supplemented or amended to reflect such transaction).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Securityholders from the sale of shares of Standard BioTools Common Stock offered by them will be the purchase price of such shares of Standard BioTools Common Stock less discounts or commissions, if any. The Selling Securityholders reserve the right to accept and, together with their agents from time to time, to reject, in whole or in part, any proposed purchase of share of Standard BioTools Common Stock to be made directly or through agents. We will not receive any of the proceeds from any offering by the Selling Securityholders.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Selling Securityholders also may in the future resell a portion of Standard BioTools Common Stock in open market transactions in reliance upon Rule 144 under the Securities Act,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they meet the criteria and conform to the requirements of that rule, or pursuant to other available exemptions from the registration requirements of the Securities Act.</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Selling Securityholders and any underwriters, broker-dealers or agents that participate in the sale of shares of Standard BioTools Common Stock or interests therein may be “underwriters” within the meaning of Section 2(a)(11) of the Securities Act. Any discounts, commissions, concessions or profit they earn on any resale of shares of Standard BioTools Common Stock may be underwriting discounts and commissions under the Securities Act. If any Selling Securityholder is an “underwriter” within the meaning of Section 2(a)(11)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extent required, Standard BioTools Common Stock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facilitate the offering of shares of Standard BioTools Common Stock offered by the Selling Securityholders, certain persons participating in the offering may engage in transactions that stabilize, maintain or otherwise affect the price of Standard BioTools Common Stock. This may include over-allotments or short sales, which involve the sale by persons participating in the offering of more shares of Standard BioTools Common Stock than were sold to them. In these circumstances, these persons would cover such over-allotments or short positions by making purchases in the open market or by exercising their over-allotment option, if any. In addition, these persons may stabilize or maintain the price of Standard BioTools Common Stock by bidding for or purchasing shares of Standard BioTools Common Stock in the open market or by imposing penalty bids, whereby selling concessions allowed to dealers participating in the offering may be reclaimed if shares of Standard BioTools Common Stock sold by them are repurchased in connection with stabilization transactions. The effect of these transactions may be to stabilize or maintain the market price of Standard BioTools Common Stock at a level above that which might otherwise prevail in the open market. These transactions may be discontinued at any time. These transactions may be effected on any exchange on which the securities are traded, in the over-the-counter market or otherwise.</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agreed to indemnify the applicable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agreed to use our commercially reasonable efforts to cause the registration statement of which this prospectus forms a part to remain effective with respect to any securities registered hereunder pursuant to such agreement until: (i) such securities have been sold, transferred, disposed of or exchanged in accordance with such registration statement; (ii) such securities have ceased to be outstanding; (iii) such securities have been otherwise transferred, new certificates for such securities not bearing a legend restricting further transfer will have been delivered by us and subsequent public distribution of such securities will not require registration under the Securities Act; (iv) with respect to a Selling Securityholder party to such agreement, all such securities held by such Selling Securityholder could be sold pursuant to Rule 144 without restriction on volume or manner of sale in any three-month period and without the requirement for us to be in compliance with the public information required under Rule 144; or (v) such securities have been sold to, or through, a broker, dealer or underwriter in a public distribution or other public securities transaction. Under each Subscription Agreement, we have agreed to our commercially reasonable efforts to maintain the continuous effectiveness of the registration statement of which this prospectus forms a part with respect to any securities registered hereunder pursuant to such agreement until: (A) with respect to a Selling Securityholder party to such agreement, such Selling Securityholder ceases to hold any such securities; (B) the date all such securities held by such Selling Securityholder may be sold without restriction under Rule 144, including without limitation, any volume and manner of sale restrictions which may be applicable to affiliates under Rule 144, and without the requirement for us to be in compliance with the current public information required under Rule 144; or (C) when such securities shall have ceased to be outstanding or three years from the date of effectiveness of such registration statement; or (B) such shorter period upon which such Selling Securityholder has notified us that such securities have actually been sold. Under the warrant agreement, we have agreed to maintain the effectiveness of this prospectus in respect of the shares of Standard BioTools Common Stock issuable upon the exercise of the Previously Public Warrants and the Private Placement Warrants until the expiration or redemption of such Private Placement Warrants. We have agreed to pay all expenses in connection with this offering, other than underwriting fees, discounts, selling commissions, stock transfer taxes and certain legal expenses. The Selling Securityholders will pay, on a pro rata basis, any underwriting fees, discounts, selling commissions, stock transfer taxes and certain legal expenses relating to the offering.</w:t>
      </w:r>
    </w:p>
    <w:p>
      <w:pPr>
        <w:spacing w:after="0" w:line="19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Selling Securityholders may use this prospectus in connection with resales of shares of Standard BioTools Common Stock. This prospectus and any accompanying prospectus supplement will identify the Selling Securityholders, the terms of Standard BioTools Common Stock and any material relationships between us and the Selling Securityholders. Selling Securityholders may be deemed to be underwriters under the Securities Act in connection with shares of Standard BioTools Common Stock they resell and any profits on the sales may be deemed to be underwriting discounts and commissions under the Securities Act. Unless otherwise set forth in a prospectus supplement, the Selling Securityholders will receive all the net proceeds from the resale of shares of Standard BioTools Common Stock.</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Selling Securityholder that is an entity may elect to make an in-kind distribution of Standard BioTools Common Stock to its members, partners or stockholders pursuant to the registration statement of which this prospectus is a part by delivering a prospectus, as amended or supplemented. To the extent that such transferees are not affiliates of ours, such transferees will receive freely tradable shares of Standard BioTools Common Stock pursuant to the distribution effected through this prospectus.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As a result of the Merger described in this prospectus, SomaLogic stockholders have become stockholders of Standard BioTools. The rights of former SomaLogic stockholders and the rights of Standard BioTools stockholders following the consummation of the Merger are governed by the Standard BioTools Eighth Amended and Restated Certificate of Incorporation, as amended (the “Standard BioTools Charter”), the Standard BioTools Amended and Restated Bylaws (the “Standard BioTools Bylaws”), and the Certificate of Designations of the Series B-1 Preferred Stock and the Certificate of Designations of the Series B-2 Preferred Stock (together, the “Certificates of Designations”). The following description of Standard BioTools capital stock is a summary. This summary does not purport to be complete and is qualified in its entirety by reference to the latest Standard BioTools SEC filings on Form 10-K and 10-Q, the Standard BioTools Charter, Standard BioTools Bylaws, the Certificates of Designations, and to the applicable provisions of the Delaware General Corporate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Standard BioTools authorized capital stock consists of 600,000,000 shares of Standard BioTools Common Stock and 10,000,000 shares of Standard BioTools’ Series B-1 preferred stock, par value $0.001 per share (the “Series B-1 Preferred Stock”), and Standard BioTools’ Series B-2 preferred stock, par value $0.001 per share (the “Series B-2 Preferred Stock,” and together with the Series B-1 Preferred Stock, the “Series B Preferred Stock”). Out of the Series B Preferred Stock, as of January 10, 2024, 128,267 shares have been designated Series B-1 Preferred Stock and 128,267 shares have been designated Series B-2 Preferred Stock. As of January 10, 2024, there were 289,809,158 shares of Standard BioTools Common Stock outstanding, 127,780 shares of Series B-1 Preferred Stock outstanding and 127,779 shares of Series B-2 Preferred Stock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holders of Standard BioTools Common Stock are entitled to one vote per share on all matters to be voted on by the Standard BioTools stockholders. Subject to preferences that may be applicable to any outstanding shares of Series B Preferred Stock, holders of Standard BioTools Common Stock are entitled to receive ratably such dividends as may be declared by the Standard BioTools Board out of funds legally available for that purpose. In the event of the liquidation, dissolution or winding up of Standard BioTools, the holders of Standard BioTools Common Stock are entitled to share ratably in all assets remaining after the payment of liabilities, subject to the prior distribution rights of Series B Preferred Stock then outstanding. Except as otherwise described below in the section entitled “</w:t>
      </w:r>
      <w:r>
        <w:rPr>
          <w:rFonts w:ascii="Times New Roman" w:cs="Times New Roman" w:eastAsia="Times New Roman" w:hAnsi="Times New Roman"/>
          <w:sz w:val="18"/>
          <w:szCs w:val="18"/>
          <w:i w:val="1"/>
          <w:iCs w:val="1"/>
          <w:color w:val="auto"/>
        </w:rPr>
        <w:t>Preemptive Rights; Standstill; Transfer Restrictions</w:t>
      </w:r>
      <w:r>
        <w:rPr>
          <w:rFonts w:ascii="Times New Roman" w:cs="Times New Roman" w:eastAsia="Times New Roman" w:hAnsi="Times New Roman"/>
          <w:sz w:val="18"/>
          <w:szCs w:val="18"/>
          <w:color w:val="auto"/>
        </w:rPr>
        <w:t>,” holders of Standard BioTools Common Stock have no preemptive, conversion or subscription rights. There are no redemption or sinking fund provisions applicable to the Standard BioTools Common Stock.</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Standard BioTools Common Stock are entitled to one vote for each share held by such holder on any matter submitted to a vote at a meeting of stockholders. In addition, the Standard BioTools Charter provides that certain corporate actions require the approval of the Standard BioTools stockholders. These actions, and the vote required, are as follows:</w:t>
      </w:r>
    </w:p>
    <w:p>
      <w:pPr>
        <w:spacing w:after="0" w:line="176"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a director requires the vote of a majority of the voting power of the issued and outstanding capital stock entitled to vote in the election of directors;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provisions of the charter relating to blank check preferred stock, the classification of the Standard BioTools directors, the removal of directors, the filling of vacancies on the Standard BioTools Board, cumulative voting, procedures for annual and special meetings of the stockholders, action by written consent of stockholders and procedures for the amendment of the charter require the vote of 66 2/3% of the Standard BioTools then outstanding voting securities.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of Standard BioTools (the “Standard BioTools Board”) has the authority, without further action by the Standard BioTools stockholders, to designate and issue the preferred stock in one or more series. The Standard BioTools Board may also fix by resolution or resolutions the designations, powers, preferences and rights, and the qualifications, limitations or restrictions, of each such series of the Series B Preferred Stock, any or all of which may be greater than or senior to those of the Standard BioTools Common Stock. Though the actual effect of any such issuance on the rights of the holders of Standard BioTools Common Stock will not be known until the Standard BioTools Board determines the specific rights of the holders of Preferred Stock, the potential effects of such an issuance include:</w:t>
      </w:r>
    </w:p>
    <w:p>
      <w:pPr>
        <w:spacing w:after="0" w:line="18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holders of Standard BioTools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likelihood that holders of Standard BioTools Common Stock will receive dividend payments;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likelihood that holders of Standard BioTools Common Stock will receive payments in the event of a liquidation, dissolution, or winding up;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deterring or preventing a change-in-control or other corporate takeover.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B-1 Preferred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principal terms of the Series B-1 Preferred Stock.</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powers, preferences and rights, and the qualifications, limitations or restrictions of the Series B-1 Preferred Stock are set forth in the Certificate of Designations of Rights, Preferences and Privileges of Series B-1 Convertible Preferred Stock, Par Value $0.001, of Standard BioTools Inc., dated April 1, 2022 (the “Series B-1 Certificate of Designations”).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Series B-1 Preferred Stock ranks senior to the Standard BioTools Common Stock with respect to dividend rights and rights on the distribution of assets on any voluntary or involuntary liquidation, dissolution or winding up of the affairs of Standard BioTools.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holders of Series B-1 Preferred Stock are entitled to participate in all dividends declared on the Standard BioTools Common Stock on an as-converted basis, on the terms and subject to the conditions set forth in the Series B-1 Certificate of Designations.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affairs of Standard BioTools, the Series B-1 Preferred Stock has a liquidation preference equal to the greater of (i) the Liquidation Preference (as defined in the Series B-1 Certificate of Designations) and (ii) the amount per share of Series B-1 Preferred Stock that such holder would have received had all holders of Series B Preferred Stock, immediately prior to such voluntary or involuntary liquidation, dissolution or winding up of the affairs of Standard BioTools, converted all shares of Series B Preferred Stock into Standard BioTools Common Stock pursuant to the terms of the Certificate of Designations, as applicable (without regard to any limitations on conversion contained therein).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Conversion and Redemption Rights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Subject to certain limitations contained in the Series B-1 Certificate of Designations, the Series B-1 Preferred Stock is convertible at the option of the holders thereof at any time into a number of shares of Standard BioTools Common Stock equal to the Conversion Rate (as defined in the Series B-1 Certificate of Designations).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any time after the fifth anniversary of the Original Issuance Date, if the Last Reported Sale Price of the Standard BioTools Common Stock is greater than the Mandatory Conversion Price for at least twenty consecutive Trading Days immediately preceding the date of the Notice of Mandatory Conversion (as such terms are defined in the Series B-1 Certificate of Designations), Standard BioTools may elect to convert all of the outstanding shares of Series B Preferred Stock into shares of Standard BioTools Common Stock at the Conversion Rate.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Standard BioTools undergoes certain change of control transactions, each holder of outstanding Series B-1 Preferred Stock will have the option, subject to the holder’s right to convert all or a portion of the shares of Series B-1 Preferred Stock held by such holder into Standard BioTools Common Stock prior to such redemption, to require Standard BioTools to purchase all or a portion of such holder’s outstanding shares of Series B-1 Preferred Stock that have not been converted into Standard BioTools Common Stock at a purchase price per share of Series B-1 Preferred Stock, payable in cash, equal to the greater of (A) the Liquidation Preference of such share of Series B-1 Preferred Stock, and (B) the amount of cash and/or other assets that such holder would have been entitled to receive if such holder had converted such share of Series B-1 Preferred Stock into Standard BioTools Common Stock immediately prior to the change of control transaction (“B-1 Change of Control Put”). In the event of a change of control in which Standard BioTools is anticipated to merge with another person and will not be the surviving corporation or if the Standard BioTools Common Stock will no longer be listed on a U.S. national securities exchange, Standard BioTools will have a right to redeem, subject to the holder’s right to convert into Standard BioTools Common Stock prior to such redemption, all of such holder’s shares of Series B-1 Preferred Stock, or if a holder exercises the B-1 Change of Control Put in part, the remainder of such holder’s shares of Series B-1 Preferred Stock, at a redemption price per share payable in cash, equal to the greater of (A) the Liquidation Preference of such share of Series B-1 Preferred Stock, and (B) the amount of cash and/or other assets that the holder would have received if such holder had converted such share of Series B-1 Preferred Stock into Standard BioTools Common Stock immediately prior to the change of control transaction.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After the seventh anniversary of the Original Issuance Date (as defined in the Series B-1 Certificate of Designations), subject to certain conditions, Standard BioTools may, at its option, redeem all of the outstanding shares of Series B-1 Preferred Stock at a redemption price per share of Series B Preferred Stock, payable in cash, equal to the Liquidation Preference.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Voting Rights; Consent Rights</w:t>
      </w:r>
    </w:p>
    <w:p>
      <w:pPr>
        <w:spacing w:after="0" w:line="227"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The holders of shares of Series B-1 Preferred Stock have voting power measured in a manner related to the conversion ratio of the shares of Series B-1 Preferred Stock and are entitled to vote as a single class with the holders of the Standard BioTools Common Stock and the holders of any other class or series of equity interest of Standard BioTools then entitled to vote with the Standard BioTools Common Stock on all matters submitted to a vote of the holders of Standard BioTools Common Stock; provided, among other things, that to the extent the Series B-1 Preferred Stock held by the Casdin Parties (as defined in the Series B-1 Certificate of Designations) would, in the aggregate, represent voting rights with respect to more than 19.9% of the Standard BioTools Common Stock (including the Series B-1 Preferred Stock on an as-converted basis, but excluding the Series B-2 Preferred Stock) (the “B-1 Voting Threshold”), the Casdin Parties will not be permitted to exercise the voting rights with respect to any shares of Series B-1 Preferred Stock, as applicable, held by them in excess of the B-1 Voting Threshold and the Chief Financial Officer or General Counsel of Standard BioTools, each with full power of substitution and re-substitution, shall exercise the voting rights with respect to such shares of Series B-1 Preferred Stock in excess of the B-1 Voting Threshold in the same proportion as the outstanding Standard BioTools Common Stock (excluding any and all Standard BioTools Common Stock beneficially owned by the Casdin Parties and the Viking Parties (each as defined in the Series B-1 Certificate of Designations)) is voted on relevant matters.</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Series B-1 Certificate of Designations also provides that the holders of shares of the Series B-1 Preferred Stock have separate class approval rights over certain specified actions that would affect the rights of holders of the Series B-1 Preferred Stock and other specified matters. Specifically, the vote or written approval of the holders of at least 60% of the shares of Series B Preferred Stock outstanding at such time, voting or providing such approval together as a single class, and for the avoidance of doubt, without giving effect to limitations associated with the B-1 Voting Threshold, is generally required for the taking of the following actions: (i) any amendment to the charter to create any new series of securities of Standard BioTools with rights ranking senior to or on parity with the Series B-1 Preferred Stock or the Series B-2 Preferred Stock; (ii) the declaration or payment of any dividend or distribution on Standard BioTools’ capital stock; (iii) the purchase, redemption, or other acquisition of any Standard BioTools Common Stock or other capital stock of Standard BioTools ranking junior to the Series B-1 Preferred Stock, subject to certain exceptions; (iv) any amendment to the rights, powers, preferences, privileges or voting powers of the Series B-1 Preferred Stock or the Series B-2 Preferred Stock; and (v) any amendment to the charter or bylaws that would have an adverse effect on the rights, preferences, privileges, or voting power of the Series B-1 Preferred Stock.</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for so long as Casdin Capital, LLC (“Casdin”) and its Permitted Transferees (as defined in the Series B-1 Certificate of Designations) continue to beneficially own shares of Series B-1 Preferred Stock that represent at least 7.5% of the outstanding shares of Standard BioTools Common Stock, on an as converted basis (the “Casdin Ownership Percentage”), on the terms and subject to the conditions set forth in the Series B-1 Certificate of Designations, the holders of a majority of the outstanding shares of Series B-1 Preferred Stock will have the right to nominate for election and to elect one member to the Standard BioTools Board (the “Series B-1 Preferred Director”). Subject to applicable law and The Nasdaq Stock Market listing standards, the Series B-1 Preferred Director shall be offered the opportunity, with respect to each standing committee of the Standard BioTools Board, to sit on such committee. Further, the Series B-1 Preferred Director will hold office until the following year’s annual meeting of Standard BioTools’ stockholders and until his or her successor is duly elected or qualified or until his or her earlier death, resignation or removal. For purposes of clarity, the Series B-1 Preferred Director shall not be classified with the remaining members of the Board of Directors.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Series B-1 Certificate of Designations also provides that for so long as the Casdin Ownership Percentage continues to be met or exceeded for the Series B-1 Preferred Stock, the Series B-1 Preferred Director will have certain consent rights over, among other things: (i) any increase in the number of directors on the Standard BioTools Board beyond seven; (ii) the hiring, promotion, demotion, or termination of Standard BioTools’ Chief Executive Officer; (iii) entering into or modifying (including by waiver) any transaction, agreement or arrangement with any Related Person (as such term is defined in the Certificates of Designations), subject to certain exceptions; (iv) any voluntary petition under any applicable federal or state bankruptcy or insolvency law effected by Standard BioTools or any of its subsidiaries; (v) any change in the principal business of Standard BioTools or entry by Standard BioTools into any material new line of business; and (vi) for a period of three years after the Original Issuance Date (as defined in the Series B-1 Certificate of Designations) or such shorter period ending immediately when the Series B-1 Preferred Stock percentage is less than 7.5%, (A) any acquisition (including by merger, consolidation or acquisition of stock or assets) of any assets, securities or property of any other person or (B) any sale, lease, license, transfer or other disposition of any assets of Standard BioTools or any of its subsidiaries, in each case, other than acquisitions or disposition of inventory or equipment in the ordinary course of business consistent with past practice, for consideration in excess of $50,000,000 in the aggregate in any six month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B-2 Preferred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principal terms of the Series B-2 Preferred Stock.</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powers, preferences and rights, and the qualifications, limitations or restrictions of the Series B-2 Preferred Stock are set forth in the B-2 Certificate of Designations of Rights, Preferences and Privileges of Series B-2 Convertible Preferred Stock, Par Value $0.001, of Standard BioTools Inc., dated April 1, 2022 (the “Series B-2 Certificate of Designations”).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Series B-2 Preferred Stock ranks senior to the Standard BioTools Common Stock, with respect to dividend rights and rights on the distribution of assets on any voluntary or involuntary liquidation, dissolution or winding up of the affairs of Standard BioTools.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holders of Series B-2 Preferred Stock are entitled to participate in all dividends declared on the Standard BioTools Common Stock on an as-converted basis, on the terms and subject to the conditions set forth in the Series B-2 Certificate of Designations.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affairs of Standard BioTools, the Series B-2 Preferred Stock has a liquidation preference equal to the greater of (i) the Liquidation Preference (as defined in the Series B-2 Certificate of Designations) and (ii) the amount per share of Series B-2 Preferred Stock that such holder would have received had all holders of Series B Preferred Stock, immediately prior to such voluntary or involuntary liquidation, dissolution or winding up of the affairs of Standard BioTools, converted all shares of Series B Preferred Stock into Standard BioTools Common Stock pursuant to the terms of the Certificates of Designations, as applicable (without regard to any limitations on conversion contained therein).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Conversion and Redemption Rights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Subject to certain limitations contained in the Series B-2 Certificate of Designations, the Series B-2 Preferred Stock is convertible at the option of the holders thereof at any time into a number of shares of Standard BioTools Common Stock equal to the Conversion Rate (as defined in the Series B-2 Certificate of Designations), in each case subject to certain adjustments, provided that Viking Global Investors LP (“Viking”) and its affiliates shall not be permitted to voluntarily convert shares of its Series B-2 Preferred Stock if, as a result of such conversion, Viking, together with its affiliates, would beneficially own more than 9.5% of the total number of shares of Standard BioTools Common Stock issued and outstanding after giving effect to such conversion (the “Cap”).</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any time after the fifth anniversary of the Original Issuance Date, if the Last Reported Sale Price of the Standard BioTools Common Stock is greater than the Mandatory Conversion Price for at least twenty consecutive Trading Days immediately preceding the date of the Notice of Mandatory Conversion (as such terms are defined in the Series B-2 Certificate of Designations), Standard BioTools may elect to convert all of the outstanding shares of Series B Preferred Stock into shares of Standard BioTools Common Stock at the Conversion Rate.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Standard BioTools undergoes certain change of control transactions, each holder of outstanding Series B-2 Preferred Stock will have the option, subject to the holder’s right to convert all or a portion of the shares of Series B-2 Preferred Stock held by such holder into Standard BioTools Common Stock prior to such redemption, to require Standard BioTools to purchase all or a portion of such holder’s outstanding shares of Series B-2 Preferred Stock that have not been converted into Standard BioTools Common Stock at a purchase price per share of Series B-2 Preferred Stock, payable in cash, equal to the greater of (A) the Liquidation Preference of such share of Series B-2 Preferred Stock, and (B) the amount of cash and/or other assets that such holder would have been entitled to receive if such holder had converted such share of Series B-2 Preferred Stock into Standard BioTools Common Stock immediately prior to the change of control transaction (“B-2 Change of Control Put”). In the event of a change of control in which Standard BioTools is anticipated to merge with another person and will not be the surviving corporation or if the Standard BioTools Common Stock will no longer be listed on a U.S. national securities exchange, Standard BioTools will have a right to redeem, subject to the holder’s right to convert into Standard BioTools Common Stock prior to such redemption, all of such holder’s shares of Series B-2 Preferred Stock, or if a holder exercises the B-2 Change of Control Put in part, the remainder of such holder’s shares of Series B-2 Preferred Stock, at a redemption price per share payable in cash, equal to the greater of (A) the Liquidation Preference of such share of Series B-2 Preferred Stock, and (B) the amount of cash and/or other property that the holder would have received if such holder had converted such share of Series B-2 Preferred Stock into Standard BioTools Common Stock immediately prior to the change of control transaction.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After the seventh anniversary of the Original Issuance Date (as defined in the Series B-2 Certificate of Designations), subject to certain conditions, Standard BioTools may, at its option, redeem all of the outstanding shares of Series B Preferred Stock at a redemption price per share of Series B Preferred Stock, payable in cash, equal to the Liquidation Preference.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Voting Rights; Consent Rights</w:t>
      </w:r>
    </w:p>
    <w:p>
      <w:pPr>
        <w:spacing w:after="0" w:line="227"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The holders of shares of Series B-2 Preferred Stock have voting power measured in a manner related to the conversion ratio of the shares of Series B-2 Preferred Stock and are entitled to vote as a single class with the holders of the Standard BioTools Common Stock and the holders of any other class or series of equity interest of Standard BioTools then entitled to vote with the Standard BioTools Common Stock on all matters submitted to a vote of the holders of Standard BioTools Common Stock; provided, among other things, that to the extent the Series B-2 Preferred Stock held by the Viking Parties (as defined in the Series B-2 Certificate of Designations) would, in the aggregate, represent voting rights with respect to more than 19.9% of the Standard BioTools Common Stock (including the Series B-2 Preferred Stock on an as-converted basis, but excluding the Series B-1 Preferred Stock) (the “B-2 Voting Threshold”), the Viking Parties will not be permitted to exercise the voting rights with respect to any shares of Series B-2 Preferred Stock, as applicable, held by them in excess of the B-2 Voting Threshold and the Chief Financial Officer or General Counsel of Standard BioTools, each with full power of substitution and re-substitution, shall exercise the voting rights with respect to such shares of Series B-2 Preferred Stock in excess of the B-2 Voting Threshold in the same proportion as the outstanding Standard BioTools Common Stock (excluding any and all Standard BioTools Common Stock beneficially owned by the Casdin Parties and the Viking Parties (each as defined in the Series B-2 Certificate of Designations)) is voted on relevant matters.</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Series B-2 Certificate of Designations also provides that the holders of shares of the Series B-2 Preferred Stock will have separate class approval rights over certain specified actions that would affect the rights of holders of the Series B-2 Preferred Stock and other specified matters. Specifically, the vote or written approval of the holders of at least 60% of the shares of Series B Preferred Stock outstanding at such time, voting or providing such approval together as a single class, and for the avoidance of doubt, without giving effect to limitations associated with the Cap or the B-2 Voting Threshold, is generally required for the taking of the following actions: (i) any amendment to the charter to create any new series of securities of Standard BioTools with rights ranking senior to or on parity with the Series B-1 Preferred Stock or the Series B-2 Preferred Stock; (ii) the declaration or payment of any dividend or distribution on Standard BioTools’ capital stock; (iii) the purchase, redemption, or other acquisition of any Standard BioTools Common Stock or other capital stock of Standard BioTools ranking junior to the Series B-2 Preferred Stock, subject to certain exceptions; (iv) any amendment to the rights, powers, preferences, privileges or voting powers of the Series B-1 Preferred Stock or the Series B-2 Preferred Stock; and (v) any amendment to the charter or bylaws that would have an adverse effect on the rights, preferences, privileges, or voting power of the Series B-2 Preferred Stock.</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for so long as Viking and its Permitted Transferees (as defined in the Series B-2 Certificate of Designations) continue to beneficially own shares of Series B-2 Preferred Stock that represent at least 7.5% of the outstanding shares of Standard BioTools Common Stock, on an as converted basis (the “Viking Ownership Percentage”), on the terms and subject to the conditions set forth in the Series B-2 Certificate of Designations, the holders of a majority of the outstanding shares of Series B-2 Preferred Stock, voting separately as a single class, and for the avoidance of doubt, without giving effect to limitations associated with the Cap or the B-2 Voting Threshold, will each have the right to nominate for election and to elect one member to the Standard BioTools Board (the “Series B-2 Preferred Director”). Subject to applicable law and The Nasdaq Stock Market listing standards, the Series B-2 Preferred Director shall be offered the opportunity, with respect to each standing committee of the Standard BioTools Board, to sit on such committee. The Series B-2 Preferred Director will hold office until the following year’s annual meeting of Standard BioTools’ stockholders and until his or her successor is duly elected or qualified or until his or her earlier death, resignation or removal. For purposes of clarity, the Series B-2 Preferred Director shall not be classified with the remaining members of the Standard BioTools Board.</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Series B-2 Certificate of Designations also provides that for so long as the Viking Ownership Percentage continues to be met or exceeded for the Series B-2 Preferred Stock, the Series B-2 Preferred Director will have certain consent rights over, among other things: (i) any increase in the number of directors on the Standard BioTools Board beyond seven; (ii) the hiring, promotion, demotion, or termination of Standard BioTools’ Chief Executive Officer; (iii) entering into or modifying (including by waiver) any transaction, agreement or arrangement with any Related Person (as such term is defined in the Certificates of Designations), subject to certain exceptions; (iv) any voluntary petition under any applicable federal or state bankruptcy or insolvency law effected by Standard BioTools or any of its subsidiaries; (v) any change in the principal business of Standard BioTools or entry by Standard BioTools into any material new line of business; and (vi) for a period of three years after the Original Issuance Date (as defined in the Series B-2 Certificate of Designations) or such shorter period ending immediately when the Series B-2 Preferred Stock percentage is less than 7.5%, (A) any acquisition (including by merger, consolidation or acquisition of stock or assets) of any assets, securities or property of any other person or (B) any sale, lease, license, transfer or other disposition of any assets of Standard BioTools or any of its subsidiaries, in each case, other than acquisitions or disposition of inventory or equipment in the ordinary course of business consistent with past practice, for consideration in excess of $50,000,000 in the aggregate in any six month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23, 2022, Standard BioTools entered into a Registration Rights Agreement (the “Registration Rights Agreement”) with Casdin Private Growth Equity Fund II, L.P., Casdin Partners Master Fund, L.P, Viking Global Opportunities Illiquid Investments Sub-Master LP and Viking Global Opportunities Drawdown (Aggregator) LP (collectively, the “Purchasers”), pursuant to which the Purchasers have certain customary registration rights with respect to shares issuable under (i) a Loan Agreement, dated and effective as of January 23, 2022, among the lenders party thereto affiliated with Casdin Private Growth Equity Fund II, L.P. and the Company, (ii) a Loan Agreement, dated and effective as of January 23, 2022, among the lenders party thereto affiliated with Viking and the Company, and (iii) separate Series B Convertible Preferred Stock Purchase Agreements, dated and effective as of January 23, 2022 (together, the “Purchase Agreements”) with each of the Purchasers, including (a) any shares of Standard BioTools Common Stock acquired by any Holder (as defined in the Registration Rights Agreement) pursuant to the conversion of the Series B Preferred Stock in accordance with the Certificates of Designations and (b) any shares of Standard BioTools Common Stock acquired by any Holder pursuant to preemptive rights under the Purchase Agreements.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Rights; Standstill; Transfer Restrictions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Purchase Agreements, and subject to customary exceptions, if Standard BioTools intends to issue or sell new equity securities, then each of the Purchaser Parties (as defined in the Purchase Agreements) have the right to participate in such equity offering on a pro rata basis for so long as such Purchaser Parties (as defined under each of their applicable Purchase Agreements), collectively, continue to beneficially own at least 25% of the Acquired Shares (as defined in each of the Purchase Agreements) (including Underlying Shares (as defined in each of the Purchase Agreements) issued on conversion of such Acquired Shares). Pursuant to the Purchase Agreements, until the later of (x) the first anniversary of April 4, 2022 and (y) such time as such Purchaser beneficially owns securities representing less than 7.5% of the outstanding shares of Standard BioTools Common Stock (on an as-converted basis), each selling securityholder is subject to customary standstill restrictions. The selling securityholders are prohibited under the Purchase Agreements from transferring any shares of Series B Preferred Stock and any shares of Standard BioTools Common Stock issued or issuable upon conversion of such shares of Series B Preferred Stock to certain purchasers who may be activists, competitors, or other significant holders, with certain exceptions.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provisions of Delaware law and the Standard BioTools Charter and Standard BioTools Bylaws contain provisions that could have the effect of delaying, deferring or discouraging another party from acquiring control of Standard BioTools. These provisions, which are summarized below, are expected to discourage certain types of coercive takeover practices and inadequate takeover bids. These provisions are also designed in part to encourage anyone seeking to acquire control of us to first negotiate with the Board of Directors. We believe that the advantages gained by protecting the ability to negotiate with any unsolicited and potentially unfriendly acquirer outweigh the disadvantages of discouraging such proposals, including those priced above the then-current market value of the Standard BioTools Common Stock, because, among other reasons, the negotiation of such proposals could improve their terms.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Standard BioTools Charter and Standard BioTools Bylaws include provisions that:</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Standard BioTools Board to issue, without further action by the stockholders, additional shares of undesignated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the stockholders be effected at a duly called annual or special meeting and not by written consent;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the stockholders can be called only by the Standard BioTools Board, the Chairperson of the Standard BioTools Board, the Secretary, the Chief Executive Officer or the President;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of the stockholders and an advance notice procedure for nominations of persons for election to the Standard BioTools Board at any stockholder meeting;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provided that, pursuant to the Certificates of Designations, the Series B-1 Director (as defined in the Series B-1 Certificate of Designations) and the Series B-2 Director (as defined in the Series B-2 Certificate of Designations) may only be removed by the holders of the Series B-1 Preferred Stock and the Series B-2 Preferred Stock, respectively;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(i) vacancies on the Standard BioTools Board resulting from one or more directors resignations from the Standard BioTools Board may be filled by a majority of directors then in office, including those who have so resigned; and (ii) vacancies on the Standard BioTools Board resulting from any increase in the authorized number of directors elected by all of the stockholders having the right to vote as a single class may be filled only by a majority of the directors then in office, even though less than a quorum, or by a sole remaining director; provided that, pursuant to the Certificates of Designations, vacancies in directorships provided for the Series B-1 Director and the Series B-2 Director may be filled by a majority of the directors in office from time to time, but shall solely be filled with the approval of the holders of a majority of the outstanding shares of the Series B-1 Preferred Stock and Series B-2 Preferred Stock, respectively, voting as a single class;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holders of any outstanding Preferred Stock, establish that the Standard BioTools Board is divided into three classes, Class I, Class II, and Class III, with each class serving staggered terms;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the Standard BioTools Board;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a majority of the Standard BioTools Board and at least 662∕3% of the total voting power of outstanding voting securities, voting together as a single class, to amend the above-mentioned provisions.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regulating corporate takeovers (“Section 203”).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176"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(i) voting stock owned by persons who are directors and also officers, and (ii) voting stock owned by employee stock plans in which employee participants do not have the right to determine confidentially whether shares held subject to the plan will be tendered in a tender or exchange offer; or</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662∕3% of the outstanding voting stock which is not owned by the interested stockholder.</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An interested stockholder is a person who, together with its affiliates and associates, owns, or is an affiliate or associate of the corporation and within three years prior to the determination of interested stockholder status did own, 15% or more of a corporation’s outstanding voting stock. We expect the existence of this provision to have an anti-takeover effect with respect to transactions the Standard BioTools Board does not approve in advance. We also anticipate that Section 203 may discourage business combinations or other attempts that might result in a premium over the market price for the shares of Standard BioTools Common Stock held by the stockholders.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provisions of Delaware law and the Standard BioTools Charter and Standard BioTools Bylaws could have the effect of discouraging others from attempting hostile takeovers and, as a consequence, they may also inhibit temporary fluctuations in the market price of the Standard BioTools Common Stock that often result from actual or rumored hostile takeover attempts. These provisions may also have the effect of preventing changes in the Standard BioTools management. It is possible that these provisions could make it more difficult to accomplish transactions that stockholders may otherwise deem to be in their best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the Standard BioTools Common Stock is Computershare Trust Company, N.A. The transfer agent’s address is 462 South 4th Street, Suite 1600, Louisville, KY 40202, and its telephone number is (800) 662-7232 or (781) 575-2879.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Standard BioTools Common Stock is traded on The Nasdaq Global Select Market under the trading symbol “LAB.”</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Mintz, Levin, Cohn, Ferris, Glovsky and Popeo, P.C., Boston, Massachusetts, will pass upon the validity of the Standard BioTools Common Stock offered by this prospectus on behalf of Standard BioTools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statements of Standard BioTools Inc. and management’s assessment of the effectiveness of internal control over financial reporting (which is included in Management’s Report on Internal Control over Financial Reporting) incorporated in this prospectus by reference to Standard BioTools’ Annual Report on </w:t>
      </w:r>
      <w:hyperlink r:id="rId48">
        <w:r>
          <w:rPr>
            <w:rFonts w:ascii="Times New Roman" w:cs="Times New Roman" w:eastAsia="Times New Roman" w:hAnsi="Times New Roman"/>
            <w:sz w:val="18"/>
            <w:szCs w:val="18"/>
            <w:u w:val="single" w:color="auto"/>
            <w:color w:val="0000EE"/>
          </w:rPr>
          <w:t>Form 10-K for the year ended December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have been so incorporated in reliance on the report of PricewaterhouseCoopers LLP, an independent registered public accounting firm, given on the authority of said firm as experts in auditing and accounting.</w:t>
      </w:r>
    </w:p>
    <w:p>
      <w:pPr>
        <w:spacing w:after="0" w:line="180" w:lineRule="exact"/>
        <w:rPr>
          <w:sz w:val="20"/>
          <w:szCs w:val="20"/>
          <w:color w:val="auto"/>
        </w:rPr>
      </w:pPr>
    </w:p>
    <w:p>
      <w:pPr>
        <w:jc w:val="both"/>
        <w:ind w:firstLine="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SomaLogic appearing in SomaLogic’s </w:t>
      </w:r>
      <w:hyperlink r:id="rId48">
        <w:r>
          <w:rPr>
            <w:rFonts w:ascii="Times New Roman" w:cs="Times New Roman" w:eastAsia="Times New Roman" w:hAnsi="Times New Roman"/>
            <w:sz w:val="18"/>
            <w:szCs w:val="18"/>
            <w:u w:val="single" w:color="auto"/>
            <w:color w:val="0000EE"/>
          </w:rPr>
          <w:t>Annual Report (Form 10-K) for the year ended December 31, 2022</w:t>
        </w:r>
      </w:hyperlink>
      <w:r>
        <w:rPr>
          <w:rFonts w:ascii="Times New Roman" w:cs="Times New Roman" w:eastAsia="Times New Roman" w:hAnsi="Times New Roman"/>
          <w:sz w:val="18"/>
          <w:szCs w:val="18"/>
          <w:color w:val="auto"/>
        </w:rPr>
        <w:t>,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http://www.standardbio.com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information that we file with the SEC. This permits us to disclose important information to you by referring to these filed documents. Any information referenced this way is considered to be a part of this prospectus and any such information filed by us with the SEC subsequent to the date of this prospectus will automatically be deemed to update and supersede this prospectus. We incorporate by reference into this prospectus and any accompanying prospectus supplement the following documents that we have already filed with the SEC except that any information which is furnished under Item 2.02 or Item 7.01 of any Current Report on Form 8-K (including financial statements or exhibits relating thereto furnished pursuant to Item 9.01) and not filed shall not be deemed incorporated by referenced herein:</w:t>
      </w:r>
    </w:p>
    <w:p>
      <w:pPr>
        <w:spacing w:after="0" w:line="18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filed with the SEC on March 14, 2023;</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fiscal quarters ended March 31, 2023, June 30, 2023 and September 30, 2023, filed with the SEC on </w:t>
      </w:r>
      <w:hyperlink r:id="rId51">
        <w:r>
          <w:rPr>
            <w:rFonts w:ascii="Times New Roman" w:cs="Times New Roman" w:eastAsia="Times New Roman" w:hAnsi="Times New Roman"/>
            <w:sz w:val="18"/>
            <w:szCs w:val="18"/>
            <w:u w:val="single" w:color="auto"/>
            <w:color w:val="0000EE"/>
          </w:rPr>
          <w:t>May 9,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 xml:space="preserve">August 8,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November 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161" w:lineRule="exact"/>
        <w:rPr>
          <w:rFonts w:ascii="Times New Roman" w:cs="Times New Roman" w:eastAsia="Times New Roman" w:hAnsi="Times New Roman"/>
          <w:sz w:val="18"/>
          <w:szCs w:val="18"/>
          <w:color w:val="0000EE"/>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54">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April 28, 2023 (excluding those portions that are not incorporated by reference into our </w:t>
      </w:r>
      <w:hyperlink r:id="rId48">
        <w:r>
          <w:rPr>
            <w:rFonts w:ascii="Times New Roman" w:cs="Times New Roman" w:eastAsia="Times New Roman" w:hAnsi="Times New Roman"/>
            <w:sz w:val="18"/>
            <w:szCs w:val="18"/>
            <w:u w:val="single" w:color="auto"/>
            <w:color w:val="0000EE"/>
          </w:rPr>
          <w:t>Annual Report on Form 10-K for the fiscal year ended December 31, 2022</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13,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16,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15,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16,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28,</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4,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21, 2023</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4,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19,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26,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29, 2023</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5,</w:t>
        </w:r>
      </w:hyperlink>
      <w:r>
        <w:rPr>
          <w:rFonts w:ascii="Times New Roman" w:cs="Times New Roman" w:eastAsia="Times New Roman" w:hAnsi="Times New Roman"/>
          <w:sz w:val="18"/>
          <w:szCs w:val="18"/>
          <w:color w:val="0000EE"/>
        </w:rPr>
        <w:t xml:space="preserve"> </w:t>
      </w:r>
      <w:hyperlink r:id="rId56">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amended on</w:t>
        </w:r>
        <w:r>
          <w:rPr>
            <w:rFonts w:ascii="Times New Roman" w:cs="Times New Roman" w:eastAsia="Times New Roman" w:hAnsi="Times New Roman"/>
            <w:sz w:val="18"/>
            <w:szCs w:val="18"/>
            <w:color w:val="0000EE"/>
          </w:rPr>
          <w:t xml:space="preserve"> </w:t>
        </w:r>
      </w:hyperlink>
      <w:hyperlink r:id="rId57">
        <w:r>
          <w:rPr>
            <w:rFonts w:ascii="Times New Roman" w:cs="Times New Roman" w:eastAsia="Times New Roman" w:hAnsi="Times New Roman"/>
            <w:sz w:val="18"/>
            <w:szCs w:val="18"/>
            <w:u w:val="single" w:color="auto"/>
            <w:color w:val="0000EE"/>
          </w:rPr>
          <w:t>January 19, 2024</w:t>
        </w:r>
      </w:hyperlink>
      <w:hyperlink r:id="rId56">
        <w:r>
          <w:rPr>
            <w:rFonts w:ascii="Times New Roman" w:cs="Times New Roman" w:eastAsia="Times New Roman" w:hAnsi="Times New Roman"/>
            <w:sz w:val="18"/>
            <w:szCs w:val="18"/>
            <w:color w:val="000000"/>
          </w:rPr>
          <w:t>); and</w:t>
        </w:r>
      </w:hyperlink>
    </w:p>
    <w:p>
      <w:pPr>
        <w:spacing w:after="0" w:line="175"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Standard BioTools Common Stock contained in the Registration Statement on </w:t>
      </w:r>
      <w:hyperlink r:id="rId5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with the SEC on February 7, 2011,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EE"/>
        </w:rPr>
      </w:pPr>
    </w:p>
    <w:p>
      <w:pPr>
        <w:ind w:left="34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001-34180.</w:t>
      </w:r>
    </w:p>
    <w:p>
      <w:pPr>
        <w:spacing w:after="0" w:line="225" w:lineRule="exact"/>
        <w:rPr>
          <w:rFonts w:ascii="Times New Roman" w:cs="Times New Roman" w:eastAsia="Times New Roman" w:hAnsi="Times New Roman"/>
          <w:sz w:val="18"/>
          <w:szCs w:val="18"/>
          <w:color w:val="0000EE"/>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Section 13(d), 13(c), 14 or 15(d) of the Exchange Act after the date of the registration statement of which this prospectus is a part and prior to the effectiveness of the registration statement shall be deemed to be incorporated by reference into this prospectus.</w:t>
      </w:r>
    </w:p>
    <w:p>
      <w:pPr>
        <w:spacing w:after="0" w:line="176" w:lineRule="exact"/>
        <w:rPr>
          <w:rFonts w:ascii="Times New Roman" w:cs="Times New Roman" w:eastAsia="Times New Roman" w:hAnsi="Times New Roman"/>
          <w:sz w:val="18"/>
          <w:szCs w:val="18"/>
          <w:color w:val="0000EE"/>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0000EE"/>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 may request, orally or in writing, a copy of any or all of the documents incorporated herein by reference. These documents will be provided to you at no cost, by contacting:</w:t>
      </w:r>
    </w:p>
    <w:p>
      <w:pPr>
        <w:spacing w:after="0" w:line="16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2 Tower Place, Ste 2000</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(650) 266-6000</w:t>
      </w:r>
    </w:p>
    <w:p>
      <w:pPr>
        <w:spacing w:after="0" w:line="205" w:lineRule="exact"/>
        <w:rPr>
          <w:rFonts w:ascii="Times New Roman" w:cs="Times New Roman" w:eastAsia="Times New Roman" w:hAnsi="Times New Roman"/>
          <w:sz w:val="18"/>
          <w:szCs w:val="18"/>
          <w:color w:val="0000EE"/>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You may also access these documents on our website, </w:t>
      </w:r>
      <w:r>
        <w:rPr>
          <w:rFonts w:ascii="Times New Roman" w:cs="Times New Roman" w:eastAsia="Times New Roman" w:hAnsi="Times New Roman"/>
          <w:sz w:val="18"/>
          <w:szCs w:val="18"/>
          <w:i w:val="1"/>
          <w:iCs w:val="1"/>
          <w:color w:val="auto"/>
        </w:rPr>
        <w:t>http://www.standardbio.com</w:t>
      </w:r>
      <w:r>
        <w:rPr>
          <w:rFonts w:ascii="Times New Roman" w:cs="Times New Roman" w:eastAsia="Times New Roman" w:hAnsi="Times New Roman"/>
          <w:sz w:val="18"/>
          <w:szCs w:val="18"/>
          <w:color w:val="auto"/>
        </w:rPr>
        <w:t>. The information contained on, or that can be accessed through, our website is not a part of this prospectus. We have included our website address in this prospectus solely as an inactive textual reference.</w:t>
      </w:r>
    </w:p>
    <w:p>
      <w:pPr>
        <w:spacing w:after="0" w:line="160" w:lineRule="exact"/>
        <w:rPr>
          <w:rFonts w:ascii="Times New Roman" w:cs="Times New Roman" w:eastAsia="Times New Roman" w:hAnsi="Times New Roman"/>
          <w:sz w:val="18"/>
          <w:szCs w:val="18"/>
          <w:color w:val="0000EE"/>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396"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3140075</wp:posOffset>
            </wp:positionH>
            <wp:positionV relativeFrom="page">
              <wp:posOffset>586105</wp:posOffset>
            </wp:positionV>
            <wp:extent cx="1276985" cy="986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27698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38,428,964 Shares of Common Stock</w:t>
      </w:r>
    </w:p>
    <w:p>
      <w:pPr>
        <w:sectPr>
          <w:pgSz w:w="11900" w:h="16838" w:orient="portrait"/>
          <w:cols w:equalWidth="0" w:num="1">
            <w:col w:w="9019"/>
          </w:cols>
          <w:pgMar w:left="1440" w:top="1440"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23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tab/>
        <w:t>Other Expenses of Issuance and Distribution</w:t>
      </w:r>
    </w:p>
    <w:p>
      <w:pPr>
        <w:sectPr>
          <w:pgSz w:w="11900" w:h="16838" w:orient="portrait"/>
          <w:cols w:equalWidth="0" w:num="1">
            <w:col w:w="11240"/>
          </w:cols>
          <w:pgMar w:left="320" w:top="900" w:right="339" w:bottom="1440" w:gutter="0" w:footer="0" w:header="0"/>
        </w:sectPr>
      </w:pP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sets forth estimated expenses in connection with the issuance and distribution of the securities being registered: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37" w:right="220" w:hanging="371"/>
        <w:spacing w:after="0" w:line="263" w:lineRule="auto"/>
        <w:rPr>
          <w:sz w:val="20"/>
          <w:szCs w:val="20"/>
          <w:color w:val="auto"/>
        </w:rPr>
      </w:pPr>
      <w:r>
        <w:rPr>
          <w:rFonts w:ascii="Times New Roman" w:cs="Times New Roman" w:eastAsia="Times New Roman" w:hAnsi="Times New Roman"/>
          <w:sz w:val="18"/>
          <w:szCs w:val="18"/>
          <w:b w:val="1"/>
          <w:bCs w:val="1"/>
          <w:color w:val="auto"/>
        </w:rPr>
        <w:t>Amount to be Paid</w:t>
      </w:r>
    </w:p>
    <w:p>
      <w:pPr>
        <w:spacing w:after="0" w:line="1" w:lineRule="exact"/>
        <w:rPr>
          <w:sz w:val="20"/>
          <w:szCs w:val="20"/>
          <w:color w:val="auto"/>
        </w:rPr>
      </w:pPr>
    </w:p>
    <w:p>
      <w:pPr>
        <w:ind w:left="517" w:hanging="517"/>
        <w:spacing w:after="0"/>
        <w:tabs>
          <w:tab w:leader="none" w:pos="51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12,904.07</w:t>
      </w:r>
    </w:p>
    <w:p>
      <w:pPr>
        <w:spacing w:after="0" w:line="22" w:lineRule="exact"/>
        <w:rPr>
          <w:rFonts w:ascii="Times New Roman" w:cs="Times New Roman" w:eastAsia="Times New Roman" w:hAnsi="Times New Roman"/>
          <w:sz w:val="18"/>
          <w:szCs w:val="18"/>
          <w:color w:val="auto"/>
        </w:rPr>
      </w:pPr>
    </w:p>
    <w:p>
      <w:pPr>
        <w:ind w:left="113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3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3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137" w:hanging="1137"/>
        <w:spacing w:after="0"/>
        <w:tabs>
          <w:tab w:leader="none" w:pos="113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797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0" w:space="103"/>
            <w:col w:w="1337"/>
          </w:cols>
          <w:pgMar w:left="320" w:top="900" w:right="339" w:bottom="1440" w:gutter="0" w:footer="0" w:header="0"/>
          <w:type w:val="continuous"/>
        </w:sectPr>
      </w:pPr>
    </w:p>
    <w:p>
      <w:pPr>
        <w:spacing w:after="0" w:line="66"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permits a corporation to indemnify its directors and officers against expenses, including attorneys’ fees, judgments, fines and amounts paid in settlements actually and reasonably incurred by them in connection with any action, suit or proceeding brought by third parties. The directors or officers must have acted in good faith and in a manner they reasonably believed to be in or not opposed to the best interests of the corporation and, with respect to any criminal action or proceeding, had no reason to believe their conduct was unlawful. In a derivative action, an action only by or in the right of the corporation, indemnification may be made only for expenses, including attorney’s fees, actually and reasonably incurred by directors and officers in connection with the defense or settlement of an action or suit, and only with respect to a matter as to which they acted in good faith and in a manner they reasonably believed to be in or not opposed to the best interests of the corporation. No indemnification shall be made if such person shall have been adjudged to be liable to the corporation, unless and only to the extent that the court in which the action or suit was brought determines upon application that the defendant officers or directors are fairly and reasonably entitled to indemnity for such expenses despite such adjudication of liability. The Standard BioTools Charter provides that the registrant may indemnify its directors, officers, employees or agents to the fullest extent permitted by applicable law and the Standard BioTools ByLaws provide that the registrant shall indemnify its directors and officers to the fullest extent permitted by applicable law.</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charter that a director or officer of the corporation shall not be personally liable to the corporation or its stockholders for monetary damages for breach of fiduciary duty as a director or officer, except for liability of (1) a director or officer for any breach of the director’s or officer’s duty of loyalty to the corporation or its stockholders, (2) a director or officer for acts or omissions not in good faith or which involve intentional misconduct or a knowing violation of law, (3) a director for payments of unlawful dividends or unlawful stock purchases or redemptions, (4) a director or officer for any transaction from which the director or officer derived an improper personal benefit, or (5) an officer in any action by or in the right of the corporation. The Standard BioTools Charter provides for such limitation of liability with respect to directors of the corporation.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Standard BioTools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indemnification rights set forth above shall not be exclusive of any other right which an indemnified person may have or hereafter acquire under any statute, the Standard BioTools Charter, the Standard BioTools Bylaws, any agreement, any vote of stockholders or disinterested directors or otherwise.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4" w:name="page35"/>
    <w:bookmarkEnd w:id="3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Standard BioTools maintains standard policies of insurance that provide coverage (1) to its directors and officers against loss rising from claims made by reason of breach of duty or other wrongful act and (2) to Standard BioTools with respect to indemnification payments that it may make to such directors and officers.</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exhibits to this registration statement are listed in the Exhibit Index immediately prior the signature page hereto, which Exhibit Index is hereby incorporated by reference into this Item 16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left="6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information required to be included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post-effective amendment by those paragraphs is contained in reports filed with or furnished to the Securities and Exchange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left="980" w:hanging="648"/>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left="980" w:hanging="648"/>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left="972" w:hanging="648"/>
        <w:spacing w:after="0" w:line="258" w:lineRule="auto"/>
        <w:tabs>
          <w:tab w:leader="none" w:pos="97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left="-8" w:firstLine="8"/>
        <w:spacing w:after="0" w:line="258" w:lineRule="auto"/>
        <w:tabs>
          <w:tab w:leader="none" w:pos="104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8" w:firstLine="8"/>
        <w:spacing w:after="0" w:line="254" w:lineRule="auto"/>
        <w:tabs>
          <w:tab w:leader="none" w:pos="8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424815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Incorporated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by Reference</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From</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460" w:type="dxa"/>
            <w:vAlign w:val="bottom"/>
          </w:tcPr>
          <w:p>
            <w:pPr>
              <w:spacing w:after="0"/>
              <w:rPr>
                <w:sz w:val="20"/>
                <w:szCs w:val="20"/>
                <w:color w:val="auto"/>
              </w:rPr>
            </w:pPr>
          </w:p>
        </w:tc>
        <w:tc>
          <w:tcPr>
            <w:tcW w:w="6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0"/>
              </w:rPr>
              <w:t>No.</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18"/>
          </w:tcPr>
          <w:p>
            <w:pPr>
              <w:ind w:left="4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Herewith</w:t>
            </w:r>
          </w:p>
        </w:tc>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80" w:type="dxa"/>
            <w:vAlign w:val="bottom"/>
          </w:tcPr>
          <w:p>
            <w:pPr>
              <w:spacing w:after="0"/>
              <w:rPr>
                <w:sz w:val="20"/>
                <w:szCs w:val="20"/>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20"/>
                <w:szCs w:val="20"/>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Date Filed</w:t>
            </w:r>
          </w:p>
        </w:tc>
      </w:tr>
      <w:tr>
        <w:trPr>
          <w:trHeight w:val="169"/>
        </w:trPr>
        <w:tc>
          <w:tcPr>
            <w:tcW w:w="1140" w:type="dxa"/>
            <w:vAlign w:val="bottom"/>
            <w:tcBorders>
              <w:top w:val="single" w:sz="8" w:color="auto"/>
            </w:tcBorders>
            <w:gridSpan w:val="3"/>
          </w:tcPr>
          <w:p>
            <w:pPr>
              <w:jc w:val="center"/>
              <w:spacing w:after="0" w:line="169"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tcBorders>
              <w:top w:val="single" w:sz="8" w:color="auto"/>
            </w:tcBorders>
            <w:gridSpan w:val="21"/>
          </w:tcPr>
          <w:p>
            <w:pPr>
              <w:spacing w:after="0" w:line="169"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Agreement and Plan of Merger, dated as of</w:t>
              </w:r>
            </w:hyperlink>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2"/>
          </w:tcPr>
          <w:p>
            <w:pPr>
              <w:jc w:val="center"/>
              <w:ind w:right="420"/>
              <w:spacing w:after="0" w:line="169"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8-K</w:t>
              </w:r>
            </w:hyperlink>
          </w:p>
        </w:tc>
        <w:tc>
          <w:tcPr>
            <w:tcW w:w="100" w:type="dxa"/>
            <w:vAlign w:val="bottom"/>
          </w:tcPr>
          <w:p>
            <w:pPr>
              <w:spacing w:after="0"/>
              <w:rPr>
                <w:sz w:val="14"/>
                <w:szCs w:val="14"/>
                <w:color w:val="auto"/>
              </w:rPr>
            </w:pPr>
          </w:p>
        </w:tc>
        <w:tc>
          <w:tcPr>
            <w:tcW w:w="960" w:type="dxa"/>
            <w:vAlign w:val="bottom"/>
            <w:tcBorders>
              <w:top w:val="single" w:sz="8" w:color="auto"/>
            </w:tcBorders>
            <w:gridSpan w:val="2"/>
          </w:tcPr>
          <w:p>
            <w:pPr>
              <w:jc w:val="center"/>
              <w:ind w:left="90"/>
              <w:spacing w:after="0" w:line="169"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001-34180</w:t>
              </w:r>
            </w:hyperlink>
          </w:p>
        </w:tc>
        <w:tc>
          <w:tcPr>
            <w:tcW w:w="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gridSpan w:val="3"/>
          </w:tcPr>
          <w:p>
            <w:pPr>
              <w:jc w:val="center"/>
              <w:ind w:right="20"/>
              <w:spacing w:after="0" w:line="169" w:lineRule="exact"/>
              <w:rPr>
                <w:rFonts w:ascii="Times New Roman" w:cs="Times New Roman" w:eastAsia="Times New Roman" w:hAnsi="Times New Roman"/>
                <w:sz w:val="18"/>
                <w:szCs w:val="18"/>
                <w:color w:val="0000EE"/>
                <w:w w:val="97"/>
              </w:rPr>
            </w:pPr>
            <w:hyperlink r:id="rId69">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hyperlink>
          </w:p>
        </w:tc>
        <w:tc>
          <w:tcPr>
            <w:tcW w:w="100" w:type="dxa"/>
            <w:vAlign w:val="bottom"/>
          </w:tcPr>
          <w:p>
            <w:pPr>
              <w:spacing w:after="0"/>
              <w:rPr>
                <w:sz w:val="14"/>
                <w:szCs w:val="14"/>
                <w:color w:val="auto"/>
              </w:rPr>
            </w:pPr>
          </w:p>
        </w:tc>
        <w:tc>
          <w:tcPr>
            <w:tcW w:w="960" w:type="dxa"/>
            <w:vAlign w:val="bottom"/>
            <w:tcBorders>
              <w:top w:val="single" w:sz="8" w:color="auto"/>
            </w:tcBorders>
            <w:gridSpan w:val="3"/>
          </w:tcPr>
          <w:p>
            <w:pPr>
              <w:jc w:val="center"/>
              <w:ind w:left="70"/>
              <w:spacing w:after="0" w:line="169" w:lineRule="exact"/>
              <w:rPr>
                <w:rFonts w:ascii="Times New Roman" w:cs="Times New Roman" w:eastAsia="Times New Roman" w:hAnsi="Times New Roman"/>
                <w:sz w:val="18"/>
                <w:szCs w:val="18"/>
                <w:color w:val="0000EE"/>
                <w:w w:val="98"/>
              </w:rPr>
            </w:pPr>
            <w:hyperlink r:id="rId69">
              <w:r>
                <w:rPr>
                  <w:rFonts w:ascii="Times New Roman" w:cs="Times New Roman" w:eastAsia="Times New Roman" w:hAnsi="Times New Roman"/>
                  <w:sz w:val="18"/>
                  <w:szCs w:val="18"/>
                  <w:color w:val="0000EE"/>
                  <w:w w:val="98"/>
                </w:rPr>
                <w:t>10/4/2023</w:t>
              </w:r>
            </w:hyperlink>
          </w:p>
        </w:tc>
        <w:tc>
          <w:tcPr>
            <w:tcW w:w="160" w:type="dxa"/>
            <w:vAlign w:val="bottom"/>
            <w:tcBorders>
              <w:top w:val="single" w:sz="8" w:color="auto"/>
            </w:tcBorders>
          </w:tcPr>
          <w:p>
            <w:pPr>
              <w:spacing w:after="0"/>
              <w:rPr>
                <w:sz w:val="14"/>
                <w:szCs w:val="14"/>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October 4, 2023, by and among Standard BioTools</w:t>
              </w:r>
            </w:hyperlink>
          </w:p>
        </w:tc>
        <w:tc>
          <w:tcPr>
            <w:tcW w:w="26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Inc., SomaLogic, Inc. and Martis Merger Sub Inc.</w:t>
              </w:r>
            </w:hyperlink>
          </w:p>
        </w:tc>
        <w:tc>
          <w:tcPr>
            <w:tcW w:w="340" w:type="dxa"/>
            <w:vAlign w:val="bottom"/>
            <w:gridSpan w:val="7"/>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jc w:val="center"/>
              <w:spacing w:after="0" w:line="196" w:lineRule="exact"/>
              <w:rPr>
                <w:rFonts w:ascii="Times New Roman" w:cs="Times New Roman" w:eastAsia="Times New Roman" w:hAnsi="Times New Roman"/>
                <w:sz w:val="18"/>
                <w:szCs w:val="18"/>
                <w:color w:val="0000EE"/>
                <w:w w:val="97"/>
              </w:rPr>
            </w:pPr>
            <w:hyperlink r:id="rId70">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gridSpan w:val="23"/>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Eighth Amended and Restated Certificate of</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4"/>
          </w:tcPr>
          <w:p>
            <w:pPr>
              <w:jc w:val="center"/>
              <w:ind w:right="120"/>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10-K</w:t>
              </w:r>
            </w:hyperlink>
          </w:p>
        </w:tc>
        <w:tc>
          <w:tcPr>
            <w:tcW w:w="960" w:type="dxa"/>
            <w:vAlign w:val="bottom"/>
            <w:gridSpan w:val="2"/>
          </w:tcPr>
          <w:p>
            <w:pPr>
              <w:jc w:val="center"/>
              <w:ind w:left="90"/>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001-34180</w:t>
              </w:r>
            </w:hyperlink>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0"/>
              <w:spacing w:after="0" w:line="196" w:lineRule="exact"/>
              <w:rPr>
                <w:rFonts w:ascii="Times New Roman" w:cs="Times New Roman" w:eastAsia="Times New Roman" w:hAnsi="Times New Roman"/>
                <w:sz w:val="18"/>
                <w:szCs w:val="18"/>
                <w:color w:val="0000EE"/>
                <w:w w:val="97"/>
              </w:rPr>
            </w:pPr>
            <w:hyperlink r:id="rId70">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100" w:type="dxa"/>
            <w:vAlign w:val="bottom"/>
          </w:tcPr>
          <w:p>
            <w:pPr>
              <w:spacing w:after="0"/>
              <w:rPr>
                <w:sz w:val="17"/>
                <w:szCs w:val="17"/>
                <w:color w:val="auto"/>
              </w:rPr>
            </w:pPr>
          </w:p>
        </w:tc>
        <w:tc>
          <w:tcPr>
            <w:tcW w:w="880" w:type="dxa"/>
            <w:vAlign w:val="bottom"/>
            <w:gridSpan w:val="2"/>
          </w:tcPr>
          <w:p>
            <w:pPr>
              <w:jc w:val="center"/>
              <w:ind w:left="70"/>
              <w:spacing w:after="0" w:line="196" w:lineRule="exact"/>
              <w:rPr>
                <w:rFonts w:ascii="Times New Roman" w:cs="Times New Roman" w:eastAsia="Times New Roman" w:hAnsi="Times New Roman"/>
                <w:sz w:val="18"/>
                <w:szCs w:val="18"/>
                <w:color w:val="0000EE"/>
                <w:w w:val="98"/>
              </w:rPr>
            </w:pPr>
            <w:hyperlink r:id="rId70">
              <w:r>
                <w:rPr>
                  <w:rFonts w:ascii="Times New Roman" w:cs="Times New Roman" w:eastAsia="Times New Roman" w:hAnsi="Times New Roman"/>
                  <w:sz w:val="18"/>
                  <w:szCs w:val="18"/>
                  <w:color w:val="0000EE"/>
                  <w:w w:val="98"/>
                </w:rPr>
                <w:t>3/28/2011</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gridSpan w:val="23"/>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Incorporation.</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Pr>
          <w:p>
            <w:pPr>
              <w:jc w:val="center"/>
              <w:spacing w:after="0" w:line="196" w:lineRule="exact"/>
              <w:rPr>
                <w:rFonts w:ascii="Times New Roman" w:cs="Times New Roman" w:eastAsia="Times New Roman" w:hAnsi="Times New Roman"/>
                <w:sz w:val="18"/>
                <w:szCs w:val="18"/>
                <w:color w:val="0000EE"/>
                <w:w w:val="97"/>
              </w:rPr>
            </w:pPr>
            <w:hyperlink r:id="rId71">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gridSpan w:val="23"/>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Amended and Restated Bylaws.</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3"/>
          </w:tcPr>
          <w:p>
            <w:pPr>
              <w:jc w:val="center"/>
              <w:ind w:right="540"/>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S-8</w:t>
              </w:r>
            </w:hyperlink>
          </w:p>
        </w:tc>
        <w:tc>
          <w:tcPr>
            <w:tcW w:w="1120" w:type="dxa"/>
            <w:vAlign w:val="bottom"/>
            <w:gridSpan w:val="3"/>
          </w:tcPr>
          <w:p>
            <w:pPr>
              <w:jc w:val="cente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333-264086</w:t>
              </w:r>
            </w:hyperlink>
          </w:p>
        </w:tc>
        <w:tc>
          <w:tcPr>
            <w:tcW w:w="120" w:type="dxa"/>
            <w:vAlign w:val="bottom"/>
          </w:tcPr>
          <w:p>
            <w:pPr>
              <w:spacing w:after="0"/>
              <w:rPr>
                <w:sz w:val="17"/>
                <w:szCs w:val="17"/>
                <w:color w:val="auto"/>
              </w:rPr>
            </w:pPr>
          </w:p>
        </w:tc>
        <w:tc>
          <w:tcPr>
            <w:tcW w:w="1120" w:type="dxa"/>
            <w:vAlign w:val="bottom"/>
            <w:gridSpan w:val="3"/>
          </w:tcPr>
          <w:p>
            <w:pPr>
              <w:jc w:val="center"/>
              <w:ind w:right="20"/>
              <w:spacing w:after="0" w:line="196" w:lineRule="exact"/>
              <w:rPr>
                <w:rFonts w:ascii="Times New Roman" w:cs="Times New Roman" w:eastAsia="Times New Roman" w:hAnsi="Times New Roman"/>
                <w:sz w:val="18"/>
                <w:szCs w:val="18"/>
                <w:color w:val="0000EE"/>
                <w:w w:val="97"/>
              </w:rPr>
            </w:pPr>
            <w:hyperlink r:id="rId7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8</w:t>
              </w:r>
            </w:hyperlink>
          </w:p>
        </w:tc>
        <w:tc>
          <w:tcPr>
            <w:tcW w:w="100" w:type="dxa"/>
            <w:vAlign w:val="bottom"/>
          </w:tcPr>
          <w:p>
            <w:pPr>
              <w:spacing w:after="0"/>
              <w:rPr>
                <w:sz w:val="17"/>
                <w:szCs w:val="17"/>
                <w:color w:val="auto"/>
              </w:rPr>
            </w:pPr>
          </w:p>
        </w:tc>
        <w:tc>
          <w:tcPr>
            <w:tcW w:w="880" w:type="dxa"/>
            <w:vAlign w:val="bottom"/>
            <w:gridSpan w:val="2"/>
          </w:tcPr>
          <w:p>
            <w:pPr>
              <w:jc w:val="center"/>
              <w:ind w:left="150"/>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4/1/2022</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Pr>
          <w:p>
            <w:pPr>
              <w:jc w:val="center"/>
              <w:spacing w:after="0" w:line="196" w:lineRule="exact"/>
              <w:rPr>
                <w:rFonts w:ascii="Times New Roman" w:cs="Times New Roman" w:eastAsia="Times New Roman" w:hAnsi="Times New Roman"/>
                <w:sz w:val="18"/>
                <w:szCs w:val="18"/>
                <w:color w:val="0000EE"/>
                <w:w w:val="97"/>
              </w:rPr>
            </w:pPr>
            <w:hyperlink r:id="rId72">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3</w:t>
              </w:r>
            </w:hyperlink>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gridSpan w:val="23"/>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Certificate of Amendment to Eighth Amended and</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3"/>
          </w:tcPr>
          <w:p>
            <w:pPr>
              <w:jc w:val="center"/>
              <w:ind w:right="540"/>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S-8</w:t>
              </w:r>
            </w:hyperlink>
          </w:p>
        </w:tc>
        <w:tc>
          <w:tcPr>
            <w:tcW w:w="1120" w:type="dxa"/>
            <w:vAlign w:val="bottom"/>
            <w:gridSpan w:val="3"/>
          </w:tcPr>
          <w:p>
            <w:pPr>
              <w:jc w:val="cente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333-264086</w:t>
              </w:r>
            </w:hyperlink>
          </w:p>
        </w:tc>
        <w:tc>
          <w:tcPr>
            <w:tcW w:w="120" w:type="dxa"/>
            <w:vAlign w:val="bottom"/>
          </w:tcPr>
          <w:p>
            <w:pPr>
              <w:spacing w:after="0"/>
              <w:rPr>
                <w:sz w:val="17"/>
                <w:szCs w:val="17"/>
                <w:color w:val="auto"/>
              </w:rPr>
            </w:pPr>
          </w:p>
        </w:tc>
        <w:tc>
          <w:tcPr>
            <w:tcW w:w="1120" w:type="dxa"/>
            <w:vAlign w:val="bottom"/>
            <w:gridSpan w:val="3"/>
          </w:tcPr>
          <w:p>
            <w:pPr>
              <w:jc w:val="center"/>
              <w:ind w:right="20"/>
              <w:spacing w:after="0" w:line="196" w:lineRule="exact"/>
              <w:rPr>
                <w:rFonts w:ascii="Times New Roman" w:cs="Times New Roman" w:eastAsia="Times New Roman" w:hAnsi="Times New Roman"/>
                <w:sz w:val="18"/>
                <w:szCs w:val="18"/>
                <w:color w:val="0000EE"/>
                <w:w w:val="97"/>
              </w:rPr>
            </w:pPr>
            <w:hyperlink r:id="rId7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100" w:type="dxa"/>
            <w:vAlign w:val="bottom"/>
          </w:tcPr>
          <w:p>
            <w:pPr>
              <w:spacing w:after="0"/>
              <w:rPr>
                <w:sz w:val="17"/>
                <w:szCs w:val="17"/>
                <w:color w:val="auto"/>
              </w:rPr>
            </w:pPr>
          </w:p>
        </w:tc>
        <w:tc>
          <w:tcPr>
            <w:tcW w:w="880" w:type="dxa"/>
            <w:vAlign w:val="bottom"/>
            <w:gridSpan w:val="2"/>
          </w:tcPr>
          <w:p>
            <w:pPr>
              <w:jc w:val="center"/>
              <w:ind w:left="150"/>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4/1/2022</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Restated Certificate of Incorporation, filed April 1,</w:t>
              </w:r>
            </w:hyperlink>
          </w:p>
        </w:tc>
        <w:tc>
          <w:tcPr>
            <w:tcW w:w="26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72">
              <w:r>
                <w:rPr>
                  <w:rFonts w:ascii="Times New Roman" w:cs="Times New Roman" w:eastAsia="Times New Roman" w:hAnsi="Times New Roman"/>
                  <w:sz w:val="18"/>
                  <w:szCs w:val="18"/>
                  <w:color w:val="0000EE"/>
                  <w:w w:val="93"/>
                </w:rPr>
                <w:t>2022.</w:t>
              </w:r>
            </w:hyperlink>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jc w:val="center"/>
              <w:spacing w:after="0" w:line="196" w:lineRule="exact"/>
              <w:rPr>
                <w:rFonts w:ascii="Times New Roman" w:cs="Times New Roman" w:eastAsia="Times New Roman" w:hAnsi="Times New Roman"/>
                <w:sz w:val="18"/>
                <w:szCs w:val="18"/>
                <w:color w:val="0000EE"/>
                <w:w w:val="97"/>
              </w:rPr>
            </w:pPr>
            <w:hyperlink r:id="rId73">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4</w:t>
              </w:r>
            </w:hyperlink>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gridSpan w:val="23"/>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Second Certificate of Amendment to the Eighth</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3"/>
          </w:tcPr>
          <w:p>
            <w:pPr>
              <w:jc w:val="center"/>
              <w:ind w:right="520"/>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8-K</w:t>
              </w:r>
            </w:hyperlink>
          </w:p>
        </w:tc>
        <w:tc>
          <w:tcPr>
            <w:tcW w:w="960" w:type="dxa"/>
            <w:vAlign w:val="bottom"/>
            <w:gridSpan w:val="2"/>
          </w:tcPr>
          <w:p>
            <w:pPr>
              <w:jc w:val="center"/>
              <w:ind w:left="90"/>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001-34180</w:t>
              </w:r>
            </w:hyperlink>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0"/>
              <w:spacing w:after="0" w:line="196" w:lineRule="exact"/>
              <w:rPr>
                <w:rFonts w:ascii="Times New Roman" w:cs="Times New Roman" w:eastAsia="Times New Roman" w:hAnsi="Times New Roman"/>
                <w:sz w:val="18"/>
                <w:szCs w:val="18"/>
                <w:color w:val="0000EE"/>
                <w:w w:val="97"/>
              </w:rPr>
            </w:pPr>
            <w:hyperlink r:id="rId73">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100" w:type="dxa"/>
            <w:vAlign w:val="bottom"/>
          </w:tcPr>
          <w:p>
            <w:pPr>
              <w:spacing w:after="0"/>
              <w:rPr>
                <w:sz w:val="17"/>
                <w:szCs w:val="17"/>
                <w:color w:val="auto"/>
              </w:rPr>
            </w:pPr>
          </w:p>
        </w:tc>
        <w:tc>
          <w:tcPr>
            <w:tcW w:w="880" w:type="dxa"/>
            <w:vAlign w:val="bottom"/>
            <w:gridSpan w:val="2"/>
          </w:tcPr>
          <w:p>
            <w:pPr>
              <w:jc w:val="center"/>
              <w:ind w:left="150"/>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1/5/2024</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Amended and Restated Certificate of Incorporation</w:t>
              </w:r>
            </w:hyperlink>
          </w:p>
        </w:tc>
        <w:tc>
          <w:tcPr>
            <w:tcW w:w="24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filed on January 4, 2024.</w:t>
              </w:r>
            </w:hyperlink>
          </w:p>
        </w:tc>
        <w:tc>
          <w:tcPr>
            <w:tcW w:w="2140" w:type="dxa"/>
            <w:vAlign w:val="bottom"/>
            <w:gridSpan w:val="16"/>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jc w:val="center"/>
              <w:spacing w:after="0" w:line="196" w:lineRule="exact"/>
              <w:rPr>
                <w:rFonts w:ascii="Times New Roman" w:cs="Times New Roman" w:eastAsia="Times New Roman" w:hAnsi="Times New Roman"/>
                <w:sz w:val="18"/>
                <w:szCs w:val="18"/>
                <w:color w:val="0000EE"/>
                <w:w w:val="97"/>
              </w:rPr>
            </w:pPr>
            <w:hyperlink r:id="rId74">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gridSpan w:val="23"/>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Specimen Common Stock Certificate of the</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3"/>
          </w:tcPr>
          <w:p>
            <w:pPr>
              <w:jc w:val="center"/>
              <w:ind w:right="540"/>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S-8</w:t>
              </w:r>
            </w:hyperlink>
          </w:p>
        </w:tc>
        <w:tc>
          <w:tcPr>
            <w:tcW w:w="1120" w:type="dxa"/>
            <w:vAlign w:val="bottom"/>
            <w:gridSpan w:val="3"/>
          </w:tcPr>
          <w:p>
            <w:pPr>
              <w:jc w:val="cente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333-264086</w:t>
              </w:r>
            </w:hyperlink>
          </w:p>
        </w:tc>
        <w:tc>
          <w:tcPr>
            <w:tcW w:w="120" w:type="dxa"/>
            <w:vAlign w:val="bottom"/>
          </w:tcPr>
          <w:p>
            <w:pPr>
              <w:spacing w:after="0"/>
              <w:rPr>
                <w:sz w:val="17"/>
                <w:szCs w:val="17"/>
                <w:color w:val="auto"/>
              </w:rPr>
            </w:pPr>
          </w:p>
        </w:tc>
        <w:tc>
          <w:tcPr>
            <w:tcW w:w="1120" w:type="dxa"/>
            <w:vAlign w:val="bottom"/>
            <w:gridSpan w:val="3"/>
          </w:tcPr>
          <w:p>
            <w:pPr>
              <w:jc w:val="center"/>
              <w:ind w:right="20"/>
              <w:spacing w:after="0" w:line="196" w:lineRule="exact"/>
              <w:rPr>
                <w:rFonts w:ascii="Times New Roman" w:cs="Times New Roman" w:eastAsia="Times New Roman" w:hAnsi="Times New Roman"/>
                <w:sz w:val="18"/>
                <w:szCs w:val="18"/>
                <w:color w:val="0000EE"/>
                <w:w w:val="97"/>
              </w:rPr>
            </w:pPr>
            <w:hyperlink r:id="rId74">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100" w:type="dxa"/>
            <w:vAlign w:val="bottom"/>
          </w:tcPr>
          <w:p>
            <w:pPr>
              <w:spacing w:after="0"/>
              <w:rPr>
                <w:sz w:val="17"/>
                <w:szCs w:val="17"/>
                <w:color w:val="auto"/>
              </w:rPr>
            </w:pPr>
          </w:p>
        </w:tc>
        <w:tc>
          <w:tcPr>
            <w:tcW w:w="880" w:type="dxa"/>
            <w:vAlign w:val="bottom"/>
            <w:gridSpan w:val="2"/>
          </w:tcPr>
          <w:p>
            <w:pPr>
              <w:jc w:val="center"/>
              <w:ind w:left="150"/>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4/1/2022</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gridSpan w:val="23"/>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Registrant.</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Pr>
          <w:p>
            <w:pPr>
              <w:jc w:val="center"/>
              <w:spacing w:after="0" w:line="196" w:lineRule="exact"/>
              <w:rPr>
                <w:rFonts w:ascii="Times New Roman" w:cs="Times New Roman" w:eastAsia="Times New Roman" w:hAnsi="Times New Roman"/>
                <w:sz w:val="18"/>
                <w:szCs w:val="18"/>
                <w:color w:val="0000EE"/>
                <w:w w:val="97"/>
              </w:rPr>
            </w:pPr>
            <w:hyperlink r:id="rId75">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gridSpan w:val="23"/>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Certificate of Designation of Rights, Preferences and</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3"/>
          </w:tcPr>
          <w:p>
            <w:pPr>
              <w:jc w:val="center"/>
              <w:ind w:right="520"/>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8-K</w:t>
              </w:r>
            </w:hyperlink>
          </w:p>
        </w:tc>
        <w:tc>
          <w:tcPr>
            <w:tcW w:w="960" w:type="dxa"/>
            <w:vAlign w:val="bottom"/>
            <w:gridSpan w:val="2"/>
          </w:tcPr>
          <w:p>
            <w:pPr>
              <w:jc w:val="center"/>
              <w:ind w:left="90"/>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001-34180</w:t>
              </w:r>
            </w:hyperlink>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0"/>
              <w:spacing w:after="0" w:line="196" w:lineRule="exact"/>
              <w:rPr>
                <w:rFonts w:ascii="Times New Roman" w:cs="Times New Roman" w:eastAsia="Times New Roman" w:hAnsi="Times New Roman"/>
                <w:sz w:val="18"/>
                <w:szCs w:val="18"/>
                <w:color w:val="0000EE"/>
                <w:w w:val="97"/>
              </w:rPr>
            </w:pPr>
            <w:hyperlink r:id="rId75">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100" w:type="dxa"/>
            <w:vAlign w:val="bottom"/>
          </w:tcPr>
          <w:p>
            <w:pPr>
              <w:spacing w:after="0"/>
              <w:rPr>
                <w:sz w:val="17"/>
                <w:szCs w:val="17"/>
                <w:color w:val="auto"/>
              </w:rPr>
            </w:pPr>
          </w:p>
        </w:tc>
        <w:tc>
          <w:tcPr>
            <w:tcW w:w="1120" w:type="dxa"/>
            <w:vAlign w:val="bottom"/>
            <w:gridSpan w:val="4"/>
          </w:tcPr>
          <w:p>
            <w:pPr>
              <w:jc w:val="center"/>
              <w:spacing w:after="0" w:line="196" w:lineRule="exact"/>
              <w:rPr>
                <w:rFonts w:ascii="Times New Roman" w:cs="Times New Roman" w:eastAsia="Times New Roman" w:hAnsi="Times New Roman"/>
                <w:sz w:val="18"/>
                <w:szCs w:val="18"/>
                <w:color w:val="0000EE"/>
                <w:w w:val="97"/>
              </w:rPr>
            </w:pPr>
            <w:hyperlink r:id="rId75">
              <w:r>
                <w:rPr>
                  <w:rFonts w:ascii="Times New Roman" w:cs="Times New Roman" w:eastAsia="Times New Roman" w:hAnsi="Times New Roman"/>
                  <w:sz w:val="18"/>
                  <w:szCs w:val="18"/>
                  <w:color w:val="0000EE"/>
                  <w:w w:val="97"/>
                </w:rPr>
                <w:t>11/22/2016</w:t>
              </w:r>
            </w:hyperlink>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gridSpan w:val="23"/>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Privileges of Series A Participating Preferred Stock.</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jc w:val="center"/>
              <w:spacing w:after="0" w:line="196" w:lineRule="exact"/>
              <w:rPr>
                <w:rFonts w:ascii="Times New Roman" w:cs="Times New Roman" w:eastAsia="Times New Roman" w:hAnsi="Times New Roman"/>
                <w:sz w:val="18"/>
                <w:szCs w:val="18"/>
                <w:color w:val="0000EE"/>
                <w:w w:val="97"/>
              </w:rPr>
            </w:pPr>
            <w:hyperlink r:id="rId76">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Certificate of Elimination of Series A Participating</w:t>
              </w:r>
            </w:hyperlink>
          </w:p>
        </w:tc>
        <w:tc>
          <w:tcPr>
            <w:tcW w:w="20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3"/>
          </w:tcPr>
          <w:p>
            <w:pPr>
              <w:jc w:val="center"/>
              <w:ind w:right="520"/>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8-K</w:t>
              </w:r>
            </w:hyperlink>
          </w:p>
        </w:tc>
        <w:tc>
          <w:tcPr>
            <w:tcW w:w="960" w:type="dxa"/>
            <w:vAlign w:val="bottom"/>
            <w:gridSpan w:val="2"/>
          </w:tcPr>
          <w:p>
            <w:pPr>
              <w:jc w:val="center"/>
              <w:ind w:left="90"/>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001-34180</w:t>
              </w:r>
            </w:hyperlink>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0"/>
              <w:spacing w:after="0" w:line="196" w:lineRule="exact"/>
              <w:rPr>
                <w:rFonts w:ascii="Times New Roman" w:cs="Times New Roman" w:eastAsia="Times New Roman" w:hAnsi="Times New Roman"/>
                <w:sz w:val="18"/>
                <w:szCs w:val="18"/>
                <w:color w:val="0000EE"/>
                <w:w w:val="97"/>
              </w:rPr>
            </w:pPr>
            <w:hyperlink r:id="rId76">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100" w:type="dxa"/>
            <w:vAlign w:val="bottom"/>
          </w:tcPr>
          <w:p>
            <w:pPr>
              <w:spacing w:after="0"/>
              <w:rPr>
                <w:sz w:val="17"/>
                <w:szCs w:val="17"/>
                <w:color w:val="auto"/>
              </w:rPr>
            </w:pPr>
          </w:p>
        </w:tc>
        <w:tc>
          <w:tcPr>
            <w:tcW w:w="880" w:type="dxa"/>
            <w:vAlign w:val="bottom"/>
            <w:gridSpan w:val="2"/>
          </w:tcPr>
          <w:p>
            <w:pPr>
              <w:jc w:val="center"/>
              <w:ind w:left="150"/>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8/2/2017</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Preferred Stock of the Registrant.</w:t>
              </w:r>
            </w:hyperlink>
          </w:p>
        </w:tc>
        <w:tc>
          <w:tcPr>
            <w:tcW w:w="1520" w:type="dxa"/>
            <w:vAlign w:val="bottom"/>
            <w:gridSpan w:val="14"/>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jc w:val="center"/>
              <w:spacing w:after="0" w:line="196" w:lineRule="exact"/>
              <w:rPr>
                <w:rFonts w:ascii="Times New Roman" w:cs="Times New Roman" w:eastAsia="Times New Roman" w:hAnsi="Times New Roman"/>
                <w:sz w:val="18"/>
                <w:szCs w:val="18"/>
                <w:color w:val="0000EE"/>
                <w:w w:val="97"/>
              </w:rPr>
            </w:pPr>
            <w:hyperlink r:id="rId77">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hyperlink>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gridSpan w:val="23"/>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Certificate of Designations of Rights, Preferences</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3"/>
          </w:tcPr>
          <w:p>
            <w:pPr>
              <w:jc w:val="center"/>
              <w:ind w:right="520"/>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8-K</w:t>
              </w:r>
            </w:hyperlink>
          </w:p>
        </w:tc>
        <w:tc>
          <w:tcPr>
            <w:tcW w:w="960" w:type="dxa"/>
            <w:vAlign w:val="bottom"/>
            <w:gridSpan w:val="2"/>
          </w:tcPr>
          <w:p>
            <w:pPr>
              <w:jc w:val="center"/>
              <w:ind w:left="90"/>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001-34180</w:t>
              </w:r>
            </w:hyperlink>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0"/>
              <w:spacing w:after="0" w:line="196" w:lineRule="exact"/>
              <w:rPr>
                <w:rFonts w:ascii="Times New Roman" w:cs="Times New Roman" w:eastAsia="Times New Roman" w:hAnsi="Times New Roman"/>
                <w:sz w:val="18"/>
                <w:szCs w:val="18"/>
                <w:color w:val="0000EE"/>
                <w:w w:val="97"/>
              </w:rPr>
            </w:pPr>
            <w:hyperlink r:id="rId77">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6</w:t>
              </w:r>
            </w:hyperlink>
          </w:p>
        </w:tc>
        <w:tc>
          <w:tcPr>
            <w:tcW w:w="100" w:type="dxa"/>
            <w:vAlign w:val="bottom"/>
          </w:tcPr>
          <w:p>
            <w:pPr>
              <w:spacing w:after="0"/>
              <w:rPr>
                <w:sz w:val="17"/>
                <w:szCs w:val="17"/>
                <w:color w:val="auto"/>
              </w:rPr>
            </w:pPr>
          </w:p>
        </w:tc>
        <w:tc>
          <w:tcPr>
            <w:tcW w:w="880" w:type="dxa"/>
            <w:vAlign w:val="bottom"/>
            <w:gridSpan w:val="2"/>
          </w:tcPr>
          <w:p>
            <w:pPr>
              <w:jc w:val="center"/>
              <w:ind w:left="150"/>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4/5/2022</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and Privileges of Series B-1 Convertible Preferred</w:t>
              </w:r>
            </w:hyperlink>
          </w:p>
        </w:tc>
        <w:tc>
          <w:tcPr>
            <w:tcW w:w="280" w:type="dxa"/>
            <w:vAlign w:val="bottom"/>
            <w:gridSpan w:val="6"/>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77">
              <w:r>
                <w:rPr>
                  <w:rFonts w:ascii="Times New Roman" w:cs="Times New Roman" w:eastAsia="Times New Roman" w:hAnsi="Times New Roman"/>
                  <w:sz w:val="18"/>
                  <w:szCs w:val="18"/>
                  <w:color w:val="0000EE"/>
                  <w:w w:val="96"/>
                </w:rPr>
                <w:t>Stock.</w:t>
              </w:r>
            </w:hyperlink>
          </w:p>
        </w:tc>
        <w:tc>
          <w:tcPr>
            <w:tcW w:w="3480" w:type="dxa"/>
            <w:vAlign w:val="bottom"/>
            <w:gridSpan w:val="20"/>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jc w:val="center"/>
              <w:spacing w:after="0" w:line="196" w:lineRule="exact"/>
              <w:rPr>
                <w:rFonts w:ascii="Times New Roman" w:cs="Times New Roman" w:eastAsia="Times New Roman" w:hAnsi="Times New Roman"/>
                <w:sz w:val="18"/>
                <w:szCs w:val="18"/>
                <w:color w:val="0000EE"/>
                <w:w w:val="97"/>
              </w:rPr>
            </w:pPr>
            <w:hyperlink r:id="rId78">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5</w:t>
              </w:r>
            </w:hyperlink>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gridSpan w:val="23"/>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Certificate of Designations of Rights, Preferences</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3"/>
          </w:tcPr>
          <w:p>
            <w:pPr>
              <w:jc w:val="center"/>
              <w:ind w:right="520"/>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8-K</w:t>
              </w:r>
            </w:hyperlink>
          </w:p>
        </w:tc>
        <w:tc>
          <w:tcPr>
            <w:tcW w:w="960" w:type="dxa"/>
            <w:vAlign w:val="bottom"/>
            <w:gridSpan w:val="2"/>
          </w:tcPr>
          <w:p>
            <w:pPr>
              <w:jc w:val="center"/>
              <w:ind w:left="90"/>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001-34180</w:t>
              </w:r>
            </w:hyperlink>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0"/>
              <w:spacing w:after="0" w:line="196" w:lineRule="exact"/>
              <w:rPr>
                <w:rFonts w:ascii="Times New Roman" w:cs="Times New Roman" w:eastAsia="Times New Roman" w:hAnsi="Times New Roman"/>
                <w:sz w:val="18"/>
                <w:szCs w:val="18"/>
                <w:color w:val="0000EE"/>
                <w:w w:val="97"/>
              </w:rPr>
            </w:pPr>
            <w:hyperlink r:id="rId78">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7</w:t>
              </w:r>
            </w:hyperlink>
          </w:p>
        </w:tc>
        <w:tc>
          <w:tcPr>
            <w:tcW w:w="100" w:type="dxa"/>
            <w:vAlign w:val="bottom"/>
          </w:tcPr>
          <w:p>
            <w:pPr>
              <w:spacing w:after="0"/>
              <w:rPr>
                <w:sz w:val="17"/>
                <w:szCs w:val="17"/>
                <w:color w:val="auto"/>
              </w:rPr>
            </w:pPr>
          </w:p>
        </w:tc>
        <w:tc>
          <w:tcPr>
            <w:tcW w:w="880" w:type="dxa"/>
            <w:vAlign w:val="bottom"/>
            <w:gridSpan w:val="2"/>
          </w:tcPr>
          <w:p>
            <w:pPr>
              <w:jc w:val="center"/>
              <w:ind w:left="150"/>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4/5/2022</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and Privileges of Series B-2 Convertible Preferred</w:t>
              </w:r>
            </w:hyperlink>
          </w:p>
        </w:tc>
        <w:tc>
          <w:tcPr>
            <w:tcW w:w="280" w:type="dxa"/>
            <w:vAlign w:val="bottom"/>
            <w:gridSpan w:val="6"/>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78">
              <w:r>
                <w:rPr>
                  <w:rFonts w:ascii="Times New Roman" w:cs="Times New Roman" w:eastAsia="Times New Roman" w:hAnsi="Times New Roman"/>
                  <w:sz w:val="18"/>
                  <w:szCs w:val="18"/>
                  <w:color w:val="0000EE"/>
                  <w:w w:val="96"/>
                </w:rPr>
                <w:t>Stock.</w:t>
              </w:r>
            </w:hyperlink>
          </w:p>
        </w:tc>
        <w:tc>
          <w:tcPr>
            <w:tcW w:w="3480" w:type="dxa"/>
            <w:vAlign w:val="bottom"/>
            <w:gridSpan w:val="20"/>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jc w:val="center"/>
              <w:spacing w:after="0" w:line="196" w:lineRule="exact"/>
              <w:rPr>
                <w:rFonts w:ascii="Times New Roman" w:cs="Times New Roman" w:eastAsia="Times New Roman" w:hAnsi="Times New Roman"/>
                <w:sz w:val="18"/>
                <w:szCs w:val="18"/>
                <w:color w:val="0000EE"/>
                <w:w w:val="97"/>
              </w:rPr>
            </w:pPr>
            <w:hyperlink r:id="rId7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6</w:t>
              </w:r>
            </w:hyperlink>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gridSpan w:val="23"/>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Indenture, dated November 22, 2019, by and</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3"/>
          </w:tcPr>
          <w:p>
            <w:pPr>
              <w:jc w:val="center"/>
              <w:ind w:right="520"/>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8-K</w:t>
              </w:r>
            </w:hyperlink>
          </w:p>
        </w:tc>
        <w:tc>
          <w:tcPr>
            <w:tcW w:w="960" w:type="dxa"/>
            <w:vAlign w:val="bottom"/>
            <w:gridSpan w:val="2"/>
          </w:tcPr>
          <w:p>
            <w:pPr>
              <w:jc w:val="center"/>
              <w:ind w:left="90"/>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001-34180</w:t>
              </w:r>
            </w:hyperlink>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0"/>
              <w:spacing w:after="0" w:line="196" w:lineRule="exact"/>
              <w:rPr>
                <w:rFonts w:ascii="Times New Roman" w:cs="Times New Roman" w:eastAsia="Times New Roman" w:hAnsi="Times New Roman"/>
                <w:sz w:val="18"/>
                <w:szCs w:val="18"/>
                <w:color w:val="0000EE"/>
                <w:w w:val="97"/>
              </w:rPr>
            </w:pPr>
            <w:hyperlink r:id="rId7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100" w:type="dxa"/>
            <w:vAlign w:val="bottom"/>
          </w:tcPr>
          <w:p>
            <w:pPr>
              <w:spacing w:after="0"/>
              <w:rPr>
                <w:sz w:val="17"/>
                <w:szCs w:val="17"/>
                <w:color w:val="auto"/>
              </w:rPr>
            </w:pPr>
          </w:p>
        </w:tc>
        <w:tc>
          <w:tcPr>
            <w:tcW w:w="1120" w:type="dxa"/>
            <w:vAlign w:val="bottom"/>
            <w:gridSpan w:val="4"/>
          </w:tcPr>
          <w:p>
            <w:pPr>
              <w:jc w:val="center"/>
              <w:spacing w:after="0" w:line="196" w:lineRule="exact"/>
              <w:rPr>
                <w:rFonts w:ascii="Times New Roman" w:cs="Times New Roman" w:eastAsia="Times New Roman" w:hAnsi="Times New Roman"/>
                <w:sz w:val="18"/>
                <w:szCs w:val="18"/>
                <w:color w:val="0000EE"/>
                <w:w w:val="97"/>
              </w:rPr>
            </w:pPr>
            <w:hyperlink r:id="rId79">
              <w:r>
                <w:rPr>
                  <w:rFonts w:ascii="Times New Roman" w:cs="Times New Roman" w:eastAsia="Times New Roman" w:hAnsi="Times New Roman"/>
                  <w:sz w:val="18"/>
                  <w:szCs w:val="18"/>
                  <w:color w:val="0000EE"/>
                  <w:w w:val="97"/>
                </w:rPr>
                <w:t>11/22/2019</w:t>
              </w:r>
            </w:hyperlink>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between Fluidigm Corporation and U.S. Bank</w:t>
              </w:r>
            </w:hyperlink>
          </w:p>
        </w:tc>
        <w:tc>
          <w:tcPr>
            <w:tcW w:w="620" w:type="dxa"/>
            <w:vAlign w:val="bottom"/>
            <w:gridSpan w:val="10"/>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gridSpan w:val="23"/>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National Association.</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723"/>
        </w:trPr>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7" w:name="page38"/>
    <w:bookmarkEnd w:id="37"/>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20" w:type="dxa"/>
            <w:vAlign w:val="bottom"/>
          </w:tcPr>
          <w:p>
            <w:pPr>
              <w:jc w:val="center"/>
              <w:spacing w:after="0"/>
              <w:rPr>
                <w:rFonts w:ascii="Times New Roman" w:cs="Times New Roman" w:eastAsia="Times New Roman" w:hAnsi="Times New Roman"/>
                <w:sz w:val="18"/>
                <w:szCs w:val="18"/>
                <w:color w:val="0000EE"/>
                <w:w w:val="97"/>
              </w:rPr>
            </w:pPr>
            <w:hyperlink r:id="rId7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7</w:t>
              </w:r>
            </w:hyperlink>
          </w:p>
        </w:tc>
        <w:tc>
          <w:tcPr>
            <w:tcW w:w="580" w:type="dxa"/>
            <w:vAlign w:val="bottom"/>
          </w:tcPr>
          <w:p>
            <w:pPr>
              <w:spacing w:after="0"/>
              <w:rPr>
                <w:sz w:val="17"/>
                <w:szCs w:val="17"/>
                <w:color w:val="auto"/>
              </w:rPr>
            </w:pPr>
          </w:p>
        </w:tc>
        <w:tc>
          <w:tcPr>
            <w:tcW w:w="3660" w:type="dxa"/>
            <w:vAlign w:val="bottom"/>
            <w:gridSpan w:val="15"/>
          </w:tcPr>
          <w:p>
            <w:pP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Form of 5.25% Convertible Senior Note due 2024.</w:t>
              </w:r>
            </w:hyperlink>
          </w:p>
        </w:tc>
        <w:tc>
          <w:tcPr>
            <w:tcW w:w="20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cente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8-K</w:t>
              </w:r>
            </w:hyperlink>
          </w:p>
        </w:tc>
        <w:tc>
          <w:tcPr>
            <w:tcW w:w="700" w:type="dxa"/>
            <w:vAlign w:val="bottom"/>
            <w:gridSpan w:val="2"/>
          </w:tcPr>
          <w:p>
            <w:pPr>
              <w:spacing w:after="0"/>
              <w:rPr>
                <w:sz w:val="17"/>
                <w:szCs w:val="17"/>
                <w:color w:val="auto"/>
              </w:rPr>
            </w:pPr>
          </w:p>
        </w:tc>
        <w:tc>
          <w:tcPr>
            <w:tcW w:w="780" w:type="dxa"/>
            <w:vAlign w:val="bottom"/>
          </w:tcPr>
          <w:p>
            <w:pPr>
              <w:jc w:val="right"/>
              <w:spacing w:after="0"/>
              <w:rPr>
                <w:rFonts w:ascii="Times New Roman" w:cs="Times New Roman" w:eastAsia="Times New Roman" w:hAnsi="Times New Roman"/>
                <w:sz w:val="18"/>
                <w:szCs w:val="18"/>
                <w:color w:val="0000EE"/>
                <w:w w:val="97"/>
              </w:rPr>
            </w:pPr>
            <w:hyperlink r:id="rId79">
              <w:r>
                <w:rPr>
                  <w:rFonts w:ascii="Times New Roman" w:cs="Times New Roman" w:eastAsia="Times New Roman" w:hAnsi="Times New Roman"/>
                  <w:sz w:val="18"/>
                  <w:szCs w:val="18"/>
                  <w:color w:val="0000EE"/>
                  <w:w w:val="97"/>
                </w:rPr>
                <w:t>001-34180</w:t>
              </w:r>
            </w:hyperlink>
          </w:p>
        </w:tc>
        <w:tc>
          <w:tcPr>
            <w:tcW w:w="340" w:type="dxa"/>
            <w:vAlign w:val="bottom"/>
          </w:tcPr>
          <w:p>
            <w:pPr>
              <w:spacing w:after="0"/>
              <w:rPr>
                <w:sz w:val="17"/>
                <w:szCs w:val="17"/>
                <w:color w:val="auto"/>
              </w:rPr>
            </w:pPr>
          </w:p>
        </w:tc>
        <w:tc>
          <w:tcPr>
            <w:tcW w:w="600" w:type="dxa"/>
            <w:vAlign w:val="bottom"/>
            <w:gridSpan w:val="2"/>
          </w:tcPr>
          <w:p>
            <w:pPr>
              <w:jc w:val="center"/>
              <w:ind w:left="290"/>
              <w:spacing w:after="0"/>
              <w:rPr>
                <w:rFonts w:ascii="Times New Roman" w:cs="Times New Roman" w:eastAsia="Times New Roman" w:hAnsi="Times New Roman"/>
                <w:sz w:val="18"/>
                <w:szCs w:val="18"/>
                <w:color w:val="0000EE"/>
                <w:w w:val="97"/>
              </w:rPr>
            </w:pPr>
            <w:hyperlink r:id="rId7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380" w:type="dxa"/>
            <w:vAlign w:val="bottom"/>
          </w:tcPr>
          <w:p>
            <w:pPr>
              <w:spacing w:after="0"/>
              <w:rPr>
                <w:sz w:val="17"/>
                <w:szCs w:val="17"/>
                <w:color w:val="auto"/>
              </w:rPr>
            </w:pPr>
          </w:p>
        </w:tc>
        <w:tc>
          <w:tcPr>
            <w:tcW w:w="1140" w:type="dxa"/>
            <w:vAlign w:val="bottom"/>
            <w:gridSpan w:val="3"/>
          </w:tcPr>
          <w:p>
            <w:pPr>
              <w:jc w:val="center"/>
              <w:ind w:left="250"/>
              <w:spacing w:after="0"/>
              <w:rPr>
                <w:rFonts w:ascii="Times New Roman" w:cs="Times New Roman" w:eastAsia="Times New Roman" w:hAnsi="Times New Roman"/>
                <w:sz w:val="18"/>
                <w:szCs w:val="18"/>
                <w:color w:val="0000EE"/>
                <w:w w:val="97"/>
              </w:rPr>
            </w:pPr>
            <w:hyperlink r:id="rId79">
              <w:r>
                <w:rPr>
                  <w:rFonts w:ascii="Times New Roman" w:cs="Times New Roman" w:eastAsia="Times New Roman" w:hAnsi="Times New Roman"/>
                  <w:sz w:val="18"/>
                  <w:szCs w:val="18"/>
                  <w:color w:val="0000EE"/>
                  <w:w w:val="97"/>
                </w:rPr>
                <w:t>11/22/2019</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jc w:val="center"/>
              <w:spacing w:after="0" w:line="196" w:lineRule="exact"/>
              <w:rPr>
                <w:rFonts w:ascii="Times New Roman" w:cs="Times New Roman" w:eastAsia="Times New Roman" w:hAnsi="Times New Roman"/>
                <w:sz w:val="18"/>
                <w:szCs w:val="18"/>
                <w:color w:val="0000EE"/>
                <w:w w:val="97"/>
              </w:rPr>
            </w:pPr>
            <w:hyperlink r:id="rId8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8</w:t>
              </w:r>
            </w:hyperlink>
          </w:p>
        </w:tc>
        <w:tc>
          <w:tcPr>
            <w:tcW w:w="580" w:type="dxa"/>
            <w:vAlign w:val="bottom"/>
          </w:tcPr>
          <w:p>
            <w:pPr>
              <w:spacing w:after="0"/>
              <w:rPr>
                <w:sz w:val="17"/>
                <w:szCs w:val="17"/>
                <w:color w:val="auto"/>
              </w:rPr>
            </w:pPr>
          </w:p>
        </w:tc>
        <w:tc>
          <w:tcPr>
            <w:tcW w:w="3860" w:type="dxa"/>
            <w:vAlign w:val="bottom"/>
            <w:gridSpan w:val="20"/>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Series B-1 Loan Agreement, dated as of January 23,</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gridSpan w:val="4"/>
          </w:tcPr>
          <w:p>
            <w:pPr>
              <w:jc w:val="center"/>
              <w:ind w:right="620"/>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8-K/A</w:t>
              </w:r>
            </w:hyperlink>
          </w:p>
        </w:tc>
        <w:tc>
          <w:tcPr>
            <w:tcW w:w="1120" w:type="dxa"/>
            <w:vAlign w:val="bottom"/>
            <w:gridSpan w:val="2"/>
          </w:tcPr>
          <w:p>
            <w:pPr>
              <w:jc w:val="right"/>
              <w:ind w:right="340"/>
              <w:spacing w:after="0" w:line="196" w:lineRule="exact"/>
              <w:rPr>
                <w:rFonts w:ascii="Times New Roman" w:cs="Times New Roman" w:eastAsia="Times New Roman" w:hAnsi="Times New Roman"/>
                <w:sz w:val="18"/>
                <w:szCs w:val="18"/>
                <w:color w:val="0000EE"/>
                <w:w w:val="97"/>
              </w:rPr>
            </w:pPr>
            <w:hyperlink r:id="rId80">
              <w:r>
                <w:rPr>
                  <w:rFonts w:ascii="Times New Roman" w:cs="Times New Roman" w:eastAsia="Times New Roman" w:hAnsi="Times New Roman"/>
                  <w:sz w:val="18"/>
                  <w:szCs w:val="18"/>
                  <w:color w:val="0000EE"/>
                  <w:w w:val="97"/>
                </w:rPr>
                <w:t>001-34180</w:t>
              </w:r>
            </w:hyperlink>
          </w:p>
        </w:tc>
        <w:tc>
          <w:tcPr>
            <w:tcW w:w="980" w:type="dxa"/>
            <w:vAlign w:val="bottom"/>
            <w:gridSpan w:val="3"/>
          </w:tcPr>
          <w:p>
            <w:pPr>
              <w:jc w:val="center"/>
              <w:spacing w:after="0" w:line="196" w:lineRule="exact"/>
              <w:rPr>
                <w:rFonts w:ascii="Times New Roman" w:cs="Times New Roman" w:eastAsia="Times New Roman" w:hAnsi="Times New Roman"/>
                <w:sz w:val="18"/>
                <w:szCs w:val="18"/>
                <w:color w:val="0000EE"/>
                <w:w w:val="95"/>
              </w:rPr>
            </w:pPr>
            <w:hyperlink r:id="rId80">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1100" w:type="dxa"/>
            <w:vAlign w:val="bottom"/>
            <w:gridSpan w:val="2"/>
          </w:tcPr>
          <w:p>
            <w:pPr>
              <w:jc w:val="center"/>
              <w:ind w:left="290"/>
              <w:spacing w:after="0" w:line="196" w:lineRule="exact"/>
              <w:rPr>
                <w:rFonts w:ascii="Times New Roman" w:cs="Times New Roman" w:eastAsia="Times New Roman" w:hAnsi="Times New Roman"/>
                <w:sz w:val="18"/>
                <w:szCs w:val="18"/>
                <w:color w:val="0000EE"/>
                <w:w w:val="98"/>
              </w:rPr>
            </w:pPr>
            <w:hyperlink r:id="rId80">
              <w:r>
                <w:rPr>
                  <w:rFonts w:ascii="Times New Roman" w:cs="Times New Roman" w:eastAsia="Times New Roman" w:hAnsi="Times New Roman"/>
                  <w:sz w:val="18"/>
                  <w:szCs w:val="18"/>
                  <w:color w:val="0000EE"/>
                  <w:w w:val="98"/>
                </w:rPr>
                <w:t>2/11/2022</w:t>
              </w:r>
            </w:hyperlink>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2022, by and among Fluidigm Corporation, Casdin</w:t>
              </w:r>
            </w:hyperlink>
          </w:p>
        </w:tc>
        <w:tc>
          <w:tcPr>
            <w:tcW w:w="6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3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Partners Master Fund, L.P., and Casdin Private</w:t>
              </w:r>
            </w:hyperlink>
          </w:p>
        </w:tc>
        <w:tc>
          <w:tcPr>
            <w:tcW w:w="48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60" w:type="dxa"/>
            <w:vAlign w:val="bottom"/>
            <w:gridSpan w:val="20"/>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Growth Equity Fund II, L.P.</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jc w:val="center"/>
              <w:spacing w:after="0" w:line="196" w:lineRule="exact"/>
              <w:rPr>
                <w:rFonts w:ascii="Times New Roman" w:cs="Times New Roman" w:eastAsia="Times New Roman" w:hAnsi="Times New Roman"/>
                <w:sz w:val="18"/>
                <w:szCs w:val="18"/>
                <w:color w:val="0000EE"/>
                <w:w w:val="97"/>
              </w:rPr>
            </w:pPr>
            <w:hyperlink r:id="rId8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9</w:t>
              </w:r>
            </w:hyperlink>
          </w:p>
        </w:tc>
        <w:tc>
          <w:tcPr>
            <w:tcW w:w="580" w:type="dxa"/>
            <w:vAlign w:val="bottom"/>
          </w:tcPr>
          <w:p>
            <w:pPr>
              <w:spacing w:after="0"/>
              <w:rPr>
                <w:sz w:val="17"/>
                <w:szCs w:val="17"/>
                <w:color w:val="auto"/>
              </w:rPr>
            </w:pPr>
          </w:p>
        </w:tc>
        <w:tc>
          <w:tcPr>
            <w:tcW w:w="3860" w:type="dxa"/>
            <w:vAlign w:val="bottom"/>
            <w:gridSpan w:val="20"/>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Series B-2 Loan Agreement, dated as of January 23,</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center"/>
              <w:ind w:right="700"/>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8-K</w:t>
              </w:r>
            </w:hyperlink>
          </w:p>
        </w:tc>
        <w:tc>
          <w:tcPr>
            <w:tcW w:w="1120" w:type="dxa"/>
            <w:vAlign w:val="bottom"/>
            <w:gridSpan w:val="2"/>
          </w:tcPr>
          <w:p>
            <w:pPr>
              <w:jc w:val="right"/>
              <w:ind w:right="340"/>
              <w:spacing w:after="0" w:line="196" w:lineRule="exact"/>
              <w:rPr>
                <w:rFonts w:ascii="Times New Roman" w:cs="Times New Roman" w:eastAsia="Times New Roman" w:hAnsi="Times New Roman"/>
                <w:sz w:val="18"/>
                <w:szCs w:val="18"/>
                <w:color w:val="0000EE"/>
                <w:w w:val="97"/>
              </w:rPr>
            </w:pPr>
            <w:hyperlink r:id="rId81">
              <w:r>
                <w:rPr>
                  <w:rFonts w:ascii="Times New Roman" w:cs="Times New Roman" w:eastAsia="Times New Roman" w:hAnsi="Times New Roman"/>
                  <w:sz w:val="18"/>
                  <w:szCs w:val="18"/>
                  <w:color w:val="0000EE"/>
                  <w:w w:val="97"/>
                </w:rPr>
                <w:t>001-34180</w:t>
              </w:r>
            </w:hyperlink>
          </w:p>
        </w:tc>
        <w:tc>
          <w:tcPr>
            <w:tcW w:w="980" w:type="dxa"/>
            <w:vAlign w:val="bottom"/>
            <w:gridSpan w:val="3"/>
          </w:tcPr>
          <w:p>
            <w:pPr>
              <w:jc w:val="center"/>
              <w:spacing w:after="0" w:line="196" w:lineRule="exact"/>
              <w:rPr>
                <w:rFonts w:ascii="Times New Roman" w:cs="Times New Roman" w:eastAsia="Times New Roman" w:hAnsi="Times New Roman"/>
                <w:sz w:val="18"/>
                <w:szCs w:val="18"/>
                <w:color w:val="0000EE"/>
                <w:w w:val="95"/>
              </w:rPr>
            </w:pPr>
            <w:hyperlink r:id="rId81">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1140" w:type="dxa"/>
            <w:vAlign w:val="bottom"/>
            <w:gridSpan w:val="3"/>
          </w:tcPr>
          <w:p>
            <w:pPr>
              <w:jc w:val="center"/>
              <w:ind w:left="250"/>
              <w:spacing w:after="0" w:line="196" w:lineRule="exact"/>
              <w:rPr>
                <w:rFonts w:ascii="Times New Roman" w:cs="Times New Roman" w:eastAsia="Times New Roman" w:hAnsi="Times New Roman"/>
                <w:sz w:val="18"/>
                <w:szCs w:val="18"/>
                <w:color w:val="0000EE"/>
                <w:w w:val="98"/>
              </w:rPr>
            </w:pPr>
            <w:hyperlink r:id="rId81">
              <w:r>
                <w:rPr>
                  <w:rFonts w:ascii="Times New Roman" w:cs="Times New Roman" w:eastAsia="Times New Roman" w:hAnsi="Times New Roman"/>
                  <w:sz w:val="18"/>
                  <w:szCs w:val="18"/>
                  <w:color w:val="0000EE"/>
                  <w:w w:val="98"/>
                </w:rPr>
                <w:t>1/24/2022</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2022, by and among Fluidigm Corporation, Viking</w:t>
              </w:r>
            </w:hyperlink>
          </w:p>
        </w:tc>
        <w:tc>
          <w:tcPr>
            <w:tcW w:w="80" w:type="dxa"/>
            <w:vAlign w:val="bottom"/>
            <w:tcBorders>
              <w:top w:val="single" w:sz="8" w:color="0000EE"/>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60" w:type="dxa"/>
            <w:vAlign w:val="bottom"/>
            <w:gridSpan w:val="20"/>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Global Opportunities Illiquid Investments Sub-</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81">
              <w:r>
                <w:rPr>
                  <w:rFonts w:ascii="Times New Roman" w:cs="Times New Roman" w:eastAsia="Times New Roman" w:hAnsi="Times New Roman"/>
                  <w:sz w:val="18"/>
                  <w:szCs w:val="18"/>
                  <w:color w:val="0000EE"/>
                  <w:w w:val="98"/>
                </w:rPr>
                <w:t>Master LP, and Viking Global Opportunities</w:t>
              </w:r>
            </w:hyperlink>
          </w:p>
        </w:tc>
        <w:tc>
          <w:tcPr>
            <w:tcW w:w="200" w:type="dxa"/>
            <w:vAlign w:val="bottom"/>
            <w:tcBorders>
              <w:top w:val="single" w:sz="8" w:color="0000EE"/>
            </w:tcBorders>
            <w:gridSpan w:val="6"/>
          </w:tcPr>
          <w:p>
            <w:pPr>
              <w:spacing w:after="0"/>
              <w:rPr>
                <w:sz w:val="17"/>
                <w:szCs w:val="17"/>
                <w:color w:val="auto"/>
              </w:rPr>
            </w:pPr>
          </w:p>
        </w:tc>
        <w:tc>
          <w:tcPr>
            <w:tcW w:w="46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60" w:type="dxa"/>
            <w:vAlign w:val="bottom"/>
            <w:gridSpan w:val="20"/>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Drawdown (Aggregator) LP.</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60" w:type="dxa"/>
            <w:vAlign w:val="bottom"/>
            <w:gridSpan w:val="2"/>
          </w:tcPr>
          <w:p>
            <w:pPr>
              <w:jc w:val="cente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hyperlink>
          </w:p>
        </w:tc>
        <w:tc>
          <w:tcPr>
            <w:tcW w:w="580" w:type="dxa"/>
            <w:vAlign w:val="bottom"/>
          </w:tcPr>
          <w:p>
            <w:pPr>
              <w:spacing w:after="0"/>
              <w:rPr>
                <w:sz w:val="17"/>
                <w:szCs w:val="17"/>
                <w:color w:val="auto"/>
              </w:rPr>
            </w:pPr>
          </w:p>
        </w:tc>
        <w:tc>
          <w:tcPr>
            <w:tcW w:w="3860" w:type="dxa"/>
            <w:vAlign w:val="bottom"/>
            <w:gridSpan w:val="20"/>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Warrant Agreement, dated as of February 22, 2021,</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by and between CM Life Sciences II Inc. and</w:t>
              </w:r>
            </w:hyperlink>
          </w:p>
        </w:tc>
        <w:tc>
          <w:tcPr>
            <w:tcW w:w="420" w:type="dxa"/>
            <w:vAlign w:val="bottom"/>
            <w:tcBorders>
              <w:top w:val="single" w:sz="8" w:color="0000EE"/>
            </w:tcBorders>
            <w:gridSpan w:val="7"/>
          </w:tcPr>
          <w:p>
            <w:pPr>
              <w:spacing w:after="0"/>
              <w:rPr>
                <w:sz w:val="17"/>
                <w:szCs w:val="17"/>
                <w:color w:val="auto"/>
              </w:rPr>
            </w:pPr>
          </w:p>
        </w:tc>
        <w:tc>
          <w:tcPr>
            <w:tcW w:w="1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60" w:type="dxa"/>
            <w:vAlign w:val="bottom"/>
            <w:gridSpan w:val="20"/>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Continental Stock Transfer &amp; Trust Company.</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center"/>
              <w:ind w:right="700"/>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8-K</w:t>
              </w:r>
            </w:hyperlink>
          </w:p>
        </w:tc>
        <w:tc>
          <w:tcPr>
            <w:tcW w:w="1120" w:type="dxa"/>
            <w:vAlign w:val="bottom"/>
            <w:gridSpan w:val="2"/>
          </w:tcPr>
          <w:p>
            <w:pPr>
              <w:jc w:val="right"/>
              <w:ind w:right="340"/>
              <w:spacing w:after="0" w:line="196" w:lineRule="exact"/>
              <w:rPr>
                <w:rFonts w:ascii="Times New Roman" w:cs="Times New Roman" w:eastAsia="Times New Roman" w:hAnsi="Times New Roman"/>
                <w:sz w:val="18"/>
                <w:szCs w:val="18"/>
                <w:color w:val="0000EE"/>
                <w:w w:val="97"/>
              </w:rPr>
            </w:pPr>
            <w:hyperlink r:id="rId82">
              <w:r>
                <w:rPr>
                  <w:rFonts w:ascii="Times New Roman" w:cs="Times New Roman" w:eastAsia="Times New Roman" w:hAnsi="Times New Roman"/>
                  <w:sz w:val="18"/>
                  <w:szCs w:val="18"/>
                  <w:color w:val="0000EE"/>
                  <w:w w:val="97"/>
                </w:rPr>
                <w:t>001-40090</w:t>
              </w:r>
            </w:hyperlink>
          </w:p>
        </w:tc>
        <w:tc>
          <w:tcPr>
            <w:tcW w:w="980" w:type="dxa"/>
            <w:vAlign w:val="bottom"/>
            <w:gridSpan w:val="3"/>
          </w:tcPr>
          <w:p>
            <w:pPr>
              <w:jc w:val="center"/>
              <w:spacing w:after="0" w:line="196" w:lineRule="exact"/>
              <w:rPr>
                <w:rFonts w:ascii="Times New Roman" w:cs="Times New Roman" w:eastAsia="Times New Roman" w:hAnsi="Times New Roman"/>
                <w:sz w:val="18"/>
                <w:szCs w:val="18"/>
                <w:color w:val="0000EE"/>
                <w:w w:val="95"/>
              </w:rPr>
            </w:pPr>
            <w:hyperlink r:id="rId82">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1140" w:type="dxa"/>
            <w:vAlign w:val="bottom"/>
            <w:gridSpan w:val="3"/>
          </w:tcPr>
          <w:p>
            <w:pPr>
              <w:jc w:val="center"/>
              <w:ind w:left="250"/>
              <w:spacing w:after="0" w:line="196" w:lineRule="exact"/>
              <w:rPr>
                <w:rFonts w:ascii="Times New Roman" w:cs="Times New Roman" w:eastAsia="Times New Roman" w:hAnsi="Times New Roman"/>
                <w:sz w:val="18"/>
                <w:szCs w:val="18"/>
                <w:color w:val="0000EE"/>
                <w:w w:val="98"/>
              </w:rPr>
            </w:pPr>
            <w:hyperlink r:id="rId82">
              <w:r>
                <w:rPr>
                  <w:rFonts w:ascii="Times New Roman" w:cs="Times New Roman" w:eastAsia="Times New Roman" w:hAnsi="Times New Roman"/>
                  <w:sz w:val="18"/>
                  <w:szCs w:val="18"/>
                  <w:color w:val="0000EE"/>
                  <w:w w:val="98"/>
                </w:rPr>
                <w:t>2/26/2021</w:t>
              </w:r>
            </w:hyperlink>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gridSpan w:val="3"/>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580" w:type="dxa"/>
            <w:vAlign w:val="bottom"/>
          </w:tcPr>
          <w:p>
            <w:pPr>
              <w:spacing w:after="0"/>
              <w:rPr>
                <w:sz w:val="17"/>
                <w:szCs w:val="17"/>
                <w:color w:val="auto"/>
              </w:rPr>
            </w:pPr>
          </w:p>
        </w:tc>
        <w:tc>
          <w:tcPr>
            <w:tcW w:w="3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Opinion of Mintz, Levin, Cohn, Ferris, Glovsky and</w:t>
            </w:r>
          </w:p>
        </w:tc>
        <w:tc>
          <w:tcPr>
            <w:tcW w:w="272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0000EE"/>
              </w:rPr>
              <w:t>X</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Popeo, P.C.</w:t>
            </w:r>
          </w:p>
        </w:tc>
        <w:tc>
          <w:tcPr>
            <w:tcW w:w="2920" w:type="dxa"/>
            <w:vAlign w:val="bottom"/>
            <w:tcBorders>
              <w:top w:val="single" w:sz="8" w:color="0000EE"/>
            </w:tcBorders>
            <w:gridSpan w:val="17"/>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6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580" w:type="dxa"/>
            <w:vAlign w:val="bottom"/>
          </w:tcPr>
          <w:p>
            <w:pPr>
              <w:spacing w:after="0"/>
              <w:rPr>
                <w:sz w:val="17"/>
                <w:szCs w:val="17"/>
                <w:color w:val="auto"/>
              </w:rPr>
            </w:pPr>
          </w:p>
        </w:tc>
        <w:tc>
          <w:tcPr>
            <w:tcW w:w="3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Consent of PricewaterhouseCoopers</w:t>
            </w:r>
          </w:p>
        </w:tc>
        <w:tc>
          <w:tcPr>
            <w:tcW w:w="272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0000EE"/>
              </w:rPr>
              <w:t>X</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80" w:type="dxa"/>
            <w:vAlign w:val="bottom"/>
            <w:tcBorders>
              <w:right w:val="single" w:sz="8" w:color="0000EE"/>
            </w:tcBorders>
            <w:gridSpan w:val="3"/>
            <w:shd w:val="clear" w:color="auto" w:fill="0000EE"/>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LLP, Independent Registered Public Accounting</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Firm.</w:t>
            </w:r>
          </w:p>
        </w:tc>
        <w:tc>
          <w:tcPr>
            <w:tcW w:w="3080" w:type="dxa"/>
            <w:vAlign w:val="bottom"/>
            <w:tcBorders>
              <w:top w:val="single" w:sz="8" w:color="0000EE"/>
            </w:tcBorders>
            <w:gridSpan w:val="13"/>
          </w:tcPr>
          <w:p>
            <w:pPr>
              <w:spacing w:after="0"/>
              <w:rPr>
                <w:sz w:val="17"/>
                <w:szCs w:val="17"/>
                <w:color w:val="auto"/>
              </w:rPr>
            </w:pPr>
          </w:p>
        </w:tc>
        <w:tc>
          <w:tcPr>
            <w:tcW w:w="38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60" w:type="dxa"/>
            <w:vAlign w:val="bottom"/>
            <w:tcBorders>
              <w:bottom w:val="single" w:sz="8" w:color="0000EE"/>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580" w:type="dxa"/>
            <w:vAlign w:val="bottom"/>
          </w:tcPr>
          <w:p>
            <w:pPr>
              <w:spacing w:after="0"/>
              <w:rPr>
                <w:sz w:val="17"/>
                <w:szCs w:val="17"/>
                <w:color w:val="auto"/>
              </w:rPr>
            </w:pPr>
          </w:p>
        </w:tc>
        <w:tc>
          <w:tcPr>
            <w:tcW w:w="32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Consent of Ernst &amp; Young LLP, Independent</w:t>
            </w:r>
          </w:p>
        </w:tc>
        <w:tc>
          <w:tcPr>
            <w:tcW w:w="620" w:type="dxa"/>
            <w:vAlign w:val="bottom"/>
            <w:gridSpan w:val="12"/>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1"/>
              </w:rPr>
              <w:t>X</w:t>
            </w:r>
          </w:p>
        </w:tc>
        <w:tc>
          <w:tcPr>
            <w:tcW w:w="250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Registered Public Accounting Firm.</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38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6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3</w:t>
            </w:r>
          </w:p>
        </w:tc>
        <w:tc>
          <w:tcPr>
            <w:tcW w:w="580" w:type="dxa"/>
            <w:vAlign w:val="bottom"/>
          </w:tcPr>
          <w:p>
            <w:pPr>
              <w:spacing w:after="0"/>
              <w:rPr>
                <w:sz w:val="17"/>
                <w:szCs w:val="17"/>
                <w:color w:val="auto"/>
              </w:rPr>
            </w:pPr>
          </w:p>
        </w:tc>
        <w:tc>
          <w:tcPr>
            <w:tcW w:w="3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Consent of Mintz, Levin, Cohn, Ferris, Glovsky and</w:t>
            </w:r>
          </w:p>
        </w:tc>
        <w:tc>
          <w:tcPr>
            <w:tcW w:w="272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0000EE"/>
              </w:rPr>
              <w:t>X</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Popeo, P.C. (included as part of Exhibit 5.1 hereto).</w:t>
            </w: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6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580" w:type="dxa"/>
            <w:vAlign w:val="bottom"/>
          </w:tcPr>
          <w:p>
            <w:pPr>
              <w:spacing w:after="0"/>
              <w:rPr>
                <w:sz w:val="17"/>
                <w:szCs w:val="17"/>
                <w:color w:val="auto"/>
              </w:rPr>
            </w:pPr>
          </w:p>
        </w:tc>
        <w:tc>
          <w:tcPr>
            <w:tcW w:w="3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(included on the signature</w:t>
            </w:r>
          </w:p>
        </w:tc>
        <w:tc>
          <w:tcPr>
            <w:tcW w:w="272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0000EE"/>
              </w:rPr>
              <w:t>X</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page to this registration statement).</w:t>
            </w:r>
          </w:p>
        </w:tc>
        <w:tc>
          <w:tcPr>
            <w:tcW w:w="660" w:type="dxa"/>
            <w:vAlign w:val="bottom"/>
            <w:tcBorders>
              <w:top w:val="single" w:sz="8" w:color="0000EE"/>
            </w:tcBorders>
            <w:gridSpan w:val="3"/>
          </w:tcPr>
          <w:p>
            <w:pPr>
              <w:spacing w:after="0"/>
              <w:rPr>
                <w:sz w:val="17"/>
                <w:szCs w:val="17"/>
                <w:color w:val="auto"/>
              </w:rPr>
            </w:pPr>
          </w:p>
        </w:tc>
        <w:tc>
          <w:tcPr>
            <w:tcW w:w="600" w:type="dxa"/>
            <w:vAlign w:val="bottom"/>
            <w:gridSpan w:val="11"/>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6"/>
              </w:rPr>
              <w:t>107</w:t>
            </w:r>
          </w:p>
        </w:tc>
        <w:tc>
          <w:tcPr>
            <w:tcW w:w="580" w:type="dxa"/>
            <w:vAlign w:val="bottom"/>
          </w:tcPr>
          <w:p>
            <w:pPr>
              <w:spacing w:after="0"/>
              <w:rPr>
                <w:sz w:val="17"/>
                <w:szCs w:val="17"/>
                <w:color w:val="auto"/>
              </w:rPr>
            </w:pPr>
          </w:p>
        </w:tc>
        <w:tc>
          <w:tcPr>
            <w:tcW w:w="3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Filing Fee Table.</w:t>
            </w:r>
          </w:p>
        </w:tc>
        <w:tc>
          <w:tcPr>
            <w:tcW w:w="272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0000EE"/>
              </w:rPr>
              <w:t>X</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exhibit have been omitted pursuant to Item 601(b)(2) of Regulation S-K.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Indicates management contract or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18" w:right="49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January 19, 2024.</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Egholm,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Michael Egholm, Ph.D.</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the undersigned officers and directors of Standard BioTools Inc., hereby severally constitute and appoint Michael Egholm, Ph.D. and Jeffrey Black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without limitation,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44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0" w:type="dxa"/>
            <w:vAlign w:val="bottom"/>
          </w:tcPr>
          <w:p>
            <w:pPr>
              <w:spacing w:after="0"/>
              <w:rPr>
                <w:sz w:val="18"/>
                <w:szCs w:val="18"/>
                <w:color w:val="auto"/>
              </w:rPr>
            </w:pPr>
          </w:p>
        </w:tc>
        <w:tc>
          <w:tcPr>
            <w:tcW w:w="198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80"/>
        </w:trPr>
        <w:tc>
          <w:tcPr>
            <w:tcW w:w="3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Michael Egholm, Ph.D.</w:t>
            </w:r>
          </w:p>
        </w:tc>
        <w:tc>
          <w:tcPr>
            <w:tcW w:w="4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31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28"/>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Egholm, Ph.D.</w:t>
            </w:r>
          </w:p>
        </w:tc>
        <w:tc>
          <w:tcPr>
            <w:tcW w:w="4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14"/>
        </w:trPr>
        <w:tc>
          <w:tcPr>
            <w:tcW w:w="3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Jeffrey Black</w:t>
            </w:r>
          </w:p>
        </w:tc>
        <w:tc>
          <w:tcPr>
            <w:tcW w:w="4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1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28"/>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Jeffrey Black</w:t>
            </w:r>
          </w:p>
        </w:tc>
        <w:tc>
          <w:tcPr>
            <w:tcW w:w="4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14"/>
        </w:trPr>
        <w:tc>
          <w:tcPr>
            <w:tcW w:w="3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Tom Carey</w:t>
            </w:r>
          </w:p>
        </w:tc>
        <w:tc>
          <w:tcPr>
            <w:tcW w:w="4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31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28"/>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Tom Carey</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14"/>
        </w:trPr>
        <w:tc>
          <w:tcPr>
            <w:tcW w:w="3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Frank Witney, Ph.D.</w:t>
            </w:r>
          </w:p>
        </w:tc>
        <w:tc>
          <w:tcPr>
            <w:tcW w:w="4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28"/>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Frank Witney, Ph.D.</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14"/>
        </w:trPr>
        <w:tc>
          <w:tcPr>
            <w:tcW w:w="3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Fenel M. Eloi</w:t>
            </w:r>
          </w:p>
        </w:tc>
        <w:tc>
          <w:tcPr>
            <w:tcW w:w="4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28"/>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Fenel M. Eloi</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14"/>
        </w:trPr>
        <w:tc>
          <w:tcPr>
            <w:tcW w:w="3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Troy Cox</w:t>
            </w:r>
          </w:p>
        </w:tc>
        <w:tc>
          <w:tcPr>
            <w:tcW w:w="4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28"/>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Troy Cox</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14"/>
        </w:trPr>
        <w:tc>
          <w:tcPr>
            <w:tcW w:w="3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Eli Casdin</w:t>
            </w:r>
          </w:p>
        </w:tc>
        <w:tc>
          <w:tcPr>
            <w:tcW w:w="4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28"/>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 Casdin</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14"/>
        </w:trPr>
        <w:tc>
          <w:tcPr>
            <w:tcW w:w="3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Kathy Hibbs</w:t>
            </w:r>
          </w:p>
        </w:tc>
        <w:tc>
          <w:tcPr>
            <w:tcW w:w="4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28"/>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Kathy Hibbs</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657"/>
        </w:trPr>
        <w:tc>
          <w:tcPr>
            <w:tcW w:w="1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167640</wp:posOffset>
            </wp:positionV>
            <wp:extent cx="917575" cy="8655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6">
                      <a:extLst>
                        <a:ext uri="{28A0092B-C50C-407E-A947-70E740481C1C}"/>
                      </a:extLst>
                    </a:blip>
                    <a:srcRect/>
                    <a:stretch>
                      <a:fillRect/>
                    </a:stretch>
                  </pic:blipFill>
                  <pic:spPr bwMode="auto">
                    <a:xfrm>
                      <a:off x="0" y="0"/>
                      <a:ext cx="91757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One Financial Center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617 542 6000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mintz.com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Tower Place, Suite 2000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acted as legal counsel to Standard BioTools Inc., a Delaware corporation (the “Company”), in connection with the preparation and filing with the Securities and Exchange Commission (the “Commission”) of a Registration Statement on Form S-3 (the “Registration Statement”) relating to the registration under the Securities Act of 1933, as amended (the “Act”), of (a) the issuance of shares of common stock, $0.001 par value per share (“Common Stock”), of the Company upon the exercise of warrants to purchase shares of common stock, $0.0001 par value per share (“SomaLogic Common Stock”), of SomaLogic, Inc. (“SomaLogic”), originally issued by SomaLogic, and (b) the resale of Common Stock held by certain securityholders of the Company, as follows:</w:t>
      </w:r>
    </w:p>
    <w:p>
      <w:pPr>
        <w:spacing w:after="0" w:line="187" w:lineRule="exact"/>
        <w:rPr>
          <w:sz w:val="20"/>
          <w:szCs w:val="20"/>
          <w:color w:val="auto"/>
        </w:rPr>
      </w:pPr>
    </w:p>
    <w:p>
      <w:pPr>
        <w:jc w:val="both"/>
        <w:ind w:left="1300" w:hanging="644"/>
        <w:spacing w:after="0" w:line="266"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up to 5,564,799 shares of Common Stock that are issuable upon exercise of certain currently outstanding warrants to purchase SomaLogic Common Stock (the “Private Placement Warrants”), all of which are authorized but heretofore unissued shares (the “Private Placement Warrant Shares”);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up to 6,127,190 shares of Common Stock that are issuable upon exercise of certain currently outstanding warrants to purchase SomaLogic Common Stock (the “Previously Public Warrants,” and together with the Private Placement Warrants, the “Warrants”), all of which are authorized but heretofore unissued shares (the “Previously Public Warrant Shares,” and together with the Private Placement Warrant Shares, the “Warrant Shares”); and</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of up to 26,736,975 shares of Common Stock, including up to 5,009,801 Private Placement Warrant Shares (collectively, the “Selling Stockholder Shares”).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Warrants were issued by SomaLogic pursuant to a Warrant Agreement, dated as of February 22, 2021, between SomaLogic and Continental Stock Transfer &amp; Trust Company, as warrant agent.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opinion is being rendered in connection with the filing of the Registration Statement with the Commission. All capitalized terms used herein and not otherwise defined shall have the respective meanings given to them in the Registration Statement.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this opinion, we have examined the Company’s Eighth Amended and Restated Certificate of Incorporation, as amended, and Amended and Restated Bylaws, each as currently in effect; such other records of the corporate proceedings of the Company and certificates of the Company’s officers as we have deemed relevant; and the Registration Statement and the exhibits thereto. 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p>
      <w:pPr>
        <w:ind w:left="1480"/>
        <w:spacing w:after="0"/>
        <w:tabs>
          <w:tab w:leader="none" w:pos="2320" w:val="left"/>
          <w:tab w:leader="none" w:pos="3560" w:val="left"/>
          <w:tab w:leader="none" w:pos="4300" w:val="left"/>
          <w:tab w:leader="none" w:pos="5360" w:val="left"/>
          <w:tab w:leader="none" w:pos="6420" w:val="left"/>
          <w:tab w:leader="none" w:pos="7840" w:val="left"/>
          <w:tab w:leader="none" w:pos="8800" w:val="left"/>
        </w:tabs>
        <w:rPr>
          <w:sz w:val="20"/>
          <w:szCs w:val="20"/>
          <w:color w:val="auto"/>
        </w:rPr>
      </w:pPr>
      <w:r>
        <w:rPr>
          <w:rFonts w:ascii="Times New Roman" w:cs="Times New Roman" w:eastAsia="Times New Roman" w:hAnsi="Times New Roman"/>
          <w:sz w:val="14"/>
          <w:szCs w:val="14"/>
          <w:color w:val="auto"/>
        </w:rPr>
        <w:t>BOSTON</w:t>
      </w:r>
      <w:r>
        <w:rPr>
          <w:sz w:val="20"/>
          <w:szCs w:val="20"/>
          <w:color w:val="auto"/>
        </w:rPr>
        <w:tab/>
      </w:r>
      <w:r>
        <w:rPr>
          <w:rFonts w:ascii="Times New Roman" w:cs="Times New Roman" w:eastAsia="Times New Roman" w:hAnsi="Times New Roman"/>
          <w:sz w:val="14"/>
          <w:szCs w:val="14"/>
          <w:color w:val="auto"/>
        </w:rPr>
        <w:t>LOS ANGELES</w:t>
      </w:r>
      <w:r>
        <w:rPr>
          <w:sz w:val="20"/>
          <w:szCs w:val="20"/>
          <w:color w:val="auto"/>
        </w:rPr>
        <w:tab/>
      </w:r>
      <w:r>
        <w:rPr>
          <w:rFonts w:ascii="Times New Roman" w:cs="Times New Roman" w:eastAsia="Times New Roman" w:hAnsi="Times New Roman"/>
          <w:sz w:val="14"/>
          <w:szCs w:val="14"/>
          <w:color w:val="auto"/>
        </w:rPr>
        <w:t>MIAMI</w:t>
      </w:r>
      <w:r>
        <w:rPr>
          <w:sz w:val="20"/>
          <w:szCs w:val="20"/>
          <w:color w:val="auto"/>
        </w:rPr>
        <w:tab/>
      </w:r>
      <w:r>
        <w:rPr>
          <w:rFonts w:ascii="Times New Roman" w:cs="Times New Roman" w:eastAsia="Times New Roman" w:hAnsi="Times New Roman"/>
          <w:sz w:val="14"/>
          <w:szCs w:val="14"/>
          <w:color w:val="auto"/>
        </w:rPr>
        <w:t>NEW YORK</w:t>
      </w:r>
      <w:r>
        <w:rPr>
          <w:sz w:val="20"/>
          <w:szCs w:val="20"/>
          <w:color w:val="auto"/>
        </w:rPr>
        <w:tab/>
      </w:r>
      <w:r>
        <w:rPr>
          <w:rFonts w:ascii="Times New Roman" w:cs="Times New Roman" w:eastAsia="Times New Roman" w:hAnsi="Times New Roman"/>
          <w:sz w:val="14"/>
          <w:szCs w:val="14"/>
          <w:color w:val="auto"/>
        </w:rPr>
        <w:t>SAN DIEGO</w:t>
      </w:r>
      <w:r>
        <w:rPr>
          <w:sz w:val="20"/>
          <w:szCs w:val="20"/>
          <w:color w:val="auto"/>
        </w:rPr>
        <w:tab/>
      </w:r>
      <w:r>
        <w:rPr>
          <w:rFonts w:ascii="Times New Roman" w:cs="Times New Roman" w:eastAsia="Times New Roman" w:hAnsi="Times New Roman"/>
          <w:sz w:val="14"/>
          <w:szCs w:val="14"/>
          <w:color w:val="auto"/>
        </w:rPr>
        <w:t>SAN FRANCISCO</w:t>
      </w:r>
      <w:r>
        <w:rPr>
          <w:sz w:val="20"/>
          <w:szCs w:val="20"/>
          <w:color w:val="auto"/>
        </w:rPr>
        <w:tab/>
      </w:r>
      <w:r>
        <w:rPr>
          <w:rFonts w:ascii="Times New Roman" w:cs="Times New Roman" w:eastAsia="Times New Roman" w:hAnsi="Times New Roman"/>
          <w:sz w:val="14"/>
          <w:szCs w:val="14"/>
          <w:color w:val="auto"/>
        </w:rPr>
        <w:t>TORONTO</w:t>
      </w:r>
      <w:r>
        <w:rPr>
          <w:sz w:val="20"/>
          <w:szCs w:val="20"/>
          <w:color w:val="auto"/>
        </w:rPr>
        <w:tab/>
      </w:r>
      <w:r>
        <w:rPr>
          <w:rFonts w:ascii="Times New Roman" w:cs="Times New Roman" w:eastAsia="Times New Roman" w:hAnsi="Times New Roman"/>
          <w:sz w:val="14"/>
          <w:szCs w:val="14"/>
          <w:color w:val="auto"/>
        </w:rPr>
        <w:t>WASHINGTON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6588760</wp:posOffset>
            </wp:positionH>
            <wp:positionV relativeFrom="paragraph">
              <wp:posOffset>-116840</wp:posOffset>
            </wp:positionV>
            <wp:extent cx="548640" cy="548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9">
                      <a:extLst>
                        <a:ext uri="{28A0092B-C50C-407E-A947-70E740481C1C}"/>
                      </a:extLst>
                    </a:blip>
                    <a:srcRect/>
                    <a:stretch>
                      <a:fillRect/>
                    </a:stretch>
                  </pic:blipFill>
                  <pic:spPr bwMode="auto">
                    <a:xfrm>
                      <a:off x="0" y="0"/>
                      <a:ext cx="548640" cy="54864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the Warrant Shares, we express no opinion to the extent that, notwithstanding the Company’s current reservation of shares of Common Stock, future issuances of securities of the Company, including the Warrant Shares and/or antidilution adjustments to outstanding securities of the Company may cause the number of shares issuable upon exercise of the Warrants for more shares of Common Stock than the number that then remain authorized but unissued.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and the truth and correctness of any representations and warranties contained therein.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opinion expressed herein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the assumptions set forth below, and subject to the qualifications and limitations set forth herein, we are of the opinion that:</w:t>
      </w:r>
    </w:p>
    <w:p>
      <w:pPr>
        <w:spacing w:after="0" w:line="162" w:lineRule="exact"/>
        <w:rPr>
          <w:sz w:val="20"/>
          <w:szCs w:val="20"/>
          <w:color w:val="auto"/>
        </w:rPr>
      </w:pPr>
    </w:p>
    <w:p>
      <w:pPr>
        <w:ind w:firstLine="656"/>
        <w:spacing w:after="0" w:line="282" w:lineRule="auto"/>
        <w:tabs>
          <w:tab w:leader="none" w:pos="133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have been duly authorized and, when issued and paid for upon exercise of the Warrants in accordance with the terms of the Warrants, will be validly issued, fully paid and nonassessable.</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3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Shares, other than the Private Placement Warrant Shares, are validly issued, fully paid and nonassessable. Any Private Placement Warrant Shares included in the Selling Stockholder Shares, when issued and paid for in accordance with the terms of the Private Placement Warrants, will be validly issued, fully paid and nonassessable.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assumed that at or prior to the time of the delivery of any of the Warrant Shares, the Registration Statement will have been declared effective under the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and to the use of our name under the caption “Legal Matters” in the Registration Statement and in the Prospectus forming a part thereof and any supplement thereto. In giving this consent, we do not admit that we are within the category of persons whose consent is required under Section 7 of the Securities Act or the rules and regulations of the Commission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6588760</wp:posOffset>
            </wp:positionH>
            <wp:positionV relativeFrom="paragraph">
              <wp:posOffset>-116840</wp:posOffset>
            </wp:positionV>
            <wp:extent cx="548640" cy="548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1">
                      <a:extLst>
                        <a:ext uri="{28A0092B-C50C-407E-A947-70E740481C1C}"/>
                      </a:extLst>
                    </a:blip>
                    <a:srcRect/>
                    <a:stretch>
                      <a:fillRect/>
                    </a:stretch>
                  </pic:blipFill>
                  <pic:spPr bwMode="auto">
                    <a:xfrm>
                      <a:off x="0" y="0"/>
                      <a:ext cx="548640" cy="54864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24765</wp:posOffset>
            </wp:positionV>
            <wp:extent cx="3566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Standard BioTools Inc. of our report dated March 14, 2023 relating to the financial statements and the effectiveness of internal control over financial reporting, which appears in Standard BioTools Inc.’s Annual Report on Form 10-K for the year ended December 31, 2022.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S-3) and related Prospectus of Standard BioTools Inc. for the registration of 38,428,964 shares of its common stock and to the incorporation by reference of our report dated March 28, 2023, with respect to the consolidated financial statements of SomaLogic, Inc. as of and for the years ended December 31, 2022 and 2021 included in the Amendment No. 1 to the Current Report on Form 8-K of Standard BioTools Inc., filed with the Securities and Exchange Commission on January 19,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380" w:type="dxa"/>
            <w:vAlign w:val="bottom"/>
            <w:tcBorders>
              <w:top w:val="single" w:sz="8" w:color="auto"/>
              <w:left w:val="single" w:sz="8" w:color="auto"/>
              <w:right w:val="single" w:sz="8" w:color="auto"/>
            </w:tcBorders>
          </w:tcPr>
          <w:p>
            <w:pPr>
              <w:spacing w:after="0"/>
              <w:rPr>
                <w:sz w:val="19"/>
                <w:szCs w:val="19"/>
                <w:color w:val="auto"/>
              </w:rPr>
            </w:pPr>
          </w:p>
        </w:tc>
        <w:tc>
          <w:tcPr>
            <w:tcW w:w="192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Proposed</w:t>
            </w:r>
          </w:p>
        </w:tc>
        <w:tc>
          <w:tcPr>
            <w:tcW w:w="1340" w:type="dxa"/>
            <w:vAlign w:val="bottom"/>
            <w:tcBorders>
              <w:top w:val="single" w:sz="8" w:color="auto"/>
              <w:right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200" w:type="dxa"/>
            <w:vAlign w:val="bottom"/>
          </w:tcPr>
          <w:p>
            <w:pPr>
              <w:spacing w:after="0"/>
              <w:rPr>
                <w:sz w:val="18"/>
                <w:szCs w:val="18"/>
                <w:color w:val="auto"/>
              </w:rPr>
            </w:pPr>
          </w:p>
        </w:tc>
        <w:tc>
          <w:tcPr>
            <w:tcW w:w="10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Fee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Security</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w:t>
            </w:r>
          </w:p>
        </w:tc>
        <w:tc>
          <w:tcPr>
            <w:tcW w:w="200" w:type="dxa"/>
            <w:vAlign w:val="bottom"/>
          </w:tcPr>
          <w:p>
            <w:pPr>
              <w:spacing w:after="0"/>
              <w:rPr>
                <w:sz w:val="18"/>
                <w:szCs w:val="18"/>
                <w:color w:val="auto"/>
              </w:rPr>
            </w:pPr>
          </w:p>
        </w:tc>
        <w:tc>
          <w:tcPr>
            <w:tcW w:w="106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Calculation</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Per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Offering</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w:t>
            </w:r>
          </w:p>
        </w:tc>
        <w:tc>
          <w:tcPr>
            <w:tcW w:w="0" w:type="dxa"/>
            <w:vAlign w:val="bottom"/>
          </w:tcPr>
          <w:p>
            <w:pPr>
              <w:spacing w:after="0"/>
              <w:rPr>
                <w:sz w:val="1"/>
                <w:szCs w:val="1"/>
                <w:color w:val="auto"/>
              </w:rPr>
            </w:pPr>
          </w:p>
        </w:tc>
      </w:tr>
      <w:tr>
        <w:trPr>
          <w:trHeight w:val="241"/>
        </w:trPr>
        <w:tc>
          <w:tcPr>
            <w:tcW w:w="1380" w:type="dxa"/>
            <w:vAlign w:val="bottom"/>
            <w:tcBorders>
              <w:left w:val="single" w:sz="8" w:color="auto"/>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Type</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Title</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Rule</w:t>
            </w:r>
          </w:p>
        </w:tc>
        <w:tc>
          <w:tcPr>
            <w:tcW w:w="134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Price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0" w:type="dxa"/>
            <w:vAlign w:val="bottom"/>
          </w:tcPr>
          <w:p>
            <w:pPr>
              <w:spacing w:after="0"/>
              <w:rPr>
                <w:sz w:val="1"/>
                <w:szCs w:val="1"/>
                <w:color w:val="auto"/>
              </w:rPr>
            </w:pPr>
          </w:p>
        </w:tc>
      </w:tr>
      <w:tr>
        <w:trPr>
          <w:trHeight w:val="211"/>
        </w:trPr>
        <w:tc>
          <w:tcPr>
            <w:tcW w:w="1380" w:type="dxa"/>
            <w:vAlign w:val="bottom"/>
            <w:tcBorders>
              <w:left w:val="single" w:sz="8" w:color="auto"/>
              <w:right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Equity</w:t>
            </w:r>
          </w:p>
        </w:tc>
        <w:tc>
          <w:tcPr>
            <w:tcW w:w="1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 $0.001</w:t>
            </w:r>
          </w:p>
        </w:tc>
        <w:tc>
          <w:tcPr>
            <w:tcW w:w="200" w:type="dxa"/>
            <w:vAlign w:val="bottom"/>
          </w:tcPr>
          <w:p>
            <w:pPr>
              <w:spacing w:after="0"/>
              <w:rPr>
                <w:sz w:val="18"/>
                <w:szCs w:val="18"/>
                <w:color w:val="auto"/>
              </w:rPr>
            </w:pPr>
          </w:p>
        </w:tc>
        <w:tc>
          <w:tcPr>
            <w:tcW w:w="1060" w:type="dxa"/>
            <w:vAlign w:val="bottom"/>
            <w:tcBorders>
              <w:right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457(c)</w:t>
            </w:r>
          </w:p>
        </w:tc>
        <w:tc>
          <w:tcPr>
            <w:tcW w:w="13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38,428,964 (2)</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$2.275(3)</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$87,425,893.10</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$0.00014760</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$12,904.07</w:t>
            </w:r>
          </w:p>
        </w:tc>
        <w:tc>
          <w:tcPr>
            <w:tcW w:w="0" w:type="dxa"/>
            <w:vAlign w:val="bottom"/>
          </w:tcPr>
          <w:p>
            <w:pPr>
              <w:spacing w:after="0"/>
              <w:rPr>
                <w:sz w:val="1"/>
                <w:szCs w:val="1"/>
                <w:color w:val="auto"/>
              </w:rPr>
            </w:pPr>
          </w:p>
        </w:tc>
      </w:tr>
      <w:tr>
        <w:trPr>
          <w:trHeight w:val="126"/>
        </w:trPr>
        <w:tc>
          <w:tcPr>
            <w:tcW w:w="1380" w:type="dxa"/>
            <w:vAlign w:val="bottom"/>
            <w:tcBorders>
              <w:left w:val="single" w:sz="8" w:color="auto"/>
              <w:right w:val="single" w:sz="8" w:color="auto"/>
            </w:tcBorders>
            <w:vMerge w:val="continue"/>
          </w:tcPr>
          <w:p>
            <w:pPr>
              <w:spacing w:after="0"/>
              <w:rPr>
                <w:sz w:val="10"/>
                <w:szCs w:val="10"/>
                <w:color w:val="auto"/>
              </w:rPr>
            </w:pPr>
          </w:p>
        </w:tc>
        <w:tc>
          <w:tcPr>
            <w:tcW w:w="1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par value per share</w:t>
            </w:r>
          </w:p>
        </w:tc>
        <w:tc>
          <w:tcPr>
            <w:tcW w:w="20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380" w:type="dxa"/>
            <w:vAlign w:val="bottom"/>
            <w:tcBorders>
              <w:left w:val="single" w:sz="8" w:color="auto"/>
              <w:bottom w:val="single" w:sz="8" w:color="auto"/>
            </w:tcBorders>
          </w:tcPr>
          <w:p>
            <w:pPr>
              <w:spacing w:after="0"/>
              <w:rPr>
                <w:sz w:val="19"/>
                <w:szCs w:val="19"/>
                <w:color w:val="auto"/>
              </w:rPr>
            </w:pPr>
          </w:p>
        </w:tc>
        <w:tc>
          <w:tcPr>
            <w:tcW w:w="318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3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$87,425,893.10</w:t>
            </w:r>
          </w:p>
        </w:tc>
        <w:tc>
          <w:tcPr>
            <w:tcW w:w="13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$12,904.07</w:t>
            </w: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tcBorders>
          </w:tcPr>
          <w:p>
            <w:pPr>
              <w:spacing w:after="0"/>
              <w:rPr>
                <w:sz w:val="19"/>
                <w:szCs w:val="19"/>
                <w:color w:val="auto"/>
              </w:rPr>
            </w:pPr>
          </w:p>
        </w:tc>
        <w:tc>
          <w:tcPr>
            <w:tcW w:w="318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13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tcBorders>
          </w:tcPr>
          <w:p>
            <w:pPr>
              <w:spacing w:after="0"/>
              <w:rPr>
                <w:sz w:val="19"/>
                <w:szCs w:val="19"/>
                <w:color w:val="auto"/>
              </w:rPr>
            </w:pPr>
          </w:p>
        </w:tc>
        <w:tc>
          <w:tcPr>
            <w:tcW w:w="318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3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tcBorders>
          </w:tcPr>
          <w:p>
            <w:pPr>
              <w:spacing w:after="0"/>
              <w:rPr>
                <w:sz w:val="19"/>
                <w:szCs w:val="19"/>
                <w:color w:val="auto"/>
              </w:rPr>
            </w:pPr>
          </w:p>
        </w:tc>
        <w:tc>
          <w:tcPr>
            <w:tcW w:w="2120" w:type="dxa"/>
            <w:vAlign w:val="bottom"/>
            <w:tcBorders>
              <w:bottom w:val="single" w:sz="8" w:color="auto"/>
            </w:tcBorders>
            <w:gridSpan w:val="2"/>
          </w:tcPr>
          <w:p>
            <w:pPr>
              <w:jc w:val="center"/>
              <w:ind w:left="1070"/>
              <w:spacing w:after="0"/>
              <w:rPr>
                <w:sz w:val="20"/>
                <w:szCs w:val="20"/>
                <w:color w:val="auto"/>
              </w:rPr>
            </w:pPr>
            <w:r>
              <w:rPr>
                <w:rFonts w:ascii="Times New Roman" w:cs="Times New Roman" w:eastAsia="Times New Roman" w:hAnsi="Times New Roman"/>
                <w:sz w:val="18"/>
                <w:szCs w:val="18"/>
                <w:color w:val="auto"/>
              </w:rPr>
              <w:t>Net Fee Due</w:t>
            </w:r>
          </w:p>
        </w:tc>
        <w:tc>
          <w:tcPr>
            <w:tcW w:w="106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$12,904.07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Standard BioTools Inc. (the “Registrant”) is also registering an indeterminate number of additional shares of common stock, par value $0.001 per share (“Standard BioTools Common Stock”), that may become issuable as a result of any stock dividend, stock split, recapitalization or other similar transaction.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7"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26,736,975 shares of Standard BioTools Common Stock registered for sale by the selling securityholders named in this registration statement (including 5,009,801 of the shares of Standard BioTools Common Stock referred to in the following clause (ii)), (ii) 5,564,799 shares of Standard BioTools Common Stock issuable upon the exercise of Private Placement Warrants (as defined in the registration statement), and</w:t>
      </w:r>
    </w:p>
    <w:p>
      <w:pPr>
        <w:spacing w:after="0" w:line="1" w:lineRule="exact"/>
        <w:rPr>
          <w:rFonts w:ascii="Times New Roman" w:cs="Times New Roman" w:eastAsia="Times New Roman" w:hAnsi="Times New Roman"/>
          <w:sz w:val="18"/>
          <w:szCs w:val="18"/>
          <w:color w:val="auto"/>
        </w:rPr>
      </w:pPr>
    </w:p>
    <w:p>
      <w:pPr>
        <w:ind w:left="660" w:hanging="4"/>
        <w:spacing w:after="0" w:line="260" w:lineRule="auto"/>
        <w:tabs>
          <w:tab w:leader="none" w:pos="101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6,127,190 shares of Standard BioTools Common Stock issuable upon the exercise of Public Warrants (as defined in the registration statement).</w:t>
      </w:r>
    </w:p>
    <w:p>
      <w:pPr>
        <w:spacing w:after="0" w:line="18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457(c) under the Securities Act, and solely for the purpose of calculating the registration fee, the proposed maximum offering price per share is $2.275, which is the average of the high and low prices of the Standard BioTools Common Stock on January 16, 2024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lowerRoman"/>
      <w:start w:val="2"/>
    </w:lvl>
  </w:abstractNum>
  <w:abstractNum w:abstractNumId="3">
    <w:nsid w:val="519B500D"/>
    <w:multiLevelType w:val="hybridMultilevel"/>
    <w:lvl w:ilvl="0">
      <w:lvlJc w:val="left"/>
      <w:lvlText w:val="*"/>
      <w:numFmt w:val="bullet"/>
      <w:start w:val="1"/>
    </w:lvl>
    <w:lvl w:ilvl="1">
      <w:lvlJc w:val="left"/>
      <w:lvlText w:val="(%2)"/>
      <w:numFmt w:val="decimal"/>
      <w:start w:val="1"/>
    </w:lvl>
  </w:abstractNum>
  <w:abstractNum w:abstractNumId="4">
    <w:nsid w:val="431BD7B7"/>
    <w:multiLevelType w:val="hybridMultilevel"/>
    <w:lvl w:ilvl="0">
      <w:lvlJc w:val="left"/>
      <w:lvlText w:val="(%1)"/>
      <w:numFmt w:val="decimal"/>
      <w:start w:val="5"/>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3"/>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2">
    <w:nsid w:val="54E49EB4"/>
    <w:multiLevelType w:val="hybridMultilevel"/>
    <w:lvl w:ilvl="0">
      <w:lvlJc w:val="left"/>
      <w:lvlText w:val="(%1)"/>
      <w:numFmt w:val="decimal"/>
      <w:start w:val="2"/>
    </w:lvl>
  </w:abstractNum>
  <w:abstractNum w:abstractNumId="23">
    <w:nsid w:val="71F32454"/>
    <w:multiLevelType w:val="hybridMultilevel"/>
    <w:lvl w:ilvl="0">
      <w:lvlJc w:val="left"/>
      <w:lvlText w:val="(%1)"/>
      <w:numFmt w:val="decimal"/>
      <w:start w:val="5"/>
    </w:lvl>
    <w:lvl w:ilvl="1">
      <w:lvlJc w:val="left"/>
      <w:lvlText w:val="(%2)"/>
      <w:numFmt w:val="upperLetter"/>
      <w:start w:val="1"/>
    </w:lvl>
  </w:abstractNum>
  <w:abstractNum w:abstractNumId="24">
    <w:nsid w:val="2CA88611"/>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25">
    <w:nsid w:val="836C40E"/>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6">
    <w:nsid w:val="2901D82"/>
    <w:multiLevelType w:val="hybridMultilevel"/>
    <w:lvl w:ilvl="0">
      <w:lvlJc w:val="left"/>
      <w:lvlText w:val="(%1)"/>
      <w:numFmt w:val="lowerLetter"/>
      <w:start w:val="8"/>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lowerRoman"/>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jpe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83" Type="http://schemas.openxmlformats.org/officeDocument/2006/relationships/image" Target="media/image52.png"/><Relationship Id="rId84" Type="http://schemas.openxmlformats.org/officeDocument/2006/relationships/image" Target="media/image53.png"/><Relationship Id="rId85" Type="http://schemas.openxmlformats.org/officeDocument/2006/relationships/image" Target="media/image54.png"/><Relationship Id="rId86" Type="http://schemas.openxmlformats.org/officeDocument/2006/relationships/image" Target="media/image55.jpeg"/><Relationship Id="rId87" Type="http://schemas.openxmlformats.org/officeDocument/2006/relationships/image" Target="media/image56.png"/><Relationship Id="rId88" Type="http://schemas.openxmlformats.org/officeDocument/2006/relationships/image" Target="media/image57.png"/><Relationship Id="rId89" Type="http://schemas.openxmlformats.org/officeDocument/2006/relationships/image" Target="media/image58.jpeg"/><Relationship Id="rId90" Type="http://schemas.openxmlformats.org/officeDocument/2006/relationships/image" Target="media/image59.png"/><Relationship Id="rId91" Type="http://schemas.openxmlformats.org/officeDocument/2006/relationships/image" Target="media/image60.jpeg"/><Relationship Id="rId92" Type="http://schemas.openxmlformats.org/officeDocument/2006/relationships/image" Target="media/image61.png"/><Relationship Id="rId93" Type="http://schemas.openxmlformats.org/officeDocument/2006/relationships/image" Target="media/image62.png"/><Relationship Id="rId94" Type="http://schemas.openxmlformats.org/officeDocument/2006/relationships/image" Target="media/image63.png"/><Relationship Id="rId95" Type="http://schemas.openxmlformats.org/officeDocument/2006/relationships/image" Target="media/image64.png"/><Relationship Id="rId96" Type="http://schemas.openxmlformats.org/officeDocument/2006/relationships/image" Target="media/image65.png"/><Relationship Id="rId48" Type="http://schemas.openxmlformats.org/officeDocument/2006/relationships/hyperlink" Target="https://www.sec.gov/ix?doc=/Archives/edgar/data/1162194/000116219423000013/fldm-20221231.htm" TargetMode="External"/><Relationship Id="rId50" Type="http://schemas.openxmlformats.org/officeDocument/2006/relationships/hyperlink" Target="http://www.sec.gov/ix?doc=/Archives/edgar/data/1162194/000116219423000013/fldm-20221231.htm" TargetMode="External"/><Relationship Id="rId51" Type="http://schemas.openxmlformats.org/officeDocument/2006/relationships/hyperlink" Target="https://www.sec.gov/ix?doc=/Archives/edgar/data/1162194/000116219423000024/lab-20230331.htm" TargetMode="External"/><Relationship Id="rId52" Type="http://schemas.openxmlformats.org/officeDocument/2006/relationships/hyperlink" Target="https://www.sec.gov/ix?doc=/Archives/edgar/data/1162194/000162828023028287/lab-20230630.htm" TargetMode="External"/><Relationship Id="rId53" Type="http://schemas.openxmlformats.org/officeDocument/2006/relationships/hyperlink" Target="https://www.sec.gov/ix?doc=/Archives/edgar/data/1162194/000095017023060385/lab-20230930.htm" TargetMode="External"/><Relationship Id="rId54" Type="http://schemas.openxmlformats.org/officeDocument/2006/relationships/hyperlink" Target="http://www.sec.gov/Archives/edgar/data/1162194/000095014223001246/eh230354030_def14a.htm" TargetMode="External"/><Relationship Id="rId55" Type="http://schemas.openxmlformats.org/officeDocument/2006/relationships/hyperlink" Target="https://www.sec.gov/ix?doc=/Archives/edgar/data/1162194/000116219423000053/lab-20230724.htm" TargetMode="External"/><Relationship Id="rId56" Type="http://schemas.openxmlformats.org/officeDocument/2006/relationships/hyperlink" Target="https://www.sec.gov/ix?doc=/Archives/edgar/data/1162194/000110465924001640/tm2333984d3_8k.htm" TargetMode="External"/><Relationship Id="rId57" Type="http://schemas.openxmlformats.org/officeDocument/2006/relationships/hyperlink" Target="https://www.sec.gov/ix?doc=/Archives/edgar/data/1162194/000110465924005246/tm243472d1_8ka.htm" TargetMode="External"/><Relationship Id="rId58" Type="http://schemas.openxmlformats.org/officeDocument/2006/relationships/hyperlink" Target="http://www.sec.gov/Archives/edgar/data/1162194/000119312511025057/d8a12b.htm" TargetMode="External"/><Relationship Id="rId69" Type="http://schemas.openxmlformats.org/officeDocument/2006/relationships/hyperlink" Target="https://www.sec.gov/Archives/edgar/data/1162194/000110465923106606/tm2327474d1_ex2-1.htm" TargetMode="External"/><Relationship Id="rId70" Type="http://schemas.openxmlformats.org/officeDocument/2006/relationships/hyperlink" Target="https://www.sec.gov/Archives/edgar/data/1162194/000119312511078412/dex31.htm" TargetMode="External"/><Relationship Id="rId71" Type="http://schemas.openxmlformats.org/officeDocument/2006/relationships/hyperlink" Target="https://www.sec.gov/Archives/edgar/data/1162194/000119312522093794/d300506dex48.htm" TargetMode="External"/><Relationship Id="rId72" Type="http://schemas.openxmlformats.org/officeDocument/2006/relationships/hyperlink" Target="https://www.sec.gov/Archives/edgar/data/1162194/000119312522093794/d300506dex43.htm" TargetMode="External"/><Relationship Id="rId73" Type="http://schemas.openxmlformats.org/officeDocument/2006/relationships/hyperlink" Target="https://www.sec.gov/Archives/edgar/data/1162194/000110465924001640/tm2333984d3_ex3-1.htm" TargetMode="External"/><Relationship Id="rId74" Type="http://schemas.openxmlformats.org/officeDocument/2006/relationships/hyperlink" Target="https://www.sec.gov/Archives/edgar/data/1162194/000119312522093794/d300506dex41.htm" TargetMode="External"/><Relationship Id="rId75" Type="http://schemas.openxmlformats.org/officeDocument/2006/relationships/hyperlink" Target="https://www.sec.gov/Archives/edgar/data/1162194/000119312516774501/d294669dex31.htm" TargetMode="External"/><Relationship Id="rId76" Type="http://schemas.openxmlformats.org/officeDocument/2006/relationships/hyperlink" Target="https://www.sec.gov/Archives/edgar/data/1162194/000114420417039703/v471897_ex3-1.htm" TargetMode="External"/><Relationship Id="rId77" Type="http://schemas.openxmlformats.org/officeDocument/2006/relationships/hyperlink" Target="https://www.sec.gov/Archives/edgar/data/1162194/000119312522096290/d314141dex36.htm" TargetMode="External"/><Relationship Id="rId78" Type="http://schemas.openxmlformats.org/officeDocument/2006/relationships/hyperlink" Target="https://www.sec.gov/Archives/edgar/data/1162194/000119312522096290/d314141dex37.htm" TargetMode="External"/><Relationship Id="rId79" Type="http://schemas.openxmlformats.org/officeDocument/2006/relationships/hyperlink" Target="https://www.sec.gov/Archives/edgar/data/1162194/000110465919066659/tm1923592d1_ex4-1.htm" TargetMode="External"/><Relationship Id="rId80" Type="http://schemas.openxmlformats.org/officeDocument/2006/relationships/hyperlink" Target="https://www.sec.gov/Archives/edgar/data/1162194/000119312522036985/d307863dex101.htm" TargetMode="External"/><Relationship Id="rId81" Type="http://schemas.openxmlformats.org/officeDocument/2006/relationships/hyperlink" Target="https://www.sec.gov/Archives/edgar/data/1162194/000119312522016151/d243622dex102.htm" TargetMode="External"/><Relationship Id="rId82" Type="http://schemas.openxmlformats.org/officeDocument/2006/relationships/hyperlink" Target="https://www.sec.gov/Archives/edgar/data/1837412/000121390021011765/ea136455ex10-1_cmlife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2024-01-19T16:19:27Z</dcterms:created>
  <dcterms:modified xsi:type="dcterms:W3CDTF">2024-01-19T16:19:27Z</dcterms:modified>
</cp:coreProperties>
</file>