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56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568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BARTHELEMY NICOLAS</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2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240" w:type="dxa"/>
            <w:vAlign w:val="bottom"/>
            <w:gridSpan w:val="2"/>
            <w:vMerge w:val="restart"/>
          </w:tcPr>
          <w:p>
            <w:pPr>
              <w:ind w:left="160"/>
              <w:spacing w:after="0" w:line="157" w:lineRule="exact"/>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6"/>
                <w:szCs w:val="6"/>
                <w:color w:val="auto"/>
              </w:rPr>
            </w:pPr>
          </w:p>
        </w:tc>
        <w:tc>
          <w:tcPr>
            <w:tcW w:w="1540" w:type="dxa"/>
            <w:vAlign w:val="bottom"/>
            <w:gridSpan w:val="4"/>
            <w:vMerge w:val="restart"/>
          </w:tcPr>
          <w:p>
            <w:pPr>
              <w:ind w:left="26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2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FLUIDIGM CORPORATION</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08/01/2017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40" w:type="dxa"/>
            <w:vAlign w:val="bottom"/>
            <w:gridSpan w:val="9"/>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3"/>
                <w:szCs w:val="13"/>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540" w:type="dxa"/>
            <w:vAlign w:val="bottom"/>
            <w:gridSpan w:val="10"/>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1280" w:type="dxa"/>
            <w:vAlign w:val="bottom"/>
            <w:gridSpan w:val="3"/>
            <w:vMerge w:val="restart"/>
          </w:tcPr>
          <w:p>
            <w:pPr>
              <w:ind w:left="4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128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gridSpan w:val="2"/>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20" w:type="dxa"/>
            <w:vAlign w:val="bottom"/>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20"/>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9"/>
          </w:tcPr>
          <w:p>
            <w:pPr>
              <w:ind w:left="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8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20" w:type="dxa"/>
            <w:vAlign w:val="bottom"/>
            <w:vMerge w:val="restart"/>
          </w:tcPr>
          <w:p>
            <w:pPr>
              <w:jc w:val="right"/>
              <w:ind w:right="8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40" w:type="dxa"/>
            <w:vAlign w:val="bottom"/>
            <w:vMerge w:val="restart"/>
          </w:tcPr>
          <w:p>
            <w:pPr>
              <w:jc w:val="right"/>
              <w:ind w:right="28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5,000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Stock</w:t>
            </w:r>
          </w:p>
        </w:tc>
        <w:tc>
          <w:tcPr>
            <w:tcW w:w="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right"/>
              <w:ind w:right="72"/>
              <w:spacing w:after="0" w:line="133" w:lineRule="exact"/>
              <w:rPr>
                <w:sz w:val="20"/>
                <w:szCs w:val="20"/>
                <w:color w:val="auto"/>
              </w:rPr>
            </w:pPr>
            <w:r>
              <w:rPr>
                <w:rFonts w:ascii="Arial" w:cs="Arial" w:eastAsia="Arial" w:hAnsi="Arial"/>
                <w:sz w:val="14"/>
                <w:szCs w:val="14"/>
                <w:color w:val="0000FF"/>
              </w:rPr>
              <w:t>08/01/2017</w:t>
            </w: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ind w:left="80"/>
              <w:spacing w:after="0" w:line="133" w:lineRule="exact"/>
              <w:rPr>
                <w:sz w:val="20"/>
                <w:szCs w:val="20"/>
                <w:color w:val="auto"/>
              </w:rPr>
            </w:pPr>
            <w:r>
              <w:rPr>
                <w:rFonts w:ascii="Arial" w:cs="Arial" w:eastAsia="Arial" w:hAnsi="Arial"/>
                <w:sz w:val="14"/>
                <w:szCs w:val="14"/>
                <w:color w:val="0000FF"/>
              </w:rPr>
              <w:t>A</w:t>
            </w:r>
          </w:p>
        </w:tc>
        <w:tc>
          <w:tcPr>
            <w:tcW w:w="600" w:type="dxa"/>
            <w:vAlign w:val="bottom"/>
          </w:tcPr>
          <w:p>
            <w:pPr>
              <w:ind w:left="200"/>
              <w:spacing w:after="0" w:line="133" w:lineRule="exact"/>
              <w:rPr>
                <w:sz w:val="20"/>
                <w:szCs w:val="20"/>
                <w:color w:val="auto"/>
              </w:rPr>
            </w:pPr>
            <w:r>
              <w:rPr>
                <w:rFonts w:ascii="Arial" w:cs="Arial" w:eastAsia="Arial" w:hAnsi="Arial"/>
                <w:sz w:val="14"/>
                <w:szCs w:val="14"/>
                <w:color w:val="0000FF"/>
              </w:rPr>
              <w:t>5,000</w:t>
            </w:r>
          </w:p>
        </w:tc>
        <w:tc>
          <w:tcPr>
            <w:tcW w:w="34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60"/>
              <w:spacing w:after="0" w:line="133" w:lineRule="exact"/>
              <w:rPr>
                <w:sz w:val="20"/>
                <w:szCs w:val="20"/>
                <w:color w:val="auto"/>
              </w:rPr>
            </w:pPr>
            <w:r>
              <w:rPr>
                <w:rFonts w:ascii="Arial" w:cs="Arial" w:eastAsia="Arial" w:hAnsi="Arial"/>
                <w:sz w:val="14"/>
                <w:szCs w:val="14"/>
                <w:color w:val="0000FF"/>
                <w:w w:val="91"/>
              </w:rPr>
              <w:t>5,000</w:t>
            </w:r>
          </w:p>
        </w:tc>
        <w:tc>
          <w:tcPr>
            <w:tcW w:w="30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62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3.43</w:t>
            </w:r>
          </w:p>
        </w:tc>
        <w:tc>
          <w:tcPr>
            <w:tcW w:w="200" w:type="dxa"/>
            <w:vAlign w:val="bottom"/>
          </w:tcPr>
          <w:p>
            <w:pPr>
              <w:spacing w:after="0"/>
              <w:rPr>
                <w:sz w:val="17"/>
                <w:szCs w:val="17"/>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0000FF"/>
              </w:rPr>
              <w:t>08/01/2017</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ind w:left="80"/>
              <w:spacing w:after="0"/>
              <w:rPr>
                <w:sz w:val="20"/>
                <w:szCs w:val="20"/>
                <w:color w:val="auto"/>
              </w:rPr>
            </w:pPr>
            <w:r>
              <w:rPr>
                <w:rFonts w:ascii="Arial" w:cs="Arial" w:eastAsia="Arial" w:hAnsi="Arial"/>
                <w:sz w:val="14"/>
                <w:szCs w:val="14"/>
                <w:color w:val="0000FF"/>
              </w:rPr>
              <w:t>A</w:t>
            </w:r>
          </w:p>
        </w:tc>
        <w:tc>
          <w:tcPr>
            <w:tcW w:w="600" w:type="dxa"/>
            <w:vAlign w:val="bottom"/>
          </w:tcPr>
          <w:p>
            <w:pPr>
              <w:ind w:left="200"/>
              <w:spacing w:after="0"/>
              <w:rPr>
                <w:sz w:val="20"/>
                <w:szCs w:val="20"/>
                <w:color w:val="auto"/>
              </w:rPr>
            </w:pPr>
            <w:r>
              <w:rPr>
                <w:rFonts w:ascii="Arial" w:cs="Arial" w:eastAsia="Arial" w:hAnsi="Arial"/>
                <w:sz w:val="14"/>
                <w:szCs w:val="14"/>
                <w:color w:val="0000FF"/>
              </w:rPr>
              <w:t>5,000</w:t>
            </w:r>
          </w:p>
        </w:tc>
        <w:tc>
          <w:tcPr>
            <w:tcW w:w="340" w:type="dxa"/>
            <w:vAlign w:val="bottom"/>
          </w:tcPr>
          <w:p>
            <w:pPr>
              <w:spacing w:after="0"/>
              <w:rPr>
                <w:sz w:val="17"/>
                <w:szCs w:val="17"/>
                <w:color w:val="auto"/>
              </w:rPr>
            </w:pPr>
          </w:p>
        </w:tc>
        <w:tc>
          <w:tcPr>
            <w:tcW w:w="780" w:type="dxa"/>
            <w:vAlign w:val="bottom"/>
            <w:gridSpan w:val="3"/>
          </w:tcPr>
          <w:p>
            <w:pPr>
              <w:ind w:left="280"/>
              <w:spacing w:after="0"/>
              <w:rPr>
                <w:sz w:val="20"/>
                <w:szCs w:val="20"/>
                <w:color w:val="auto"/>
              </w:rPr>
            </w:pPr>
            <w:r>
              <w:rPr>
                <w:rFonts w:ascii="Arial" w:cs="Arial" w:eastAsia="Arial" w:hAnsi="Arial"/>
                <w:sz w:val="11"/>
                <w:szCs w:val="11"/>
                <w:color w:val="008000"/>
              </w:rPr>
              <w:t>(3)</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0000FF"/>
                <w:w w:val="91"/>
              </w:rPr>
              <w:t>08/01/2027</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5,000</w:t>
            </w:r>
          </w:p>
        </w:tc>
        <w:tc>
          <w:tcPr>
            <w:tcW w:w="4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5,000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4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shares underlying the Restricted Stock Units will fully vest on the earlier to occur of one day prior to the date of the next annual meeting of the stockholders of the Company or August 1, 2018, subject to continued service as a director through the vesting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1/12th of the shares subject to the Option will vest monthly, subject to continued service as a director, such that the Option will be fully vested on August 1, 2018.</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Nicholas Khadder,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08/02/2017</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6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3576"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2019-12-04T00:42:54Z</dcterms:created>
  <dcterms:modified xsi:type="dcterms:W3CDTF">2019-12-04T00:42:54Z</dcterms:modified>
</cp:coreProperties>
</file>