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11/20/2025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19,661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779,835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3 and Form 4 filed with the U.S. Securities and Exchange Commission on September 3, 2024 and March 24, 2025, respectively.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11/24/2025</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2025-11-24T16:35:33Z</dcterms:created>
  <dcterms:modified xsi:type="dcterms:W3CDTF">2025-11-24T16:35:33Z</dcterms:modified>
</cp:coreProperties>
</file>