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(Mark One)</w:t>
      </w:r>
    </w:p>
    <w:p>
      <w:pPr>
        <w:pStyle w:val="TextBody"/>
        <w:bidi w:val="0"/>
        <w:spacing w:lineRule="auto" w:line="288" w:before="0" w:after="0"/>
        <w:ind w:left="0" w:right="0" w:hanging="450"/>
        <w:jc w:val="left"/>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0" w:after="0"/>
        <w:ind w:left="0" w:right="0" w:firstLine="495"/>
        <w:jc w:val="center"/>
        <w:rPr>
          <w:rFonts w:ascii="Times New Roman;sans-serif" w:hAnsi="Times New Roman;sans-serif"/>
          <w:b/>
          <w:color w:val="000000"/>
          <w:sz w:val="24"/>
        </w:rPr>
      </w:pPr>
      <w:r>
        <w:rPr>
          <w:rFonts w:ascii="Times New Roman;sans-serif" w:hAnsi="Times New Roman;sans-serif"/>
          <w:b/>
          <w:color w:val="000000"/>
          <w:sz w:val="24"/>
        </w:rPr>
        <w:t xml:space="preserve">For the quarterly period ended June 30, 2023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or</w:t>
      </w:r>
    </w:p>
    <w:p>
      <w:pPr>
        <w:pStyle w:val="TextBody"/>
        <w:bidi w:val="0"/>
        <w:spacing w:lineRule="auto" w:line="288" w:before="0" w:after="0"/>
        <w:ind w:left="0" w:right="0" w:hanging="360"/>
        <w:jc w:val="left"/>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the transition period from              to</w:t>
      </w:r>
    </w:p>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 xml:space="preserve">Commission file number: 001-34180 </w:t>
      </w:r>
    </w:p>
    <w:p>
      <w:pPr>
        <w:pStyle w:val="TextBody"/>
        <w:bidi w:val="0"/>
        <w:spacing w:before="80" w:after="283"/>
        <w:jc w:val="center"/>
        <w:rPr/>
      </w:pPr>
      <w:r>
        <w:rPr/>
        <w:drawing>
          <wp:inline distT="0" distB="0" distL="0" distR="0">
            <wp:extent cx="142875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028700"/>
                    </a:xfrm>
                    <a:prstGeom prst="rect">
                      <a:avLst/>
                    </a:prstGeom>
                  </pic:spPr>
                </pic:pic>
              </a:graphicData>
            </a:graphic>
          </wp:inline>
        </w:drawing>
      </w:r>
    </w:p>
    <w:p>
      <w:pPr>
        <w:pStyle w:val="TextBody"/>
        <w:bidi w:val="0"/>
        <w:spacing w:before="80" w:after="283"/>
        <w:jc w:val="center"/>
        <w:rPr/>
      </w:pPr>
      <w:r>
        <w:rPr/>
      </w:r>
    </w:p>
    <w:p>
      <w:pPr>
        <w:pStyle w:val="TextBody"/>
        <w:bidi w:val="0"/>
        <w:spacing w:lineRule="auto" w:line="288" w:before="40" w:after="283"/>
        <w:jc w:val="center"/>
        <w:rPr>
          <w:rFonts w:ascii="Times New Roman;sans-serif" w:hAnsi="Times New Roman;sans-serif"/>
          <w:b/>
          <w:color w:val="000000"/>
          <w:sz w:val="44"/>
        </w:rPr>
      </w:pPr>
      <w:r>
        <w:rPr>
          <w:rFonts w:ascii="Times New Roman;sans-serif" w:hAnsi="Times New Roman;sans-serif"/>
          <w:b/>
          <w:color w:val="000000"/>
          <w:sz w:val="44"/>
        </w:rPr>
        <w:t xml:space="preserve">STANDARD BIOTOOLS INC. </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121" w:type="dxa"/>
        <w:jc w:val="center"/>
        <w:tblInd w:w="0" w:type="dxa"/>
        <w:tblLayout w:type="fixed"/>
        <w:tblCellMar>
          <w:top w:w="28" w:type="dxa"/>
          <w:left w:w="28" w:type="dxa"/>
          <w:bottom w:w="28" w:type="dxa"/>
          <w:right w:w="28" w:type="dxa"/>
        </w:tblCellMar>
      </w:tblPr>
      <w:tblGrid>
        <w:gridCol w:w="520"/>
        <w:gridCol w:w="457"/>
        <w:gridCol w:w="457"/>
        <w:gridCol w:w="457"/>
        <w:gridCol w:w="457"/>
        <w:gridCol w:w="457"/>
        <w:gridCol w:w="457"/>
        <w:gridCol w:w="457"/>
        <w:gridCol w:w="480"/>
        <w:gridCol w:w="109"/>
        <w:gridCol w:w="109"/>
        <w:gridCol w:w="109"/>
        <w:gridCol w:w="758"/>
        <w:gridCol w:w="758"/>
        <w:gridCol w:w="1079"/>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4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77-0513190</w:t>
            </w:r>
          </w:p>
        </w:tc>
      </w:tr>
      <w:tr>
        <w:trPr/>
        <w:tc>
          <w:tcPr>
            <w:tcW w:w="4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1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9"/>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2 Tower Place, Suite 2000</w:t>
            </w:r>
          </w:p>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South San Francisco,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4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(650) 266-6000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414" w:type="dxa"/>
        <w:jc w:val="left"/>
        <w:tblInd w:w="0" w:type="dxa"/>
        <w:tblLayout w:type="fixed"/>
        <w:tblCellMar>
          <w:top w:w="28" w:type="dxa"/>
          <w:left w:w="28" w:type="dxa"/>
          <w:bottom w:w="28" w:type="dxa"/>
          <w:right w:w="28" w:type="dxa"/>
        </w:tblCellMar>
      </w:tblPr>
      <w:tblGrid>
        <w:gridCol w:w="1365"/>
        <w:gridCol w:w="1192"/>
        <w:gridCol w:w="1208"/>
        <w:gridCol w:w="474"/>
        <w:gridCol w:w="474"/>
        <w:gridCol w:w="476"/>
        <w:gridCol w:w="945"/>
        <w:gridCol w:w="945"/>
        <w:gridCol w:w="1335"/>
      </w:tblGrid>
      <w:tr>
        <w:trPr/>
        <w:tc>
          <w:tcPr>
            <w:tcW w:w="136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$0.001 par value per share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LAB</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bl>
    <w:p>
      <w:pPr>
        <w:pStyle w:val="TextBody"/>
        <w:bidi w:val="0"/>
        <w:spacing w:lineRule="auto" w:line="288" w:before="40" w:after="18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18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180"/>
        <w:jc w:val="left"/>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w:t>
      </w:r>
      <w:r>
        <w:rPr>
          <w:rFonts w:ascii="Times New Roman;sans-serif" w:hAnsi="Times New Roman;sans-serif"/>
          <w:b w:val="false"/>
          <w:color w:val="000000"/>
          <w:sz w:val="18"/>
        </w:rPr>
        <w:t xml:space="preserve">ct. </w:t>
      </w:r>
    </w:p>
    <w:tbl>
      <w:tblPr>
        <w:tblW w:w="6281"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109"/>
        <w:gridCol w:w="109"/>
        <w:gridCol w:w="109"/>
        <w:gridCol w:w="784"/>
        <w:gridCol w:w="784"/>
        <w:gridCol w:w="787"/>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8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18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60" w:after="18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August 3, 2023</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there were 78,964,770 sha</w:t>
      </w:r>
      <w:r>
        <w:rPr>
          <w:rFonts w:ascii="Times New Roman;sans-serif" w:hAnsi="Times New Roman;sans-serif"/>
          <w:b w:val="false"/>
          <w:color w:val="000000"/>
          <w:sz w:val="20"/>
        </w:rPr>
        <w:t>res of the registrant’s common stock, $0.001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STANDARD BIOTOOLS INC.</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1"/>
        <w:gridCol w:w="281"/>
        <w:gridCol w:w="284"/>
        <w:gridCol w:w="2934"/>
        <w:gridCol w:w="2934"/>
        <w:gridCol w:w="2939"/>
        <w:gridCol w:w="149"/>
        <w:gridCol w:w="149"/>
        <w:gridCol w:w="214"/>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13">
              <w:r>
                <w:rPr>
                  <w:rStyle w:val="InternetLink"/>
                  <w:rFonts w:ascii="Times New Roman;sans-serif" w:hAnsi="Times New Roman;sans-serif"/>
                  <w:b w:val="false"/>
                  <w:color w:val="0000FF"/>
                  <w:sz w:val="20"/>
                  <w:u w:val="single"/>
                </w:rPr>
                <w:t>Financial Statements (unaudited)</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13">
              <w:r>
                <w:rPr>
                  <w:rStyle w:val="InternetLink"/>
                  <w:rFonts w:ascii="Times New Roman;sans-serif" w:hAnsi="Times New Roman;sans-serif"/>
                  <w:b w:val="false"/>
                  <w:color w:val="0000FF"/>
                  <w:sz w:val="20"/>
                  <w:u w:val="singl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16">
              <w:r>
                <w:rPr>
                  <w:rStyle w:val="InternetLink"/>
                  <w:rFonts w:ascii="Times New Roman;sans-serif" w:hAnsi="Times New Roman;sans-serif"/>
                  <w:b w:val="false"/>
                  <w:color w:val="000080"/>
                  <w:sz w:val="20"/>
                  <w:u w:val="single"/>
                </w:rPr>
                <w:t xml:space="preserve">Condensed Consolidated Balance Sheets as of </w:t>
              </w:r>
            </w:hyperlink>
            <w:hyperlink w:anchor="idd1b4c000b3644ad973d52f3d51888e8_16">
              <w:r>
                <w:rPr>
                  <w:rStyle w:val="InternetLink"/>
                  <w:rFonts w:ascii="Times New Roman;sans-serif" w:hAnsi="Times New Roman;sans-serif"/>
                  <w:b w:val="false"/>
                  <w:color w:val="000080"/>
                  <w:sz w:val="20"/>
                  <w:u w:val="single"/>
                </w:rPr>
                <w:t>June 30</w:t>
              </w:r>
            </w:hyperlink>
            <w:hyperlink w:anchor="idd1b4c000b3644ad973d52f3d51888e8_16">
              <w:r>
                <w:rPr>
                  <w:rStyle w:val="InternetLink"/>
                  <w:rFonts w:ascii="Times New Roman;sans-serif" w:hAnsi="Times New Roman;sans-serif"/>
                  <w:b w:val="false"/>
                  <w:color w:val="000080"/>
                  <w:sz w:val="20"/>
                  <w:u w:val="single"/>
                </w:rPr>
                <w:t xml:space="preserve">, 2023 and December 31, 2022 </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16">
              <w:r>
                <w:rPr>
                  <w:rStyle w:val="InternetLink"/>
                  <w:rFonts w:ascii="Times New Roman;sans-serif" w:hAnsi="Times New Roman;sans-serif"/>
                  <w:b w:val="false"/>
                  <w:color w:val="0000FF"/>
                  <w:sz w:val="20"/>
                  <w:u w:val="singl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19">
              <w:r>
                <w:rPr>
                  <w:rStyle w:val="InternetLink"/>
                  <w:rFonts w:ascii="Times New Roman;sans-serif" w:hAnsi="Times New Roman;sans-serif"/>
                  <w:b w:val="false"/>
                  <w:color w:val="000080"/>
                  <w:sz w:val="20"/>
                  <w:u w:val="single"/>
                </w:rPr>
                <w:t xml:space="preserve">Condensed Consolidated Statements of Operations for the three </w:t>
              </w:r>
            </w:hyperlink>
            <w:hyperlink w:anchor="idd1b4c000b3644ad973d52f3d51888e8_19">
              <w:r>
                <w:rPr>
                  <w:rStyle w:val="InternetLink"/>
                  <w:rFonts w:ascii="Times New Roman;sans-serif" w:hAnsi="Times New Roman;sans-serif"/>
                  <w:b w:val="false"/>
                  <w:color w:val="000080"/>
                  <w:sz w:val="20"/>
                  <w:u w:val="single"/>
                </w:rPr>
                <w:t xml:space="preserve">and six </w:t>
              </w:r>
            </w:hyperlink>
            <w:hyperlink w:anchor="idd1b4c000b3644ad973d52f3d51888e8_19">
              <w:r>
                <w:rPr>
                  <w:rStyle w:val="InternetLink"/>
                  <w:rFonts w:ascii="Times New Roman;sans-serif" w:hAnsi="Times New Roman;sans-serif"/>
                  <w:b w:val="false"/>
                  <w:color w:val="000080"/>
                  <w:sz w:val="20"/>
                  <w:u w:val="single"/>
                </w:rPr>
                <w:t xml:space="preserve">months ended </w:t>
              </w:r>
            </w:hyperlink>
            <w:hyperlink w:anchor="idd1b4c000b3644ad973d52f3d51888e8_19">
              <w:r>
                <w:rPr>
                  <w:rStyle w:val="InternetLink"/>
                  <w:rFonts w:ascii="Times New Roman;sans-serif" w:hAnsi="Times New Roman;sans-serif"/>
                  <w:b w:val="false"/>
                  <w:color w:val="000080"/>
                  <w:sz w:val="20"/>
                  <w:u w:val="single"/>
                </w:rPr>
                <w:t>June 30</w:t>
              </w:r>
            </w:hyperlink>
            <w:hyperlink w:anchor="idd1b4c000b3644ad973d52f3d51888e8_19">
              <w:r>
                <w:rPr>
                  <w:rStyle w:val="InternetLink"/>
                  <w:rFonts w:ascii="Times New Roman;sans-serif" w:hAnsi="Times New Roman;sans-serif"/>
                  <w:b w:val="false"/>
                  <w:color w:val="000080"/>
                  <w:sz w:val="20"/>
                  <w:u w:val="single"/>
                </w:rPr>
                <w:t>,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19">
              <w:r>
                <w:rPr>
                  <w:rStyle w:val="InternetLink"/>
                  <w:rFonts w:ascii="Times New Roman;sans-serif" w:hAnsi="Times New Roman;sans-serif"/>
                  <w:b w:val="false"/>
                  <w:color w:val="0000FF"/>
                  <w:sz w:val="20"/>
                  <w:u w:val="singl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22">
              <w:r>
                <w:rPr>
                  <w:rStyle w:val="InternetLink"/>
                  <w:rFonts w:ascii="Times New Roman;sans-serif" w:hAnsi="Times New Roman;sans-serif"/>
                  <w:b w:val="false"/>
                  <w:color w:val="000080"/>
                  <w:sz w:val="20"/>
                  <w:u w:val="single"/>
                </w:rPr>
                <w:t xml:space="preserve">Condensed Consolidated Statements of Comprehensive Loss for the three </w:t>
              </w:r>
            </w:hyperlink>
            <w:hyperlink w:anchor="idd1b4c000b3644ad973d52f3d51888e8_22">
              <w:r>
                <w:rPr>
                  <w:rStyle w:val="InternetLink"/>
                  <w:rFonts w:ascii="Times New Roman;sans-serif" w:hAnsi="Times New Roman;sans-serif"/>
                  <w:b w:val="false"/>
                  <w:color w:val="000080"/>
                  <w:sz w:val="20"/>
                  <w:u w:val="single"/>
                </w:rPr>
                <w:t xml:space="preserve">and six </w:t>
              </w:r>
            </w:hyperlink>
            <w:hyperlink w:anchor="idd1b4c000b3644ad973d52f3d51888e8_22">
              <w:r>
                <w:rPr>
                  <w:rStyle w:val="InternetLink"/>
                  <w:rFonts w:ascii="Times New Roman;sans-serif" w:hAnsi="Times New Roman;sans-serif"/>
                  <w:b w:val="false"/>
                  <w:color w:val="000080"/>
                  <w:sz w:val="20"/>
                  <w:u w:val="single"/>
                </w:rPr>
                <w:t xml:space="preserve">months ended </w:t>
              </w:r>
            </w:hyperlink>
            <w:hyperlink w:anchor="idd1b4c000b3644ad973d52f3d51888e8_22">
              <w:r>
                <w:rPr>
                  <w:rStyle w:val="InternetLink"/>
                  <w:rFonts w:ascii="Times New Roman;sans-serif" w:hAnsi="Times New Roman;sans-serif"/>
                  <w:b w:val="false"/>
                  <w:color w:val="000080"/>
                  <w:sz w:val="20"/>
                  <w:u w:val="single"/>
                </w:rPr>
                <w:t xml:space="preserve">June </w:t>
              </w:r>
            </w:hyperlink>
            <w:hyperlink w:anchor="idd1b4c000b3644ad973d52f3d51888e8_22">
              <w:r>
                <w:rPr>
                  <w:rStyle w:val="InternetLink"/>
                  <w:rFonts w:ascii="Times New Roman;sans-serif" w:hAnsi="Times New Roman;sans-serif"/>
                  <w:b w:val="false"/>
                  <w:color w:val="000080"/>
                  <w:sz w:val="20"/>
                  <w:u w:val="single"/>
                </w:rPr>
                <w:t>3</w:t>
              </w:r>
            </w:hyperlink>
            <w:hyperlink w:anchor="idd1b4c000b3644ad973d52f3d51888e8_22">
              <w:r>
                <w:rPr>
                  <w:rStyle w:val="InternetLink"/>
                  <w:rFonts w:ascii="Times New Roman;sans-serif" w:hAnsi="Times New Roman;sans-serif"/>
                  <w:b w:val="false"/>
                  <w:color w:val="000080"/>
                  <w:sz w:val="20"/>
                  <w:u w:val="single"/>
                </w:rPr>
                <w:t>0</w:t>
              </w:r>
            </w:hyperlink>
            <w:hyperlink w:anchor="idd1b4c000b3644ad973d52f3d51888e8_22">
              <w:r>
                <w:rPr>
                  <w:rStyle w:val="InternetLink"/>
                  <w:rFonts w:ascii="Times New Roman;sans-serif" w:hAnsi="Times New Roman;sans-serif"/>
                  <w:b w:val="false"/>
                  <w:color w:val="000080"/>
                  <w:sz w:val="20"/>
                  <w:u w:val="single"/>
                </w:rPr>
                <w:t>,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22">
              <w:r>
                <w:rPr>
                  <w:rStyle w:val="InternetLink"/>
                  <w:rFonts w:ascii="Times New Roman;sans-serif" w:hAnsi="Times New Roman;sans-serif"/>
                  <w:b w:val="false"/>
                  <w:color w:val="0000FF"/>
                  <w:sz w:val="20"/>
                  <w:u w:val="single"/>
                </w:rPr>
                <w:t>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25">
              <w:r>
                <w:rPr>
                  <w:rStyle w:val="InternetLink"/>
                  <w:rFonts w:ascii="Times New Roman;sans-serif" w:hAnsi="Times New Roman;sans-serif"/>
                  <w:b w:val="false"/>
                  <w:color w:val="0000FF"/>
                  <w:sz w:val="20"/>
                  <w:u w:val="single"/>
                </w:rPr>
                <w:t>Condensed Consolidated Statements of Stockholders’ Equity (Deficit) for the three and six months ended June 30,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25">
              <w:r>
                <w:rPr>
                  <w:rStyle w:val="InternetLink"/>
                  <w:rFonts w:ascii="Times New Roman;sans-serif" w:hAnsi="Times New Roman;sans-serif"/>
                  <w:b w:val="false"/>
                  <w:color w:val="0000FF"/>
                  <w:sz w:val="20"/>
                  <w:u w:val="single"/>
                </w:rPr>
                <w:t>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28">
              <w:r>
                <w:rPr>
                  <w:rStyle w:val="InternetLink"/>
                  <w:rFonts w:ascii="Times New Roman;sans-serif" w:hAnsi="Times New Roman;sans-serif"/>
                  <w:b w:val="false"/>
                  <w:color w:val="0000FF"/>
                  <w:sz w:val="20"/>
                  <w:u w:val="single"/>
                </w:rPr>
                <w:t>Condensed Consolidated Statements of Cash Flows for three and six months ended June 30,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28">
              <w:r>
                <w:rPr>
                  <w:rStyle w:val="InternetLink"/>
                  <w:rFonts w:ascii="Times New Roman;sans-serif" w:hAnsi="Times New Roman;sans-serif"/>
                  <w:b w:val="false"/>
                  <w:color w:val="0000FF"/>
                  <w:sz w:val="20"/>
                  <w:u w:val="single"/>
                </w:rPr>
                <w:t>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31">
              <w:r>
                <w:rPr>
                  <w:rStyle w:val="InternetLink"/>
                  <w:rFonts w:ascii="Times New Roman;sans-serif" w:hAnsi="Times New Roman;sans-serif"/>
                  <w:b w:val="false"/>
                  <w:color w:val="0000FF"/>
                  <w:sz w:val="20"/>
                  <w:u w:val="single"/>
                </w:rPr>
                <w:t>Notes to Condensed Consolidated Financial Statements</w:t>
              </w:r>
            </w:hyperlink>
            <w:r>
              <w:rPr>
                <w:rFonts w:ascii="Times New Roman;sans-serif" w:hAnsi="Times New Roman;sans-serif"/>
                <w:b w:val="false"/>
                <w:color w:val="000000"/>
                <w:sz w:val="20"/>
              </w:rPr>
              <w:t>:</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34">
              <w:r>
                <w:rPr>
                  <w:rStyle w:val="InternetLink"/>
                  <w:rFonts w:ascii="Times New Roman;sans-serif" w:hAnsi="Times New Roman;sans-serif"/>
                  <w:b w:val="false"/>
                  <w:color w:val="0000FF"/>
                  <w:sz w:val="20"/>
                  <w:u w:val="single"/>
                </w:rPr>
                <w:t>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88">
              <w:r>
                <w:rPr>
                  <w:rStyle w:val="InternetLink"/>
                  <w:rFonts w:ascii="Times New Roman;sans-serif" w:hAnsi="Times New Roman;sans-serif"/>
                  <w:b w:val="false"/>
                  <w:color w:val="0000FF"/>
                  <w:sz w:val="20"/>
                  <w:u w:val="single"/>
                </w:rPr>
                <w:t>22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109">
              <w:r>
                <w:rPr>
                  <w:rStyle w:val="InternetLink"/>
                  <w:rFonts w:ascii="Times New Roman;sans-serif" w:hAnsi="Times New Roman;sans-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109">
              <w:r>
                <w:rPr>
                  <w:rStyle w:val="InternetLink"/>
                  <w:rFonts w:ascii="Times New Roman;sans-serif" w:hAnsi="Times New Roman;sans-serif"/>
                  <w:b w:val="false"/>
                  <w:color w:val="0000FF"/>
                  <w:sz w:val="20"/>
                  <w:u w:val="single"/>
                </w:rPr>
                <w:t>29</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112">
              <w:r>
                <w:rPr>
                  <w:rStyle w:val="InternetLink"/>
                  <w:rFonts w:ascii="Times New Roman;sans-serif" w:hAnsi="Times New Roman;sans-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112">
              <w:r>
                <w:rPr>
                  <w:rStyle w:val="InternetLink"/>
                  <w:rFonts w:ascii="Times New Roman;sans-serif" w:hAnsi="Times New Roman;sans-serif"/>
                  <w:b w:val="false"/>
                  <w:color w:val="0000FF"/>
                  <w:sz w:val="20"/>
                  <w:u w:val="single"/>
                </w:rPr>
                <w:t>29</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118">
              <w:r>
                <w:rPr>
                  <w:rStyle w:val="InternetLink"/>
                  <w:rFonts w:ascii="Times New Roman;sans-serif" w:hAnsi="Times New Roman;sans-serif"/>
                  <w:b w:val="false"/>
                  <w:color w:val="0000FF"/>
                  <w:sz w:val="20"/>
                  <w:u w:val="singl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118">
              <w:r>
                <w:rPr>
                  <w:rStyle w:val="InternetLink"/>
                  <w:rFonts w:ascii="Times New Roman;sans-serif" w:hAnsi="Times New Roman;sans-serif"/>
                  <w:b w:val="false"/>
                  <w:color w:val="0000FF"/>
                  <w:sz w:val="20"/>
                  <w:u w:val="singl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121">
              <w:r>
                <w:rPr>
                  <w:rStyle w:val="InternetLink"/>
                  <w:rFonts w:ascii="Times New Roman;sans-serif" w:hAnsi="Times New Roman;sans-serif"/>
                  <w:b w:val="false"/>
                  <w:color w:val="0000FF"/>
                  <w:sz w:val="20"/>
                  <w:u w:val="singl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121">
              <w:r>
                <w:rPr>
                  <w:rStyle w:val="InternetLink"/>
                  <w:rFonts w:ascii="Times New Roman;sans-serif" w:hAnsi="Times New Roman;sans-serif"/>
                  <w:b w:val="false"/>
                  <w:color w:val="0000FF"/>
                  <w:sz w:val="20"/>
                  <w:u w:val="singl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124">
              <w:r>
                <w:rPr>
                  <w:rStyle w:val="InternetLink"/>
                  <w:rFonts w:ascii="Times New Roman;sans-serif" w:hAnsi="Times New Roman;sans-serif"/>
                  <w:b w:val="false"/>
                  <w:color w:val="0000FF"/>
                  <w:sz w:val="20"/>
                  <w:u w:val="single"/>
                </w:rPr>
                <w:t>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124">
              <w:r>
                <w:rPr>
                  <w:rStyle w:val="InternetLink"/>
                  <w:rFonts w:ascii="Times New Roman;sans-serif" w:hAnsi="Times New Roman;sans-serif"/>
                  <w:b w:val="false"/>
                  <w:color w:val="0000FF"/>
                  <w:sz w:val="20"/>
                  <w:u w:val="singl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127">
              <w:r>
                <w:rPr>
                  <w:rStyle w:val="InternetLink"/>
                  <w:rFonts w:ascii="Times New Roman;sans-serif" w:hAnsi="Times New Roman;sans-serif"/>
                  <w:b w:val="false"/>
                  <w:color w:val="0000FF"/>
                  <w:sz w:val="20"/>
                  <w:u w:val="single"/>
                </w:rPr>
                <w:t>Defaults Upon Senior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127">
              <w:r>
                <w:rPr>
                  <w:rStyle w:val="InternetLink"/>
                  <w:rFonts w:ascii="Times New Roman;sans-serif" w:hAnsi="Times New Roman;sans-serif"/>
                  <w:b w:val="false"/>
                  <w:color w:val="0000FF"/>
                  <w:sz w:val="20"/>
                  <w:u w:val="singl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130">
              <w:r>
                <w:rPr>
                  <w:rStyle w:val="InternetLink"/>
                  <w:rFonts w:ascii="Times New Roman;sans-serif" w:hAnsi="Times New Roman;sans-serif"/>
                  <w:b w:val="false"/>
                  <w:color w:val="0000FF"/>
                  <w:sz w:val="20"/>
                  <w:u w:val="single"/>
                </w:rPr>
                <w:t>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130">
              <w:r>
                <w:rPr>
                  <w:rStyle w:val="InternetLink"/>
                  <w:rFonts w:ascii="Times New Roman;sans-serif" w:hAnsi="Times New Roman;sans-serif"/>
                  <w:b w:val="false"/>
                  <w:color w:val="0000FF"/>
                  <w:sz w:val="20"/>
                  <w:u w:val="singl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133">
              <w:r>
                <w:rPr>
                  <w:rStyle w:val="InternetLink"/>
                  <w:rFonts w:ascii="Times New Roman;sans-serif" w:hAnsi="Times New Roman;sans-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133">
              <w:r>
                <w:rPr>
                  <w:rStyle w:val="InternetLink"/>
                  <w:rFonts w:ascii="Times New Roman;sans-serif" w:hAnsi="Times New Roman;sans-serif"/>
                  <w:b w:val="false"/>
                  <w:color w:val="0000FF"/>
                  <w:sz w:val="20"/>
                  <w:u w:val="singl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136">
              <w:r>
                <w:rPr>
                  <w:rStyle w:val="InternetLink"/>
                  <w:rFonts w:ascii="Times New Roman;sans-serif" w:hAnsi="Times New Roman;sans-serif"/>
                  <w:b w:val="false"/>
                  <w:color w:val="0000FF"/>
                  <w:sz w:val="20"/>
                  <w:u w:val="single"/>
                </w:rPr>
                <w:t>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136">
              <w:r>
                <w:rPr>
                  <w:rStyle w:val="InternetLink"/>
                  <w:rFonts w:ascii="Times New Roman;sans-serif" w:hAnsi="Times New Roman;sans-serif"/>
                  <w:b w:val="false"/>
                  <w:color w:val="0000FF"/>
                  <w:sz w:val="20"/>
                  <w:u w:val="single"/>
                </w:rPr>
                <w:t>32</w:t>
              </w:r>
            </w:hyperlink>
          </w:p>
        </w:tc>
      </w:tr>
      <w:tr>
        <w:trPr/>
        <w:tc>
          <w:tcPr>
            <w:tcW w:w="9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8807"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136">
              <w:r>
                <w:rPr>
                  <w:rStyle w:val="InternetLink"/>
                  <w:rFonts w:ascii="Times New Roman;sans-serif" w:hAnsi="Times New Roman;sans-serif"/>
                  <w:b w:val="false"/>
                  <w:color w:val="0000FF"/>
                  <w:sz w:val="20"/>
                  <w:u w:val="single"/>
                </w:rPr>
                <w:t>EXHIBIT LIST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color w:val="000000"/>
              </w:rPr>
              <w:t> </w:t>
            </w:r>
            <w:hyperlink w:anchor="idd1b4c000b3644ad973d52f3d51888e8_136">
              <w:r>
                <w:rPr>
                  <w:rStyle w:val="InternetLink"/>
                  <w:rFonts w:ascii="Times New Roman;sans-serif" w:hAnsi="Times New Roman;sans-serif"/>
                  <w:b w:val="false"/>
                  <w:color w:val="0000FF"/>
                  <w:sz w:val="20"/>
                  <w:u w:val="single"/>
                </w:rPr>
                <w:t>32</w:t>
              </w:r>
            </w:hyperlink>
          </w:p>
        </w:tc>
      </w:tr>
      <w:tr>
        <w:trPr/>
        <w:tc>
          <w:tcPr>
            <w:tcW w:w="9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d1b4c000b3644ad973d52f3d51888e8_139">
              <w:r>
                <w:rPr>
                  <w:rStyle w:val="InternetLink"/>
                  <w:rFonts w:ascii="Times New Roman;sans-serif" w:hAnsi="Times New Roman;sans-serif"/>
                  <w:b w:val="false"/>
                  <w:color w:val="0000FF"/>
                  <w:sz w:val="20"/>
                  <w:u w:val="singl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b4c000b3644ad973d52f3d51888e8_139">
              <w:r>
                <w:rPr>
                  <w:rStyle w:val="InternetLink"/>
                  <w:rFonts w:ascii="Times New Roman;sans-serif" w:hAnsi="Times New Roman;sans-serif"/>
                  <w:b w:val="false"/>
                  <w:color w:val="0000FF"/>
                  <w:sz w:val="20"/>
                  <w:u w:val="singl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STANDARD BIOTOOLS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pPr>
      <w:r>
        <w:rPr>
          <w:rFonts w:ascii="Times New Roman;sans-serif" w:hAnsi="Times New Roman;sans-serif"/>
          <w:b/>
          <w:color w:val="000000"/>
          <w:sz w:val="20"/>
        </w:rPr>
        <w:t>(In thousands, except par value)</w:t>
      </w:r>
      <w:r>
        <w:rPr>
          <w:color w:val="000000"/>
        </w:rPr>
        <w:t> </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980"/>
        <w:gridCol w:w="2133"/>
        <w:gridCol w:w="2100"/>
        <w:gridCol w:w="109"/>
        <w:gridCol w:w="109"/>
        <w:gridCol w:w="109"/>
        <w:gridCol w:w="211"/>
        <w:gridCol w:w="826"/>
        <w:gridCol w:w="109"/>
        <w:gridCol w:w="109"/>
        <w:gridCol w:w="109"/>
        <w:gridCol w:w="109"/>
        <w:gridCol w:w="211"/>
        <w:gridCol w:w="826"/>
        <w:gridCol w:w="155"/>
      </w:tblGrid>
      <w:tr>
        <w:trPr/>
        <w:tc>
          <w:tcPr>
            <w:tcW w:w="2980"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$331 and $592 at June 30,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MEZZANINE EQUITY AND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grant income,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Term loan,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grant income,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Commitments and contingencies (</w:t>
            </w:r>
            <w:hyperlink w:anchor="idd1b4c000b3644ad973d52f3d51888e8_58">
              <w:r>
                <w:rPr>
                  <w:rStyle w:val="InternetLink"/>
                  <w:rFonts w:ascii="Times New Roman;sans-serif" w:hAnsi="Times New Roman;sans-serif"/>
                  <w:b w:val="false"/>
                  <w:color w:val="0000FF"/>
                  <w:sz w:val="20"/>
                  <w:u w:val="single"/>
                </w:rPr>
                <w:t>Note 7</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preferred stock: $0.001 par value; 256 shares authorized, issued and outstanding at June 30, 2023 and December 31, 2022; aggregate liquidation preference of $255,559 at June 30,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2669"/>
        <w:gridCol w:w="2269"/>
        <w:gridCol w:w="2275"/>
        <w:gridCol w:w="109"/>
        <w:gridCol w:w="109"/>
        <w:gridCol w:w="109"/>
        <w:gridCol w:w="211"/>
        <w:gridCol w:w="826"/>
        <w:gridCol w:w="109"/>
        <w:gridCol w:w="109"/>
        <w:gridCol w:w="109"/>
        <w:gridCol w:w="109"/>
        <w:gridCol w:w="211"/>
        <w:gridCol w:w="826"/>
        <w:gridCol w:w="155"/>
      </w:tblGrid>
      <w:tr>
        <w:trPr/>
        <w:tc>
          <w:tcPr>
            <w:tcW w:w="2669"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160" w:after="283"/>
              <w:jc w:val="left"/>
              <w:rPr/>
            </w:pPr>
            <w:r>
              <w:rPr>
                <w:rFonts w:ascii="Times New Roman;sans-serif" w:hAnsi="Times New Roman;sans-serif"/>
                <w:b w:val="false"/>
                <w:color w:val="000000"/>
                <w:sz w:val="20"/>
              </w:rPr>
              <w:t xml:space="preserve">Preferred stock: $0.001 par value, </w:t>
            </w:r>
            <w:r>
              <w:rPr>
                <w:rFonts w:ascii="Times New Roman;sans-serif" w:hAnsi="Times New Roman;sans-serif"/>
                <w:b w:val="false"/>
                <w:color w:val="000000"/>
                <w:sz w:val="20"/>
                <w:shd w:fill="CCEEFF" w:val="clear"/>
              </w:rPr>
              <w:t>9,744</w:t>
            </w:r>
            <w:r>
              <w:rPr>
                <w:color w:val="000000"/>
              </w:rPr>
              <w:t xml:space="preserve"> </w:t>
            </w:r>
            <w:r>
              <w:rPr>
                <w:rFonts w:ascii="Times New Roman;sans-serif" w:hAnsi="Times New Roman;sans-serif"/>
                <w:b w:val="false"/>
                <w:color w:val="000000"/>
                <w:sz w:val="20"/>
              </w:rPr>
              <w:t>shares authorized at June 30, 2023 and December 31, 2022; no shares issued and outstanding at June 30,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400,000 shares authorized at June 30, 2023 and December 31, 2022; 82,002 and 79,904 shares issued at June 30, 2023 and December 31, 2022, respectively; 79,121 and 79,482 shares outstanding at June 30,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847,008 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Treasury stock at cost: 2,881</w:t>
            </w:r>
            <w:r>
              <w:rPr>
                <w:color w:val="000000"/>
                <w:shd w:fill="FFFFFF" w:val="clear"/>
              </w:rPr>
              <w:t xml:space="preserve"> </w:t>
            </w:r>
            <w:r>
              <w:rPr>
                <w:rFonts w:ascii="Times New Roman;sans-serif" w:hAnsi="Times New Roman;sans-serif"/>
                <w:b w:val="false"/>
                <w:color w:val="000000"/>
                <w:sz w:val="20"/>
                <w:shd w:fill="FFFFFF" w:val="clear"/>
              </w:rPr>
              <w:t xml:space="preserve">and 422 shares </w:t>
            </w:r>
            <w:r>
              <w:rPr>
                <w:rFonts w:ascii="Times New Roman;sans-serif" w:hAnsi="Times New Roman;sans-serif"/>
                <w:b w:val="false"/>
                <w:color w:val="000000"/>
                <w:sz w:val="20"/>
              </w:rPr>
              <w:t>at June 30,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(81,467)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mezzanine equity and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390,310 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STANDARD BIOTOOLS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680"/>
        <w:gridCol w:w="1424"/>
        <w:gridCol w:w="1432"/>
        <w:gridCol w:w="211"/>
        <w:gridCol w:w="786"/>
        <w:gridCol w:w="109"/>
        <w:gridCol w:w="109"/>
        <w:gridCol w:w="109"/>
        <w:gridCol w:w="109"/>
        <w:gridCol w:w="211"/>
        <w:gridCol w:w="786"/>
        <w:gridCol w:w="109"/>
        <w:gridCol w:w="109"/>
        <w:gridCol w:w="109"/>
        <w:gridCol w:w="109"/>
        <w:gridCol w:w="211"/>
        <w:gridCol w:w="786"/>
        <w:gridCol w:w="109"/>
        <w:gridCol w:w="109"/>
        <w:gridCol w:w="109"/>
        <w:gridCol w:w="109"/>
        <w:gridCol w:w="211"/>
        <w:gridCol w:w="891"/>
        <w:gridCol w:w="109"/>
        <w:gridCol w:w="159"/>
      </w:tblGrid>
      <w:tr>
        <w:trPr/>
        <w:tc>
          <w:tcPr>
            <w:tcW w:w="168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 revenue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forward sale of Series B Preferred Stock</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Bridge Loans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loss per share, basic and diluted</w:t>
            </w:r>
          </w:p>
        </w:tc>
        <w:tc>
          <w:tcPr>
            <w:tcW w:w="99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78,669 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77,821 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78,873 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77,430 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STANDARD BIOTOOLS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444"/>
        <w:gridCol w:w="1257"/>
        <w:gridCol w:w="1280"/>
        <w:gridCol w:w="109"/>
        <w:gridCol w:w="109"/>
        <w:gridCol w:w="109"/>
        <w:gridCol w:w="211"/>
        <w:gridCol w:w="789"/>
        <w:gridCol w:w="109"/>
        <w:gridCol w:w="109"/>
        <w:gridCol w:w="109"/>
        <w:gridCol w:w="109"/>
        <w:gridCol w:w="211"/>
        <w:gridCol w:w="789"/>
        <w:gridCol w:w="109"/>
        <w:gridCol w:w="109"/>
        <w:gridCol w:w="109"/>
        <w:gridCol w:w="109"/>
        <w:gridCol w:w="211"/>
        <w:gridCol w:w="789"/>
        <w:gridCol w:w="109"/>
        <w:gridCol w:w="109"/>
        <w:gridCol w:w="109"/>
        <w:gridCol w:w="109"/>
        <w:gridCol w:w="211"/>
        <w:gridCol w:w="894"/>
        <w:gridCol w:w="109"/>
        <w:gridCol w:w="109"/>
        <w:gridCol w:w="109"/>
        <w:gridCol w:w="157"/>
      </w:tblGrid>
      <w:tr>
        <w:trPr/>
        <w:tc>
          <w:tcPr>
            <w:tcW w:w="144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39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unrealized gain (loss)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STANDARD BIOTOOLS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before="0" w:after="0"/>
        <w:jc w:val="center"/>
        <w:rPr/>
      </w:pPr>
      <w:r>
        <w:rPr/>
      </w:r>
    </w:p>
    <w:tbl>
      <w:tblPr>
        <w:tblW w:w="11226" w:type="dxa"/>
        <w:jc w:val="center"/>
        <w:tblInd w:w="0" w:type="dxa"/>
        <w:tblLayout w:type="fixed"/>
        <w:tblCellMar>
          <w:top w:w="28" w:type="dxa"/>
          <w:left w:w="28" w:type="dxa"/>
          <w:bottom w:w="28" w:type="dxa"/>
          <w:right w:w="28" w:type="dxa"/>
        </w:tblCellMar>
      </w:tblPr>
      <w:tblGrid>
        <w:gridCol w:w="649"/>
        <w:gridCol w:w="268"/>
        <w:gridCol w:w="269"/>
        <w:gridCol w:w="109"/>
        <w:gridCol w:w="109"/>
        <w:gridCol w:w="109"/>
        <w:gridCol w:w="323"/>
        <w:gridCol w:w="323"/>
        <w:gridCol w:w="181"/>
        <w:gridCol w:w="109"/>
        <w:gridCol w:w="109"/>
        <w:gridCol w:w="109"/>
        <w:gridCol w:w="196"/>
        <w:gridCol w:w="331"/>
        <w:gridCol w:w="109"/>
        <w:gridCol w:w="109"/>
        <w:gridCol w:w="109"/>
        <w:gridCol w:w="109"/>
        <w:gridCol w:w="196"/>
        <w:gridCol w:w="736"/>
        <w:gridCol w:w="109"/>
        <w:gridCol w:w="109"/>
        <w:gridCol w:w="109"/>
        <w:gridCol w:w="109"/>
        <w:gridCol w:w="196"/>
        <w:gridCol w:w="571"/>
        <w:gridCol w:w="109"/>
        <w:gridCol w:w="109"/>
        <w:gridCol w:w="109"/>
        <w:gridCol w:w="109"/>
        <w:gridCol w:w="196"/>
        <w:gridCol w:w="751"/>
        <w:gridCol w:w="109"/>
        <w:gridCol w:w="109"/>
        <w:gridCol w:w="109"/>
        <w:gridCol w:w="109"/>
        <w:gridCol w:w="292"/>
        <w:gridCol w:w="279"/>
        <w:gridCol w:w="193"/>
        <w:gridCol w:w="109"/>
        <w:gridCol w:w="109"/>
        <w:gridCol w:w="109"/>
        <w:gridCol w:w="196"/>
        <w:gridCol w:w="571"/>
        <w:gridCol w:w="109"/>
        <w:gridCol w:w="109"/>
        <w:gridCol w:w="109"/>
        <w:gridCol w:w="109"/>
        <w:gridCol w:w="196"/>
        <w:gridCol w:w="751"/>
        <w:gridCol w:w="401"/>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FF0000"/>
              </w:rPr>
            </w:pPr>
            <w:r>
              <w:rPr>
                <w:color w:val="FF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w:t>
              <w:br/>
              <w:t>Other</w:t>
              <w:br/>
              <w:t>Comp.</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br/>
              <w:t>Stockholders’</w:t>
              <w:br/>
              <w:t>Equity (Deficit)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79,904 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(81,467)</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net of shares withheld for taxes,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3,148 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(16,843)</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80,324 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(97,153)</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net of shares withheld for taxes,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(17,040)</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82,002 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(959,979)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(113,387)</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w:t>
              <w:br/>
              <w:t>Other</w:t>
              <w:br/>
              <w:t>Comp.</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br/>
              <w:t>Stockholders’</w:t>
              <w:br/>
              <w:t>Equity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76,919 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94,596 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net of shares withheld for taxes,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option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(76,288)</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77,199 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22,113 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net of shares withheld for taxes,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option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4,663 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(63,539)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78,654 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(875,825)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(37,454)</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STANDARD BIOTOOLS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8379" w:type="dxa"/>
        <w:jc w:val="center"/>
        <w:tblInd w:w="0" w:type="dxa"/>
        <w:tblLayout w:type="fixed"/>
        <w:tblCellMar>
          <w:top w:w="28" w:type="dxa"/>
          <w:left w:w="28" w:type="dxa"/>
          <w:bottom w:w="28" w:type="dxa"/>
          <w:right w:w="28" w:type="dxa"/>
        </w:tblCellMar>
      </w:tblPr>
      <w:tblGrid>
        <w:gridCol w:w="1958"/>
        <w:gridCol w:w="1721"/>
        <w:gridCol w:w="1735"/>
        <w:gridCol w:w="109"/>
        <w:gridCol w:w="109"/>
        <w:gridCol w:w="109"/>
        <w:gridCol w:w="196"/>
        <w:gridCol w:w="736"/>
        <w:gridCol w:w="109"/>
        <w:gridCol w:w="109"/>
        <w:gridCol w:w="109"/>
        <w:gridCol w:w="109"/>
        <w:gridCol w:w="196"/>
        <w:gridCol w:w="811"/>
        <w:gridCol w:w="109"/>
        <w:gridCol w:w="154"/>
      </w:tblGrid>
      <w:tr>
        <w:trPr/>
        <w:tc>
          <w:tcPr>
            <w:tcW w:w="1958"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forward sale of Series B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bridge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excess and obsolete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InstruNor developed technology intangible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EE2724"/>
              </w:rPr>
            </w:pPr>
            <w:r>
              <w:rPr>
                <w:color w:val="EE2724"/>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discounts, premiums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related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and maturities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bridge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Series B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Repayment of advances under revolving credit facility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equity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Proceeds from ESPP stock issuance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taxes related to net share settlement of equity awards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 fluctuations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right-of-use assets and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pPr>
      <w:r>
        <w:rPr>
          <w:rFonts w:ascii="Times New Roman;sans-serif" w:hAnsi="Times New Roman;sans-serif"/>
          <w:b w:val="false"/>
          <w:color w:val="000000"/>
          <w:sz w:val="20"/>
        </w:rPr>
        <w:t>See accompan</w:t>
      </w:r>
      <w:r>
        <w:rPr>
          <w:rFonts w:ascii="Times New Roman;sans-serif" w:hAnsi="Times New Roman;sans-serif"/>
          <w:b w:val="false"/>
          <w:color w:val="000000"/>
          <w:sz w:val="20"/>
          <w:shd w:fill="FFFFFF" w:val="clear"/>
        </w:rPr>
        <w:t>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STANDARD BIOTOOLS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Standard BioTools Inc. (Standard BioTools or the Company), formerly known as Fluidigm Corporation, is a Delaware corporation headquartered in South San Francisco, California.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an established portfolio of essential, standardized next-generation technologies that help biomedical researchers develop medicines faster and better. As a leading solutions provider, the Company endeavors to provide reliable and repeatable insights in health and disease using its proprietary mass cytometry and microfluidics technologies that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Principles of Consolidation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conformity with U.S. generally accepted accounting principles (U.S. GAAP). As of June 30, 2023, the Company had wholly owned subsidiaries in Singapore, Canada, the Netherlands, Japan, France, Italy, the United Kingdom, China, Germany and Norway. All subsidiaries, except for Singapore, use their local currency as their functional currency. The Singapore subsidiary uses the U.S. dollar as its functional currency. All intercompany transactions and balances have been eliminated in consolidation.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interim condensed consolidated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pStyle w:val="TextBody"/>
        <w:bidi w:val="0"/>
        <w:spacing w:lineRule="auto" w:line="288" w:before="160" w:after="283"/>
        <w:jc w:val="both"/>
        <w:rPr/>
      </w:pPr>
      <w:r>
        <w:rPr>
          <w:rFonts w:ascii="Times New Roman;sans-serif" w:hAnsi="Times New Roman;sans-serif"/>
          <w:b w:val="false"/>
          <w:color w:val="000000"/>
          <w:sz w:val="20"/>
        </w:rPr>
        <w:t xml:space="preserve">The year-end condensed consolidated balance sheet was derived from audited financial statements but does not include all </w:t>
      </w:r>
      <w:r>
        <w:rPr>
          <w:rFonts w:ascii="Times New Roman;sans-serif" w:hAnsi="Times New Roman;sans-serif"/>
          <w:b w:val="false"/>
          <w:color w:val="000000"/>
          <w:sz w:val="20"/>
          <w:shd w:fill="FFFFFF" w:val="clear"/>
        </w:rPr>
        <w:t xml:space="preserve">disclosures required by U.S. GAAP. The condensed consolidated results of operations for the </w:t>
      </w:r>
      <w:r>
        <w:rPr>
          <w:rFonts w:ascii="Times New Roman;sans-serif" w:hAnsi="Times New Roman;sans-serif"/>
          <w:b w:val="false"/>
          <w:color w:val="000000"/>
          <w:sz w:val="20"/>
        </w:rPr>
        <w:t xml:space="preserve">three and six months ended </w:t>
      </w:r>
      <w:r>
        <w:rPr>
          <w:rFonts w:ascii="Times New Roman;sans-serif" w:hAnsi="Times New Roman;sans-serif"/>
          <w:b w:val="false"/>
          <w:color w:val="000000"/>
          <w:sz w:val="20"/>
          <w:shd w:fill="FFFFFF" w:val="clear"/>
        </w:rPr>
        <w:t>June 30, 2023 are not necessarily indicative of results to be expected for the full year or for any other year or interim period. The accompanying condensed consolidated financial statements should be read in conjunction with the audited financial statements and the related notes for the year ended December 31, 2022 included in the Annual Report on Form 10-K, filed with the Security Exchange Commission (SEC) on March 14, 2023.</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Use of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accordance with U.S. GAAP requires management to make estimates and assumptions that affect the amounts reported in the condensed consolidated financial statements and accompanying notes. The Company bases its estimates on historical experience, the current economic environment and on various other assumptions believed to be reasonable, which together form the basis for making judgments about the carrying values of assets and liabilities. These accounting matters included but were not limited to inventory and related reserves; the carrying value of goodwill and other long-lived assets; and the potential outcome of uncertain tax positions that have been recognized in the Company’s consolidated financial statements or tax returns. The Company also uses significant judgment in determining the fair value of financial instruments, including debt and equity instruments. Actual results could differ materially from these estimates and could have a material adverse effect on the Company’s condensed consolidated financial statements.</w:t>
      </w:r>
    </w:p>
    <w:p>
      <w:pPr>
        <w:pStyle w:val="TextBody"/>
        <w:bidi w:val="0"/>
        <w:spacing w:lineRule="auto" w:line="288" w:before="200" w:after="283"/>
        <w:jc w:val="left"/>
        <w:rPr/>
      </w:pPr>
      <w:r>
        <w:rPr>
          <w:rFonts w:ascii="Times New Roman;sans-serif" w:hAnsi="Times New Roman;sans-serif"/>
          <w:b/>
          <w:i/>
          <w:color w:val="000000"/>
          <w:sz w:val="20"/>
          <w:shd w:fill="FFFFFF" w:val="clear"/>
        </w:rPr>
        <w:t>Recent Accounti</w:t>
      </w:r>
      <w:r>
        <w:rPr>
          <w:rFonts w:ascii="Times New Roman;sans-serif" w:hAnsi="Times New Roman;sans-serif"/>
          <w:b/>
          <w:i/>
          <w:color w:val="000000"/>
          <w:sz w:val="20"/>
        </w:rPr>
        <w:t>ng Pronouncements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standards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Reclassification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 the condensed consolidated financial statements have been reclassified from their original presentation to conform to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2. Net Loss Per Share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basic and diluted net loss per share is calculated by dividing net loss by the weighted-average number of shares of common stock outstanding for the period. Restricted share units (RSUs), performance stock awards (PSUs), and options to purchase the Company’s common stock are considered to be potentially dilutive common shares.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dilutive common shares (in thousands) were excluded from the computations of diluted net loss per share for the periods presented because including them would have been anti-dilutive:</w:t>
      </w:r>
    </w:p>
    <w:p>
      <w:pPr>
        <w:pStyle w:val="TextBody"/>
        <w:bidi w:val="0"/>
        <w:spacing w:before="100" w:after="283"/>
        <w:jc w:val="left"/>
        <w:rPr/>
      </w:pPr>
      <w:r>
        <w:rPr/>
      </w:r>
    </w:p>
    <w:tbl>
      <w:tblPr>
        <w:tblW w:w="5802" w:type="dxa"/>
        <w:jc w:val="center"/>
        <w:tblInd w:w="0" w:type="dxa"/>
        <w:tblLayout w:type="fixed"/>
        <w:tblCellMar>
          <w:top w:w="28" w:type="dxa"/>
          <w:left w:w="28" w:type="dxa"/>
          <w:bottom w:w="28" w:type="dxa"/>
          <w:right w:w="28" w:type="dxa"/>
        </w:tblCellMar>
      </w:tblPr>
      <w:tblGrid>
        <w:gridCol w:w="943"/>
        <w:gridCol w:w="830"/>
        <w:gridCol w:w="837"/>
        <w:gridCol w:w="109"/>
        <w:gridCol w:w="109"/>
        <w:gridCol w:w="109"/>
        <w:gridCol w:w="517"/>
        <w:gridCol w:w="309"/>
        <w:gridCol w:w="224"/>
        <w:gridCol w:w="224"/>
        <w:gridCol w:w="224"/>
        <w:gridCol w:w="224"/>
        <w:gridCol w:w="517"/>
        <w:gridCol w:w="309"/>
        <w:gridCol w:w="317"/>
      </w:tblGrid>
      <w:tr>
        <w:trPr/>
        <w:tc>
          <w:tcPr>
            <w:tcW w:w="9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PSUs, and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14,366 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Series B Preferred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75,164 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75,164 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2019 Notes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108,506 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109,095 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(1) The conversion rate is subject to adjustment upon the occurrence of certain specified events, including voluntary conversion of the 2019 Notes prior to the Company’s exercise of the Issuer’s Conversion Option or in connection with a make-whole fundamental change, entitling the holders, under certain circumstances, to a make-whole premium in the form of an increase in the conversion rate determined based on the effective date and current price of the Company’s common stock, subject to a minimum and maximum price per share. The maximum number of additional shares of common stock that may be issued under the make-whole premium is 4,741,374 shares. Refer to </w:t>
      </w:r>
      <w:hyperlink w:anchor="idd1b4c000b3644ad973d52f3d51888e8_52">
        <w:r>
          <w:rPr>
            <w:rStyle w:val="InternetLink"/>
            <w:rFonts w:ascii="Times New Roman;sans-serif" w:hAnsi="Times New Roman;sans-serif"/>
            <w:b w:val="false"/>
            <w:color w:val="0000FF"/>
            <w:sz w:val="20"/>
            <w:u w:val="single"/>
          </w:rPr>
          <w:t>Note 6</w:t>
        </w:r>
      </w:hyperlink>
      <w:r>
        <w:rPr>
          <w:color w:val="000000"/>
        </w:rPr>
        <w:t xml:space="preserve"> </w:t>
      </w:r>
      <w:r>
        <w:rPr>
          <w:rFonts w:ascii="Times New Roman;sans-serif" w:hAnsi="Times New Roman;sans-serif"/>
          <w:b w:val="false"/>
          <w:color w:val="000000"/>
          <w:sz w:val="20"/>
        </w:rPr>
        <w:t>for additional information on the 2019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Revenue and Geographic Area</w:t>
      </w:r>
    </w:p>
    <w:p>
      <w:pPr>
        <w:pStyle w:val="TextBody"/>
        <w:bidi w:val="0"/>
        <w:spacing w:lineRule="auto" w:line="288" w:before="240" w:after="1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Disaggregation of Revenue by Product Type and Geographic Area</w:t>
      </w:r>
    </w:p>
    <w:p>
      <w:pPr>
        <w:pStyle w:val="TextBody"/>
        <w:bidi w:val="0"/>
        <w:spacing w:lineRule="auto" w:line="288" w:before="0" w:after="160"/>
        <w:jc w:val="both"/>
        <w:rPr/>
      </w:pPr>
      <w:r>
        <w:rPr>
          <w:rFonts w:ascii="Times New Roman;sans-serif" w:hAnsi="Times New Roman;sans-serif"/>
          <w:b w:val="false"/>
          <w:color w:val="000000"/>
          <w:sz w:val="20"/>
        </w:rPr>
        <w:t xml:space="preserve">The following tables present </w:t>
      </w:r>
      <w:r>
        <w:rPr>
          <w:rFonts w:ascii="Times New Roman;sans-serif" w:hAnsi="Times New Roman;sans-serif"/>
          <w:b w:val="false"/>
          <w:color w:val="000000"/>
          <w:sz w:val="20"/>
          <w:shd w:fill="FFFFFF" w:val="clear"/>
        </w:rPr>
        <w:t>revenue based upon product type and the geographic regions of the Company’s customers’ facilities</w:t>
      </w:r>
      <w:r>
        <w:rPr>
          <w:color w:val="000000"/>
        </w:rPr>
        <w:t xml:space="preserve"> </w:t>
      </w:r>
      <w:r>
        <w:rPr>
          <w:rFonts w:ascii="Times New Roman;sans-serif" w:hAnsi="Times New Roman;sans-serif"/>
          <w:b w:val="false"/>
          <w:color w:val="000000"/>
          <w:sz w:val="20"/>
        </w:rPr>
        <w:t>(in thousands):</w:t>
      </w:r>
    </w:p>
    <w:tbl>
      <w:tblPr>
        <w:tblW w:w="7917" w:type="dxa"/>
        <w:jc w:val="center"/>
        <w:tblInd w:w="0" w:type="dxa"/>
        <w:tblLayout w:type="fixed"/>
        <w:tblCellMar>
          <w:top w:w="28" w:type="dxa"/>
          <w:left w:w="28" w:type="dxa"/>
          <w:bottom w:w="28" w:type="dxa"/>
          <w:right w:w="28" w:type="dxa"/>
        </w:tblCellMar>
      </w:tblPr>
      <w:tblGrid>
        <w:gridCol w:w="869"/>
        <w:gridCol w:w="761"/>
        <w:gridCol w:w="77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and service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tbl>
      <w:tblPr>
        <w:tblW w:w="8907" w:type="dxa"/>
        <w:jc w:val="center"/>
        <w:tblInd w:w="0" w:type="dxa"/>
        <w:tblLayout w:type="fixed"/>
        <w:tblCellMar>
          <w:top w:w="28" w:type="dxa"/>
          <w:left w:w="28" w:type="dxa"/>
          <w:bottom w:w="28" w:type="dxa"/>
          <w:right w:w="28" w:type="dxa"/>
        </w:tblCellMar>
      </w:tblPr>
      <w:tblGrid>
        <w:gridCol w:w="1226"/>
        <w:gridCol w:w="1078"/>
        <w:gridCol w:w="108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June 30,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June 30, </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 (EMEA)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Except for China, which represented $4.2 million and $7.4 million of the total revenue for the three and six months ended June 30, 2023, respectively, no foreign country represented more than 10% of the Company’s total revenue during the periods presented in this report. Refer to </w:t>
      </w:r>
      <w:hyperlink w:anchor="idd1b4c000b3644ad973d52f3d51888e8_79">
        <w:r>
          <w:rPr>
            <w:rStyle w:val="InternetLink"/>
            <w:rFonts w:ascii="Times New Roman;sans-serif" w:hAnsi="Times New Roman;sans-serif"/>
            <w:b w:val="false"/>
            <w:color w:val="0000FF"/>
            <w:sz w:val="20"/>
            <w:u w:val="single"/>
            <w:shd w:fill="FFFFFF" w:val="clear"/>
          </w:rPr>
          <w:t>Note 13</w:t>
        </w:r>
      </w:hyperlink>
      <w:r>
        <w:rPr>
          <w:color w:val="000000"/>
          <w:shd w:fill="FFFFFF" w:val="clear"/>
        </w:rPr>
        <w:t xml:space="preserve"> </w:t>
      </w:r>
      <w:r>
        <w:rPr>
          <w:rFonts w:ascii="Times New Roman;sans-serif" w:hAnsi="Times New Roman;sans-serif"/>
          <w:b w:val="false"/>
          <w:color w:val="000000"/>
          <w:sz w:val="20"/>
          <w:shd w:fill="FFFFFF" w:val="clear"/>
        </w:rPr>
        <w:t>for additional information on revenue by reporting segment.</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Unfulfilled Performance Obligations</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condensed consolidated balance sheets as of June 30, 2023 and December 31, 2022 included total deferred revenue of $15.5 million and $14.6 million, respectively. During the six months ended June 30, 2023, $6.8 million of the opening deferred revenue balance was recognized as revenue and $7.7 million of net additional advance payments, primarily for instrument service contracts, were received from customers.</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expects to recognize revenue from unfulfilled performance obligations associated with service contracts that were partially completed as of June 30, 2023 in the following periods (in thousands):</w:t>
      </w:r>
    </w:p>
    <w:tbl>
      <w:tblPr>
        <w:tblW w:w="4255" w:type="dxa"/>
        <w:jc w:val="center"/>
        <w:tblInd w:w="0" w:type="dxa"/>
        <w:tblLayout w:type="fixed"/>
        <w:tblCellMar>
          <w:top w:w="28" w:type="dxa"/>
          <w:left w:w="28" w:type="dxa"/>
          <w:bottom w:w="28" w:type="dxa"/>
          <w:right w:w="28" w:type="dxa"/>
        </w:tblCellMar>
      </w:tblPr>
      <w:tblGrid>
        <w:gridCol w:w="831"/>
        <w:gridCol w:w="729"/>
        <w:gridCol w:w="734"/>
        <w:gridCol w:w="109"/>
        <w:gridCol w:w="109"/>
        <w:gridCol w:w="109"/>
        <w:gridCol w:w="317"/>
        <w:gridCol w:w="1086"/>
        <w:gridCol w:w="231"/>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Expected Revenue </w:t>
            </w:r>
            <w:r>
              <w:rPr>
                <w:rFonts w:ascii="Times New Roman;sans-serif" w:hAnsi="Times New Roman;sans-serif"/>
                <w:b/>
                <w:color w:val="000000"/>
                <w:sz w:val="10"/>
              </w:rPr>
              <w:t>(1)</w:t>
            </w:r>
          </w:p>
        </w:tc>
      </w:tr>
      <w:tr>
        <w:trPr/>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23,625 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Expected revenue includes both billed amounts included in deferred revenue and unbilled amounts that are not reflected in the Company’s condensed consolidated financial statements and are subject to change if the Company’s customers decide to cancel or modify their contracts. Purchase orders for instrument service contracts can generally be canceled before the service period begins.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has unsatisfied performance obligations for service contracts with an expected term of one year or less not included in the amounts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4. Goodwill and Intangible Assets, net</w:t>
      </w:r>
    </w:p>
    <w:p>
      <w:pPr>
        <w:pStyle w:val="TextBody"/>
        <w:bidi w:val="0"/>
        <w:spacing w:lineRule="auto" w:line="288" w:before="160" w:after="283"/>
        <w:jc w:val="both"/>
        <w:rPr/>
      </w:pPr>
      <w:r>
        <w:rPr>
          <w:rFonts w:ascii="Times New Roman;sans-serif" w:hAnsi="Times New Roman;sans-serif"/>
          <w:b w:val="false"/>
          <w:color w:val="000000"/>
          <w:sz w:val="20"/>
        </w:rPr>
        <w:t>In connection with the Company’s acquisition</w:t>
      </w:r>
      <w:r>
        <w:rPr>
          <w:color w:val="000000"/>
          <w:shd w:fill="FFFFFF" w:val="clear"/>
        </w:rPr>
        <w:t xml:space="preserve"> </w:t>
      </w:r>
      <w:r>
        <w:rPr>
          <w:rFonts w:ascii="Times New Roman;sans-serif" w:hAnsi="Times New Roman;sans-serif"/>
          <w:b w:val="false"/>
          <w:color w:val="000000"/>
          <w:sz w:val="20"/>
          <w:shd w:fill="FFFFFF" w:val="clear"/>
        </w:rPr>
        <w:t>of DVS Sciences, In</w:t>
      </w:r>
      <w:r>
        <w:rPr>
          <w:rFonts w:ascii="Times New Roman;sans-serif" w:hAnsi="Times New Roman;sans-serif"/>
          <w:b w:val="false"/>
          <w:color w:val="000000"/>
          <w:sz w:val="20"/>
        </w:rPr>
        <w:t xml:space="preserve">c. in February 2014, the Company recorded $104.1 million of goodwill and $112.0 million of intangible assets associated with the acquired technology. Also, in the first quarter of 2020, the Company recorded $2.2 million of goodwill and $5.4 million of developed technology intangibles from the Company’s acquisition of InstruNor AS (InstruNor). </w:t>
      </w:r>
    </w:p>
    <w:p>
      <w:pPr>
        <w:pStyle w:val="TextBody"/>
        <w:bidi w:val="0"/>
        <w:spacing w:lineRule="auto" w:line="288" w:before="160" w:after="283"/>
        <w:jc w:val="both"/>
        <w:rPr/>
      </w:pPr>
      <w:r>
        <w:rPr>
          <w:rFonts w:ascii="Times New Roman;sans-serif" w:hAnsi="Times New Roman;sans-serif"/>
          <w:b w:val="false"/>
          <w:color w:val="000000"/>
          <w:sz w:val="20"/>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Qualitative assessment includes assessing significant events and circumstances such as the Company’s current results, assumptions regarding future performance, strategic initiatives and overall economic factors, including the impact of rising inflation and the possibility of a global recession, to determine the existence of potential indicators of impairment. If indicators of impairment are identified, a quantitative impairment test is performed. There have been no indicators of impairment of goodwill, long-lived assets or intangible assets during the six months ended June 30, 2023. In</w:t>
      </w:r>
      <w:r>
        <w:rPr>
          <w:color w:val="000000"/>
          <w:shd w:fill="FFFFFF" w:val="clear"/>
        </w:rPr>
        <w:t xml:space="preserve"> </w:t>
      </w:r>
      <w:r>
        <w:rPr>
          <w:rFonts w:ascii="Times New Roman;sans-serif" w:hAnsi="Times New Roman;sans-serif"/>
          <w:b w:val="false"/>
          <w:color w:val="000000"/>
          <w:sz w:val="20"/>
          <w:shd w:fill="FFFFFF" w:val="clear"/>
        </w:rPr>
        <w:t>June 2022, the decision was made to discontinue further development on the pro</w:t>
      </w:r>
      <w:r>
        <w:rPr>
          <w:rFonts w:ascii="Times New Roman;sans-serif" w:hAnsi="Times New Roman;sans-serif"/>
          <w:b w:val="false"/>
          <w:color w:val="000000"/>
          <w:sz w:val="20"/>
        </w:rPr>
        <w:t xml:space="preserve">duct lines supported by the InstruNor developed technology and an impairment </w:t>
      </w:r>
      <w:r>
        <w:rPr>
          <w:rFonts w:ascii="Times New Roman;sans-serif" w:hAnsi="Times New Roman;sans-serif"/>
          <w:b w:val="false"/>
          <w:color w:val="000000"/>
          <w:sz w:val="20"/>
          <w:shd w:fill="FFFFFF" w:val="clear"/>
        </w:rPr>
        <w:t xml:space="preserve">charge of </w:t>
      </w:r>
      <w:r>
        <w:rPr>
          <w:rFonts w:ascii="Times New Roman;sans-serif" w:hAnsi="Times New Roman;sans-serif"/>
          <w:b w:val="false"/>
          <w:color w:val="000000"/>
          <w:sz w:val="20"/>
        </w:rPr>
        <w:t xml:space="preserve">$3.5 million, </w:t>
      </w:r>
      <w:r>
        <w:rPr>
          <w:rFonts w:ascii="Times New Roman;sans-serif" w:hAnsi="Times New Roman;sans-serif"/>
          <w:b w:val="false"/>
          <w:color w:val="000000"/>
          <w:sz w:val="20"/>
          <w:shd w:fill="FFFFFF" w:val="clear"/>
        </w:rPr>
        <w:t xml:space="preserve">representing the remaining carrying value of the intangible asset, was recorded in research and development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with finite lives include developed technology, patents and licenses. In the condensed consolidated balance sheets, developed technology is reported separately while patents and licenses are reported in other non-current assets. Intangible assets, net, were as follows (in thousands):</w:t>
      </w:r>
    </w:p>
    <w:tbl>
      <w:tblPr>
        <w:tblW w:w="10205" w:type="dxa"/>
        <w:jc w:val="center"/>
        <w:tblInd w:w="0" w:type="dxa"/>
        <w:tblLayout w:type="fixed"/>
        <w:tblCellMar>
          <w:top w:w="28" w:type="dxa"/>
          <w:left w:w="28" w:type="dxa"/>
          <w:bottom w:w="28" w:type="dxa"/>
          <w:right w:w="28" w:type="dxa"/>
        </w:tblCellMar>
      </w:tblPr>
      <w:tblGrid>
        <w:gridCol w:w="606"/>
        <w:gridCol w:w="531"/>
        <w:gridCol w:w="535"/>
        <w:gridCol w:w="109"/>
        <w:gridCol w:w="109"/>
        <w:gridCol w:w="109"/>
        <w:gridCol w:w="211"/>
        <w:gridCol w:w="830"/>
        <w:gridCol w:w="109"/>
        <w:gridCol w:w="109"/>
        <w:gridCol w:w="109"/>
        <w:gridCol w:w="109"/>
        <w:gridCol w:w="449"/>
        <w:gridCol w:w="1902"/>
        <w:gridCol w:w="232"/>
        <w:gridCol w:w="109"/>
        <w:gridCol w:w="109"/>
        <w:gridCol w:w="109"/>
        <w:gridCol w:w="211"/>
        <w:gridCol w:w="616"/>
        <w:gridCol w:w="109"/>
        <w:gridCol w:w="109"/>
        <w:gridCol w:w="109"/>
        <w:gridCol w:w="109"/>
        <w:gridCol w:w="747"/>
        <w:gridCol w:w="747"/>
        <w:gridCol w:w="1062"/>
      </w:tblGrid>
      <w:tr>
        <w:trPr/>
        <w:tc>
          <w:tcPr>
            <w:tcW w:w="60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 and 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Amortization Period</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(110,281)</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years</w:t>
            </w:r>
          </w:p>
        </w:tc>
      </w:tr>
      <w:tr>
        <w:trPr/>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licenses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(11,008)</w:t>
            </w:r>
          </w:p>
        </w:tc>
        <w:tc>
          <w:tcPr>
            <w:tcW w:w="23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 years</w:t>
            </w:r>
          </w:p>
        </w:tc>
      </w:tr>
    </w:tbl>
    <w:tbl>
      <w:tblPr>
        <w:tblW w:w="10205" w:type="dxa"/>
        <w:jc w:val="center"/>
        <w:tblInd w:w="0" w:type="dxa"/>
        <w:tblLayout w:type="fixed"/>
        <w:tblCellMar>
          <w:top w:w="28" w:type="dxa"/>
          <w:left w:w="28" w:type="dxa"/>
          <w:bottom w:w="28" w:type="dxa"/>
          <w:right w:w="28" w:type="dxa"/>
        </w:tblCellMar>
      </w:tblPr>
      <w:tblGrid>
        <w:gridCol w:w="677"/>
        <w:gridCol w:w="593"/>
        <w:gridCol w:w="597"/>
        <w:gridCol w:w="109"/>
        <w:gridCol w:w="109"/>
        <w:gridCol w:w="109"/>
        <w:gridCol w:w="211"/>
        <w:gridCol w:w="832"/>
        <w:gridCol w:w="109"/>
        <w:gridCol w:w="109"/>
        <w:gridCol w:w="109"/>
        <w:gridCol w:w="109"/>
        <w:gridCol w:w="339"/>
        <w:gridCol w:w="1445"/>
        <w:gridCol w:w="174"/>
        <w:gridCol w:w="109"/>
        <w:gridCol w:w="109"/>
        <w:gridCol w:w="109"/>
        <w:gridCol w:w="211"/>
        <w:gridCol w:w="721"/>
        <w:gridCol w:w="109"/>
        <w:gridCol w:w="109"/>
        <w:gridCol w:w="109"/>
        <w:gridCol w:w="109"/>
        <w:gridCol w:w="841"/>
        <w:gridCol w:w="841"/>
        <w:gridCol w:w="1197"/>
      </w:tblGrid>
      <w:tr>
        <w:trPr/>
        <w:tc>
          <w:tcPr>
            <w:tcW w:w="67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r>
      <w:tr>
        <w:trPr/>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Amortization Period</w:t>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(104,594)</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years</w:t>
            </w:r>
          </w:p>
        </w:tc>
      </w:tr>
      <w:tr>
        <w:trPr/>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licenses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(10,669)</w:t>
            </w:r>
          </w:p>
        </w:tc>
        <w:tc>
          <w:tcPr>
            <w:tcW w:w="17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 years</w:t>
            </w:r>
          </w:p>
        </w:tc>
      </w:tr>
    </w:tbl>
    <w:p>
      <w:pPr>
        <w:pStyle w:val="TextBody"/>
        <w:bidi w:val="0"/>
        <w:spacing w:lineRule="auto" w:line="288" w:before="14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Total amortization expense of our intangible assets was $3.0 million and $3.2 million for the three months ended June 30, 2023 and 2022, respectively. Total amortization expense for the six months ended June 30, 2023 and 2022 was $5.9 million and $6.3 million, respectively. The $3.5 million impairment charge resulting in the write-off of InstruNor’s developed technology intangible is reflected in the accumulated amortization balance shown in the above table.</w:t>
      </w:r>
    </w:p>
    <w:p>
      <w:pPr>
        <w:pStyle w:val="TextBody"/>
        <w:bidi w:val="0"/>
        <w:spacing w:lineRule="auto" w:line="288" w:before="1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carrying value of intangible assets as of June 30, 2023, the Company expects estimated future amortization expense to be as follows (in thousands):</w:t>
      </w:r>
    </w:p>
    <w:tbl>
      <w:tblPr>
        <w:tblW w:w="10205" w:type="dxa"/>
        <w:jc w:val="center"/>
        <w:tblInd w:w="0" w:type="dxa"/>
        <w:tblLayout w:type="fixed"/>
        <w:tblCellMar>
          <w:top w:w="28" w:type="dxa"/>
          <w:left w:w="28" w:type="dxa"/>
          <w:bottom w:w="28" w:type="dxa"/>
          <w:right w:w="28" w:type="dxa"/>
        </w:tblCellMar>
      </w:tblPr>
      <w:tblGrid>
        <w:gridCol w:w="801"/>
        <w:gridCol w:w="703"/>
        <w:gridCol w:w="707"/>
        <w:gridCol w:w="730"/>
        <w:gridCol w:w="2138"/>
        <w:gridCol w:w="381"/>
        <w:gridCol w:w="109"/>
        <w:gridCol w:w="109"/>
        <w:gridCol w:w="109"/>
        <w:gridCol w:w="833"/>
        <w:gridCol w:w="1840"/>
        <w:gridCol w:w="433"/>
        <w:gridCol w:w="109"/>
        <w:gridCol w:w="109"/>
        <w:gridCol w:w="109"/>
        <w:gridCol w:w="211"/>
        <w:gridCol w:w="616"/>
        <w:gridCol w:w="158"/>
      </w:tblGrid>
      <w:tr>
        <w:trPr/>
        <w:tc>
          <w:tcPr>
            <w:tcW w:w="8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3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Technology 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Patents and Licenses 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the year</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vAlign w:val="center"/>
          </w:tcPr>
          <w:p>
            <w:pPr>
              <w:pStyle w:val="TableContents"/>
              <w:bidi w:val="0"/>
              <w:spacing w:before="0" w:after="283"/>
              <w:jc w:val="left"/>
              <w:rPr>
                <w:sz w:val="4"/>
                <w:szCs w:val="4"/>
              </w:rPr>
            </w:pPr>
            <w:r>
              <w:rPr>
                <w:sz w:val="4"/>
                <w:szCs w:val="4"/>
              </w:rPr>
            </w:r>
          </w:p>
        </w:tc>
        <w:tc>
          <w:tcPr>
            <w:tcW w:w="3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211" w:type="dxa"/>
            <w:gridSpan w:val="3"/>
            <w:tcBorders/>
            <w:vAlign w:val="center"/>
          </w:tcPr>
          <w:p>
            <w:pPr>
              <w:pStyle w:val="TableContents"/>
              <w:bidi w:val="0"/>
              <w:spacing w:before="0" w:after="283"/>
              <w:jc w:val="left"/>
              <w:rPr>
                <w:sz w:val="4"/>
                <w:szCs w:val="4"/>
              </w:rPr>
            </w:pPr>
            <w:r>
              <w:rPr>
                <w:sz w:val="4"/>
                <w:szCs w:val="4"/>
              </w:rPr>
            </w:r>
          </w:p>
        </w:tc>
        <w:tc>
          <w:tcPr>
            <w:tcW w:w="3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211" w:type="dxa"/>
            <w:gridSpan w:val="3"/>
            <w:tcBorders/>
            <w:vAlign w:val="center"/>
          </w:tcPr>
          <w:p>
            <w:pPr>
              <w:pStyle w:val="TableContents"/>
              <w:bidi w:val="0"/>
              <w:spacing w:before="0" w:after="283"/>
              <w:jc w:val="left"/>
              <w:rPr>
                <w:sz w:val="4"/>
                <w:szCs w:val="4"/>
              </w:rPr>
            </w:pPr>
            <w:r>
              <w:rPr>
                <w:sz w:val="4"/>
                <w:szCs w:val="4"/>
              </w:rPr>
            </w:r>
          </w:p>
        </w:tc>
        <w:tc>
          <w:tcPr>
            <w:tcW w:w="3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211" w:type="dxa"/>
            <w:gridSpan w:val="3"/>
            <w:tcBorders/>
            <w:vAlign w:val="center"/>
          </w:tcPr>
          <w:p>
            <w:pPr>
              <w:pStyle w:val="TableContents"/>
              <w:bidi w:val="0"/>
              <w:spacing w:before="0" w:after="283"/>
              <w:jc w:val="left"/>
              <w:rPr>
                <w:sz w:val="4"/>
                <w:szCs w:val="4"/>
              </w:rPr>
            </w:pPr>
            <w:r>
              <w:rPr>
                <w:sz w:val="4"/>
                <w:szCs w:val="4"/>
              </w:rPr>
            </w:r>
          </w:p>
        </w:tc>
        <w:tc>
          <w:tcPr>
            <w:tcW w:w="3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Balance Sheet Details</w:t>
      </w:r>
    </w:p>
    <w:p>
      <w:pPr>
        <w:pStyle w:val="TextBody"/>
        <w:bidi w:val="0"/>
        <w:spacing w:lineRule="auto" w:line="288" w:before="240" w:after="160"/>
        <w:jc w:val="left"/>
        <w:rPr>
          <w:rFonts w:ascii="Times New Roman;sans-serif" w:hAnsi="Times New Roman;sans-serif"/>
          <w:b/>
          <w:i/>
          <w:color w:val="000000"/>
          <w:sz w:val="20"/>
        </w:rPr>
      </w:pPr>
      <w:r>
        <w:rPr>
          <w:rFonts w:ascii="Times New Roman;sans-serif" w:hAnsi="Times New Roman;sans-serif"/>
          <w:b/>
          <w:i/>
          <w:color w:val="000000"/>
          <w:sz w:val="20"/>
        </w:rPr>
        <w:t xml:space="preserve">Cash, Cash Equivalents and Restricted Cash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(in thousands):</w:t>
      </w:r>
    </w:p>
    <w:tbl>
      <w:tblPr>
        <w:tblW w:w="7289" w:type="dxa"/>
        <w:jc w:val="left"/>
        <w:tblInd w:w="0" w:type="dxa"/>
        <w:tblLayout w:type="fixed"/>
        <w:tblCellMar>
          <w:top w:w="28" w:type="dxa"/>
          <w:left w:w="28" w:type="dxa"/>
          <w:bottom w:w="28" w:type="dxa"/>
          <w:right w:w="28" w:type="dxa"/>
        </w:tblCellMar>
      </w:tblPr>
      <w:tblGrid>
        <w:gridCol w:w="1429"/>
        <w:gridCol w:w="1254"/>
        <w:gridCol w:w="1261"/>
        <w:gridCol w:w="109"/>
        <w:gridCol w:w="109"/>
        <w:gridCol w:w="109"/>
        <w:gridCol w:w="211"/>
        <w:gridCol w:w="826"/>
        <w:gridCol w:w="109"/>
        <w:gridCol w:w="109"/>
        <w:gridCol w:w="109"/>
        <w:gridCol w:w="109"/>
        <w:gridCol w:w="300"/>
        <w:gridCol w:w="1026"/>
        <w:gridCol w:w="219"/>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82,324 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is included in other non-current assets in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60"/>
        <w:jc w:val="left"/>
        <w:rPr>
          <w:rFonts w:ascii="Times New Roman;sans-serif" w:hAnsi="Times New Roman;sans-serif"/>
          <w:b/>
          <w:i/>
          <w:color w:val="000000"/>
          <w:sz w:val="20"/>
        </w:rPr>
      </w:pPr>
      <w:r>
        <w:rPr>
          <w:rFonts w:ascii="Times New Roman;sans-serif" w:hAnsi="Times New Roman;sans-serif"/>
          <w:b/>
          <w:i/>
          <w:color w:val="000000"/>
          <w:sz w:val="20"/>
        </w:rPr>
        <w:t>Inventories, net</w:t>
      </w:r>
    </w:p>
    <w:p>
      <w:pPr>
        <w:pStyle w:val="TextBody"/>
        <w:bidi w:val="0"/>
        <w:spacing w:lineRule="auto" w:line="288" w:before="0" w:after="160"/>
        <w:jc w:val="both"/>
        <w:rPr/>
      </w:pPr>
      <w:r>
        <w:rPr>
          <w:rFonts w:ascii="Times New Roman;sans-serif" w:hAnsi="Times New Roman;sans-serif"/>
          <w:b w:val="false"/>
          <w:color w:val="000000"/>
          <w:sz w:val="20"/>
          <w:shd w:fill="FFFFFF" w:val="clear"/>
        </w:rPr>
        <w:t>Inventories, net consisted of the follo</w:t>
      </w:r>
      <w:r>
        <w:rPr>
          <w:rFonts w:ascii="Times New Roman;sans-serif" w:hAnsi="Times New Roman;sans-serif"/>
          <w:b w:val="false"/>
          <w:color w:val="000000"/>
          <w:sz w:val="20"/>
        </w:rPr>
        <w:t>wing (in thousands):</w:t>
      </w:r>
    </w:p>
    <w:tbl>
      <w:tblPr>
        <w:tblW w:w="7072" w:type="dxa"/>
        <w:jc w:val="left"/>
        <w:tblInd w:w="0" w:type="dxa"/>
        <w:tblLayout w:type="fixed"/>
        <w:tblCellMar>
          <w:top w:w="28" w:type="dxa"/>
          <w:left w:w="28" w:type="dxa"/>
          <w:bottom w:w="28" w:type="dxa"/>
          <w:right w:w="28" w:type="dxa"/>
        </w:tblCellMar>
      </w:tblPr>
      <w:tblGrid>
        <w:gridCol w:w="1357"/>
        <w:gridCol w:w="1189"/>
        <w:gridCol w:w="1203"/>
        <w:gridCol w:w="109"/>
        <w:gridCol w:w="109"/>
        <w:gridCol w:w="109"/>
        <w:gridCol w:w="228"/>
        <w:gridCol w:w="779"/>
        <w:gridCol w:w="117"/>
        <w:gridCol w:w="109"/>
        <w:gridCol w:w="109"/>
        <w:gridCol w:w="109"/>
        <w:gridCol w:w="300"/>
        <w:gridCol w:w="1026"/>
        <w:gridCol w:w="219"/>
      </w:tblGrid>
      <w:tr>
        <w:trPr/>
        <w:tc>
          <w:tcPr>
            <w:tcW w:w="135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excess and obsolete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7372" w:type="dxa"/>
        <w:jc w:val="left"/>
        <w:tblInd w:w="0" w:type="dxa"/>
        <w:tblLayout w:type="fixed"/>
        <w:tblCellMar>
          <w:top w:w="28" w:type="dxa"/>
          <w:left w:w="28" w:type="dxa"/>
          <w:bottom w:w="28" w:type="dxa"/>
          <w:right w:w="28" w:type="dxa"/>
        </w:tblCellMar>
      </w:tblPr>
      <w:tblGrid>
        <w:gridCol w:w="1466"/>
        <w:gridCol w:w="1290"/>
        <w:gridCol w:w="1293"/>
        <w:gridCol w:w="109"/>
        <w:gridCol w:w="109"/>
        <w:gridCol w:w="109"/>
        <w:gridCol w:w="228"/>
        <w:gridCol w:w="779"/>
        <w:gridCol w:w="117"/>
        <w:gridCol w:w="109"/>
        <w:gridCol w:w="109"/>
        <w:gridCol w:w="109"/>
        <w:gridCol w:w="300"/>
        <w:gridCol w:w="1026"/>
        <w:gridCol w:w="219"/>
      </w:tblGrid>
      <w:tr>
        <w:trPr/>
        <w:tc>
          <w:tcPr>
            <w:tcW w:w="146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and manufacturing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Accrued Compensation and Related Benefits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benefits, which are included in current liabilities on the condensed consolidated balance sheets consisted of the following (in thousands):</w:t>
      </w:r>
    </w:p>
    <w:tbl>
      <w:tblPr>
        <w:tblW w:w="6938" w:type="dxa"/>
        <w:jc w:val="left"/>
        <w:tblInd w:w="0" w:type="dxa"/>
        <w:tblLayout w:type="fixed"/>
        <w:tblCellMar>
          <w:top w:w="28" w:type="dxa"/>
          <w:left w:w="28" w:type="dxa"/>
          <w:bottom w:w="28" w:type="dxa"/>
          <w:right w:w="28" w:type="dxa"/>
        </w:tblCellMar>
      </w:tblPr>
      <w:tblGrid>
        <w:gridCol w:w="1310"/>
        <w:gridCol w:w="1150"/>
        <w:gridCol w:w="1155"/>
        <w:gridCol w:w="109"/>
        <w:gridCol w:w="109"/>
        <w:gridCol w:w="109"/>
        <w:gridCol w:w="253"/>
        <w:gridCol w:w="741"/>
        <w:gridCol w:w="131"/>
        <w:gridCol w:w="109"/>
        <w:gridCol w:w="109"/>
        <w:gridCol w:w="109"/>
        <w:gridCol w:w="332"/>
        <w:gridCol w:w="970"/>
        <w:gridCol w:w="242"/>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incentive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taxes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lineRule="auto" w:line="288" w:before="0" w:after="20"/>
        <w:jc w:val="both"/>
        <w:rPr/>
      </w:pPr>
      <w:r>
        <w:rPr>
          <w:rFonts w:ascii="Times New Roman;sans-serif" w:hAnsi="Times New Roman;sans-serif"/>
          <w:b w:val="false"/>
          <w:color w:val="000000"/>
          <w:sz w:val="20"/>
        </w:rPr>
        <w:t>Refer to</w:t>
      </w:r>
      <w:r>
        <w:rPr>
          <w:color w:val="000000"/>
          <w:shd w:fill="FFFFFF" w:val="clear"/>
        </w:rPr>
        <w:t xml:space="preserve"> </w:t>
      </w:r>
      <w:hyperlink w:anchor="idd1b4c000b3644ad973d52f3d51888e8_82">
        <w:r>
          <w:rPr>
            <w:rStyle w:val="InternetLink"/>
            <w:rFonts w:ascii="Times New Roman;sans-serif" w:hAnsi="Times New Roman;sans-serif"/>
            <w:b w:val="false"/>
            <w:color w:val="0000FF"/>
            <w:sz w:val="20"/>
            <w:u w:val="single"/>
            <w:shd w:fill="FFFFFF" w:val="clear"/>
          </w:rPr>
          <w:t>Note 14</w:t>
        </w:r>
      </w:hyperlink>
      <w:r>
        <w:rPr>
          <w:color w:val="000000"/>
          <w:shd w:fill="FFFFFF" w:val="clear"/>
        </w:rPr>
        <w:t xml:space="preserve"> </w:t>
      </w:r>
      <w:r>
        <w:rPr>
          <w:rFonts w:ascii="Times New Roman;sans-serif" w:hAnsi="Times New Roman;sans-serif"/>
          <w:b w:val="false"/>
          <w:color w:val="000000"/>
          <w:sz w:val="20"/>
          <w:shd w:fill="FFFFFF" w:val="clear"/>
        </w:rPr>
        <w:t>for addit</w:t>
      </w:r>
      <w:r>
        <w:rPr>
          <w:rFonts w:ascii="Times New Roman;sans-serif" w:hAnsi="Times New Roman;sans-serif"/>
          <w:b w:val="false"/>
          <w:color w:val="000000"/>
          <w:sz w:val="20"/>
        </w:rPr>
        <w:t>ional information on restructuring.</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Deferred Grant Income</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In September 2020, the Company executed a contract with the National Institutes of Health (NIH) under NIH’s Rapid Acceleration of Diagnostics program to support the expansion of the Company’s production capacity for its COVID-19 test products. Under the now-completed contract, the Company received $34.0 million of funding from the NIH and used $22.2 million on capital expenditures for their Singapore manufacturing facility. The amortization of the deferred income, which is offset against depreciation, was $0.9 million and $0.8 million for the </w:t>
      </w:r>
      <w:r>
        <w:rPr>
          <w:rFonts w:ascii="Times New Roman;sans-serif" w:hAnsi="Times New Roman;sans-serif"/>
          <w:b w:val="false"/>
          <w:color w:val="000000"/>
          <w:sz w:val="20"/>
        </w:rPr>
        <w:t xml:space="preserve">three months ended </w:t>
      </w:r>
      <w:r>
        <w:rPr>
          <w:rFonts w:ascii="Times New Roman;sans-serif" w:hAnsi="Times New Roman;sans-serif"/>
          <w:b w:val="false"/>
          <w:color w:val="000000"/>
          <w:sz w:val="20"/>
          <w:shd w:fill="FFFFFF" w:val="clear"/>
        </w:rPr>
        <w:t>June 30, 2023 and June 30, 2022, respectively, and $1.8 million and $1.7 million for the six months ended June 30, 2023 and June 30, 2022, respectively Cumulative amounts applied against depreciation expense for these assets placed in service were $6.0 million and $4.2 million as of June 30, 2023 and December 31, 2022, respectively, and the carrying values of these assets were $16.2 million and $18.0 million, respectively, as of these same dates.</w:t>
      </w:r>
    </w:p>
    <w:p>
      <w:pPr>
        <w:pStyle w:val="TextBody"/>
        <w:bidi w:val="0"/>
        <w:spacing w:lineRule="auto" w:line="288" w:before="160" w:after="2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portion of deferred grant income on the Company’s condensed consolidated balance sheets represents amounts expected to be offset against depreciation expense over the next twelve months. The non-current portion of deferred grant income includes amounts expected to be offset against depreciation expense in later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debt consists of the following (in thousands): </w:t>
      </w:r>
    </w:p>
    <w:tbl>
      <w:tblPr>
        <w:tblW w:w="5677" w:type="dxa"/>
        <w:jc w:val="left"/>
        <w:tblInd w:w="0" w:type="dxa"/>
        <w:tblLayout w:type="fixed"/>
        <w:tblCellMar>
          <w:top w:w="28" w:type="dxa"/>
          <w:left w:w="28" w:type="dxa"/>
          <w:bottom w:w="28" w:type="dxa"/>
          <w:right w:w="28" w:type="dxa"/>
        </w:tblCellMar>
      </w:tblPr>
      <w:tblGrid>
        <w:gridCol w:w="853"/>
        <w:gridCol w:w="749"/>
        <w:gridCol w:w="752"/>
        <w:gridCol w:w="109"/>
        <w:gridCol w:w="109"/>
        <w:gridCol w:w="109"/>
        <w:gridCol w:w="228"/>
        <w:gridCol w:w="779"/>
        <w:gridCol w:w="117"/>
        <w:gridCol w:w="109"/>
        <w:gridCol w:w="109"/>
        <w:gridCol w:w="109"/>
        <w:gridCol w:w="300"/>
        <w:gridCol w:w="1026"/>
        <w:gridCol w:w="219"/>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convertible notes,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left"/>
        <w:rPr>
          <w:rFonts w:ascii="Times New Roman;sans-serif" w:hAnsi="Times New Roman;sans-serif"/>
          <w:b/>
          <w:i/>
          <w:color w:val="000000"/>
          <w:sz w:val="20"/>
        </w:rPr>
      </w:pPr>
      <w:r>
        <w:rPr>
          <w:rFonts w:ascii="Times New Roman;sans-serif" w:hAnsi="Times New Roman;sans-serif"/>
          <w:b/>
          <w:i/>
          <w:color w:val="000000"/>
          <w:sz w:val="20"/>
        </w:rPr>
        <w:t>Convertible Notes</w:t>
      </w:r>
    </w:p>
    <w:p>
      <w:pPr>
        <w:pStyle w:val="TextBody"/>
        <w:bidi w:val="0"/>
        <w:spacing w:lineRule="auto" w:line="288" w:before="2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2014, the Company closed an underwritten public offering of 2014 Senior Convertible Notes (2014 Notes), which will mature on February 1, 2034, unless earlier converted, redeemed, or repurchased in accordance with the terms of the 2014 Notes. Holders may require the Company to repurchase all or a portion of their 2014 Notes on each of February 6, 2024 and February 6, 2029, at a repurchase price in cash equal to 100% of the principal amount of the 2014 Notes plus accrued and unpaid interest. </w:t>
      </w:r>
    </w:p>
    <w:p>
      <w:pPr>
        <w:pStyle w:val="TextBody"/>
        <w:bidi w:val="0"/>
        <w:spacing w:lineRule="auto" w:line="288" w:before="160" w:after="283"/>
        <w:jc w:val="both"/>
        <w:rPr/>
      </w:pPr>
      <w:r>
        <w:rPr>
          <w:rFonts w:ascii="Times New Roman;sans-serif" w:hAnsi="Times New Roman;sans-serif"/>
          <w:b w:val="false"/>
          <w:color w:val="000000"/>
          <w:sz w:val="20"/>
        </w:rPr>
        <w:t xml:space="preserve">In November 2019, the Company issued $55.0 million aggregate principal amount of 2019 Senior Convertible Notes (2019 Notes). Net proceeds from the 2019 Notes issuance of $52.7 million, after deductions for commissions and other debt issuance costs were used to retire all but </w:t>
      </w:r>
      <w:r>
        <w:rPr>
          <w:rFonts w:ascii="Times New Roman;sans-serif" w:hAnsi="Times New Roman;sans-serif"/>
          <w:b w:val="false"/>
          <w:color w:val="000000"/>
          <w:sz w:val="20"/>
          <w:shd w:fill="FFFFFF" w:val="clear"/>
        </w:rPr>
        <w:t>$1.1 million</w:t>
      </w:r>
      <w:r>
        <w:rPr>
          <w:color w:val="000000"/>
        </w:rPr>
        <w:t xml:space="preserve"> </w:t>
      </w:r>
      <w:r>
        <w:rPr>
          <w:rFonts w:ascii="Times New Roman;sans-serif" w:hAnsi="Times New Roman;sans-serif"/>
          <w:b w:val="false"/>
          <w:color w:val="000000"/>
          <w:sz w:val="20"/>
        </w:rPr>
        <w:t xml:space="preserve">of the aggregate principal value of the 2014 Notes then outstanding. The 2019 Notes bear interest at 5.25% per annum, payable semiannually on June 1 and December 1 of each year. The 2019 Notes will mature on December 1, 2024, unless earlier repurchased or converted pursuant to their terms. The 2019 Notes will be convertible at the option of the holder at any point prior to the close of business on the second scheduled trading day preceding the maturity date. The initial conversion rate of the 2019 Notes is 344.8276 shares of the Company’s common stock per $1,000 principal amount of 2019 Notes (which is equivalent to an initial conversion price of approximately $2.90 per share). The conversion rate is subject to adjustment upon the occurrence of certain specified events. Those certain specified events include voluntary conversion of the 2019 Notes prior to the Company’s exercise of the Issuer’s Conversion Option (as defined therein) or in connection with a make-whole fundamental change, entitling the holders, under certain circumstances, to a make-whole premium in the form of an increase in the conversion rate determined by reference to a make-whole table set forth in the indenture governing the 2019 Notes. The conversion rate will not be adjusted for any accrued and unpaid interest. The 2019 Notes are convertible at the Company’s option in whole but not in part into shares of the Company’s common stock upon certain conditions if the volume-weighted average price of the Company’s common stock has equaled or exceeded 130% of the Conversion Price then in effect for a specified number of days.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Offering-related costs related to both notes were capitalized as debt issuance costs and are recorded as an offset to the carrying value of the 2019 Notes.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88" w:before="160" w:after="160"/>
        <w:jc w:val="both"/>
        <w:rPr/>
      </w:pPr>
      <w:r>
        <w:rPr>
          <w:rFonts w:ascii="Times New Roman;sans-serif" w:hAnsi="Times New Roman;sans-serif"/>
          <w:b w:val="false"/>
          <w:color w:val="000000"/>
          <w:sz w:val="20"/>
        </w:rPr>
        <w:t xml:space="preserve">On August 2, 2018, the Company entered into a revolving credit facility with Silicon Valley Bank (SVB) (as amended, the Revolving Credit Facility) in an aggregate principal amount of up to the lesser of (i) $15.0 million or (ii) the sum of (a) 85% of eligible receivables and (b) 50% of eligible inventory, in each case, subject to certain limitations (Borrowing Base), provided that the amount of eligible inventory that may be counted towards the Borrowing Base shall be subject to a cap as set forth in the Revolving Credit Facility. </w:t>
      </w:r>
      <w:r>
        <w:rPr>
          <w:rFonts w:ascii="Times New Roman;sans-serif" w:hAnsi="Times New Roman;sans-serif"/>
          <w:b w:val="false"/>
          <w:color w:val="000000"/>
          <w:sz w:val="20"/>
          <w:shd w:fill="FFFFFF" w:val="clear"/>
        </w:rPr>
        <w:t>The Credit Facility was collateralized by substantially all the Company’s property, other than intellectual property and contains certain financial covenants and expired on August 2, 2023</w:t>
      </w:r>
      <w:r>
        <w:rPr>
          <w:rFonts w:ascii="Times New Roman;sans-serif" w:hAnsi="Times New Roman;sans-serif"/>
          <w:b w:val="false"/>
          <w:color w:val="000000"/>
          <w:sz w:val="20"/>
        </w:rPr>
        <w:t>. As of June 30, 2023, the Company was in compliance with all financial covenants. There were no borrowings under the Revolving Credit Facility and the total amount available was $7.1 million.</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March 10, 2023, SVB was closed by the California Department of Financial Protection and Innovation, and the Federal Deposit Insurance Corporation was appointed as receiver. On March 27, 2023, First Citizens Bank &amp; Trust Company (First Citizens Bank) assumed all of SVB’s deposits and loans. SVB now operates as a division of First Citizens Bank.</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Term Loan Facility, net</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August 2, 2021, we amended our Revolving Credit Facility to, amongst other things, provide for a new $10.0 million term loan facility (the Term Loan Facility). As of June 30, 2023, the Term Loan Facility was fully drawn with an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principal balance of $10.0 million and a carrying value of $10.4 million. </w:t>
      </w:r>
      <w:r>
        <w:rPr>
          <w:rFonts w:ascii="Times New Roman;sans-serif" w:hAnsi="Times New Roman;sans-serif"/>
          <w:b w:val="false"/>
          <w:color w:val="000000"/>
          <w:sz w:val="20"/>
        </w:rPr>
        <w:t>The interest rate on the Term Loan Facility is the greater of 4.0% per annum or a floating per annum rate equal to the prime rate plus 0.75%. Interest on any outstanding term loan advances is due and payable monthly. In addition to the monthly interest payments, a final payment equal to 6.5% of the original principal amount of each advance is due the earlier of the maturity date or the date the advance is repaid. Principal balances are required to be repaid in 24 equal installments beginning on</w:t>
      </w:r>
      <w:r>
        <w:rPr>
          <w:color w:val="000000"/>
          <w:shd w:fill="FFFFFF" w:val="clear"/>
        </w:rPr>
        <w:t xml:space="preserve"> </w:t>
      </w:r>
      <w:r>
        <w:rPr>
          <w:rFonts w:ascii="Times New Roman;sans-serif" w:hAnsi="Times New Roman;sans-serif"/>
          <w:b w:val="false"/>
          <w:color w:val="000000"/>
          <w:sz w:val="20"/>
          <w:shd w:fill="FFFFFF" w:val="clear"/>
        </w:rPr>
        <w:t>August 1, 2023. The stated maturity of the Term Loan Facility is July 1, 2025.</w:t>
      </w:r>
      <w:r>
        <w:rPr>
          <w:color w:val="000000"/>
          <w:shd w:fill="FFFFFF" w:val="clear"/>
        </w:rPr>
        <w:t xml:space="preserve"> </w:t>
      </w:r>
      <w:r>
        <w:rPr>
          <w:rFonts w:ascii="Times New Roman;sans-serif" w:hAnsi="Times New Roman;sans-serif"/>
          <w:b w:val="false"/>
          <w:color w:val="000000"/>
          <w:sz w:val="20"/>
          <w:shd w:fill="FFFFFF" w:val="clear"/>
        </w:rPr>
        <w:t>However, if the principal amount of the Company’s convertible debt exceeds $0.6 million as of June 1, 2024 or if the maturity date of the 2019 Notes has not been extended beyond January 1, 2026 by June 1, 2024, then the maturity date of the Term Loan Facility will be June 1, 2024.</w:t>
      </w:r>
    </w:p>
    <w:p>
      <w:pPr>
        <w:pStyle w:val="TextBody"/>
        <w:bidi w:val="0"/>
        <w:spacing w:lineRule="auto" w:line="288" w:before="160" w:after="1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Bridge Loans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23, 2022, the Company entered into separate loan agreements (collectively, the Bridge Loan Agreements) with various investors for a $25.0 million term loan (collectively, the Bridge Loans). The Bridge Loans were fully drawn on January 24, 2022, and automatically converted into Series B Preferred Stock upon the subsequent closing of the Private Placement (as defined below) on April 4, 2022 (the Closing Date).</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Applying the guidance in ASC 825 Financial Instruments, the Company elected to record the Bridge Loans at their fair value using a probability‐weighted expected return method for the valuation analysis of the Bridge Loans.</w:t>
      </w:r>
      <w:r>
        <w:rPr>
          <w:color w:val="000000"/>
        </w:rPr>
        <w:t xml:space="preserve"> </w:t>
      </w:r>
      <w:r>
        <w:rPr>
          <w:rFonts w:ascii="Times New Roman;sans-serif" w:hAnsi="Times New Roman;sans-serif"/>
          <w:b w:val="false"/>
          <w:color w:val="000000"/>
          <w:sz w:val="20"/>
          <w:shd w:fill="FFFFFF" w:val="clear"/>
        </w:rPr>
        <w:t>This resulted in a $13.7 million</w:t>
      </w:r>
      <w:r>
        <w:rPr>
          <w:color w:val="000000"/>
        </w:rPr>
        <w:t xml:space="preserve"> </w:t>
      </w:r>
      <w:r>
        <w:rPr>
          <w:rFonts w:ascii="Times New Roman;sans-serif" w:hAnsi="Times New Roman;sans-serif"/>
          <w:b w:val="false"/>
          <w:color w:val="000000"/>
          <w:sz w:val="20"/>
          <w:shd w:fill="FFFFFF" w:val="clear"/>
        </w:rPr>
        <w:t xml:space="preserve">change in fair value of the Bridge Loans from </w:t>
      </w:r>
      <w:r>
        <w:rPr>
          <w:rFonts w:ascii="Times New Roman;sans-serif" w:hAnsi="Times New Roman;sans-serif"/>
          <w:b w:val="false"/>
          <w:color w:val="000000"/>
          <w:sz w:val="20"/>
        </w:rPr>
        <w:t>$25.0 million</w:t>
      </w:r>
      <w:r>
        <w:rPr>
          <w:color w:val="000000"/>
          <w:shd w:fill="FFFFFF" w:val="clear"/>
        </w:rPr>
        <w:t xml:space="preserve"> </w:t>
      </w:r>
      <w:r>
        <w:rPr>
          <w:rFonts w:ascii="Times New Roman;sans-serif" w:hAnsi="Times New Roman;sans-serif"/>
          <w:b w:val="false"/>
          <w:color w:val="000000"/>
          <w:sz w:val="20"/>
          <w:shd w:fill="FFFFFF" w:val="clear"/>
        </w:rPr>
        <w:t xml:space="preserve">at inception to $38.7 million as of the Closing Date, including the portion attributable to accrued interest, which is reflected as a non-operating unrealized loss on the Bridge Loans in the accompanying condensed consolidated statements of operations for the six months ended June 30, 2022. See </w:t>
      </w:r>
      <w:hyperlink w:anchor="idd1b4c000b3644ad973d52f3d51888e8_64">
        <w:r>
          <w:rPr>
            <w:rStyle w:val="InternetLink"/>
            <w:rFonts w:ascii="Times New Roman;sans-serif" w:hAnsi="Times New Roman;sans-serif"/>
            <w:b w:val="false"/>
            <w:color w:val="0000FF"/>
            <w:sz w:val="20"/>
            <w:u w:val="single"/>
            <w:shd w:fill="FFFFFF" w:val="clear"/>
          </w:rPr>
          <w:t>Note 9</w:t>
        </w:r>
      </w:hyperlink>
      <w:r>
        <w:rPr>
          <w:color w:val="000000"/>
          <w:shd w:fill="FFFFFF" w:val="clear"/>
        </w:rPr>
        <w:t xml:space="preserve"> </w:t>
      </w:r>
      <w:r>
        <w:rPr>
          <w:rFonts w:ascii="Times New Roman;sans-serif" w:hAnsi="Times New Roman;sans-serif"/>
          <w:b w:val="false"/>
          <w:color w:val="000000"/>
          <w:sz w:val="20"/>
          <w:shd w:fill="FFFFFF" w:val="clear"/>
        </w:rPr>
        <w:t>for further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7. Commitments and Contingencies </w:t>
      </w:r>
    </w:p>
    <w:p>
      <w:pPr>
        <w:pStyle w:val="TextBody"/>
        <w:bidi w:val="0"/>
        <w:spacing w:lineRule="auto" w:line="288" w:before="240" w:after="16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0"/>
        <w:jc w:val="both"/>
        <w:rPr/>
      </w:pPr>
      <w:r>
        <w:rPr>
          <w:rFonts w:ascii="Times New Roman;sans-serif" w:hAnsi="Times New Roman;sans-serif"/>
          <w:b w:val="false"/>
          <w:color w:val="000000"/>
          <w:sz w:val="20"/>
        </w:rPr>
        <w:t>The Company has operating leases for buildings and vehicles, which includes a facility lease for its headquarters consisting of four floors. The Company’s facility lease has an expiration date of April 30, 2030 and contains an option to extend the lease, for up to five years, along with termination options. The Company is utilizing one floor (19</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for its corporate operations with all expense for this floor included within selling, general and administrative expense on the Company’s condensed consolidated statement of operations for the three and six months ended June 30, 2023 and 2022.</w:t>
      </w:r>
    </w:p>
    <w:p>
      <w:pPr>
        <w:pStyle w:val="TextBody"/>
        <w:bidi w:val="0"/>
        <w:spacing w:lineRule="auto" w:line="288" w:before="160" w:after="160"/>
        <w:jc w:val="both"/>
        <w:rPr/>
      </w:pPr>
      <w:r>
        <w:rPr>
          <w:rFonts w:ascii="Times New Roman;sans-serif" w:hAnsi="Times New Roman;sans-serif"/>
          <w:b w:val="false"/>
          <w:color w:val="000000"/>
          <w:sz w:val="20"/>
        </w:rPr>
        <w:t xml:space="preserve">As part of the Company’s restructuring plan discussed further in </w:t>
      </w:r>
      <w:hyperlink w:anchor="idd1b4c000b3644ad973d52f3d51888e8_82">
        <w:r>
          <w:rPr>
            <w:rStyle w:val="InternetLink"/>
            <w:rFonts w:ascii="Times New Roman;sans-serif" w:hAnsi="Times New Roman;sans-serif"/>
            <w:b w:val="false"/>
            <w:color w:val="0000FF"/>
            <w:sz w:val="20"/>
            <w:u w:val="single"/>
          </w:rPr>
          <w:t>Note 14</w:t>
        </w:r>
      </w:hyperlink>
      <w:r>
        <w:rPr>
          <w:rFonts w:ascii="Times New Roman;sans-serif" w:hAnsi="Times New Roman;sans-serif"/>
          <w:b w:val="false"/>
          <w:color w:val="000000"/>
          <w:sz w:val="20"/>
        </w:rPr>
        <w:t>, in August 2022, the Company entered into an agreement to sublease approximately 25% of its corporate headquarters space (18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in South San Francisco, California for a period of 39 months. As of June 30, 2023, 30 months were remaining on the sublease. The Company expects to recognize $4.7 million of sublease income over the lease term that commenced in October 2022. In addition, on February 28, 2023, the Company signed a second agreement to sublease an additional 25% of its corporate headquarters (21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floor) for a period of 77 months. The Company expects to recognize additional sublease income of $9.1 million over the lease term, commencing on December 1, 2023.</w:t>
      </w:r>
    </w:p>
    <w:p>
      <w:pPr>
        <w:pStyle w:val="TextBody"/>
        <w:bidi w:val="0"/>
        <w:spacing w:lineRule="auto" w:line="288" w:before="0" w:after="0"/>
        <w:jc w:val="both"/>
        <w:rPr/>
      </w:pPr>
      <w:r>
        <w:rPr>
          <w:rFonts w:ascii="Times New Roman;sans-serif" w:hAnsi="Times New Roman;sans-serif"/>
          <w:b w:val="false"/>
          <w:color w:val="000000"/>
          <w:sz w:val="20"/>
        </w:rPr>
        <w:t>Rent expense, net of sublease income, is reported within restructuring and related charges for the three and six months ended June 30, 2023 in the condensed consolidated statements of operations. The Company is currently in the process of fully vacating and potentially subleasing an additional floor (20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w:t>
      </w:r>
    </w:p>
    <w:p>
      <w:pPr>
        <w:pStyle w:val="TextBody"/>
        <w:bidi w:val="0"/>
        <w:spacing w:lineRule="auto" w:line="288" w:before="240" w:after="160"/>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has entered into indemnification provisions under certain of its agreements in the ordinary course of business, typically with business partners, customers, and suppliers. Pursuant to these agreements, the Company may indemnify, hold harmless, and agree to reimburse the indemnified parties on a case-by-case basis for losses suffered or incurred by the indemnified parties in connection with any patent or other intellectual property infringement claim by any third party with respect to the Company’s products. The term of these indemnification provisions is generally perpetual from the time of the execution of the agreement. The maximum potential amount of future payments the Company could be required to make under these indemnification provisions is typically not limited to a specific amount. In addition, the Company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pStyle w:val="TextBody"/>
        <w:bidi w:val="0"/>
        <w:spacing w:lineRule="auto" w:line="288" w:before="240" w:after="160"/>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the Company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the Company reviews the status of each matter and assess its potential financial exposure. If the potential loss from any claim or legal proceeding is considered probable and a range of possible loss can be estimated, the Company accrues a liability for the estimated loss. The Company has not recorded any such liabilities in any of the periods presented. Legal proceedings are subject to uncertainties, and the outcomes are difficult to predict. Because of such uncertainties, accruals are based only on the best information available at the time. As additional information becomes available, the Company continues to reassess the potential liability related to pending claims and litigation and may revise estimates.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8. Fair Value of Financial Instruments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financial instruments by significant investment category measured at fair value on a recurring basis within the fair value hierarchy (in thousands):</w:t>
      </w:r>
    </w:p>
    <w:tbl>
      <w:tblPr>
        <w:tblW w:w="10205" w:type="dxa"/>
        <w:jc w:val="left"/>
        <w:tblInd w:w="0" w:type="dxa"/>
        <w:tblLayout w:type="fixed"/>
        <w:tblCellMar>
          <w:top w:w="28" w:type="dxa"/>
          <w:left w:w="28" w:type="dxa"/>
          <w:bottom w:w="28" w:type="dxa"/>
          <w:right w:w="28" w:type="dxa"/>
        </w:tblCellMar>
      </w:tblPr>
      <w:tblGrid>
        <w:gridCol w:w="799"/>
        <w:gridCol w:w="497"/>
        <w:gridCol w:w="440"/>
        <w:gridCol w:w="211"/>
        <w:gridCol w:w="826"/>
        <w:gridCol w:w="109"/>
        <w:gridCol w:w="109"/>
        <w:gridCol w:w="109"/>
        <w:gridCol w:w="109"/>
        <w:gridCol w:w="441"/>
        <w:gridCol w:w="1726"/>
        <w:gridCol w:w="226"/>
        <w:gridCol w:w="115"/>
        <w:gridCol w:w="115"/>
        <w:gridCol w:w="115"/>
        <w:gridCol w:w="529"/>
        <w:gridCol w:w="1019"/>
        <w:gridCol w:w="276"/>
        <w:gridCol w:w="115"/>
        <w:gridCol w:w="115"/>
        <w:gridCol w:w="115"/>
        <w:gridCol w:w="527"/>
        <w:gridCol w:w="1015"/>
        <w:gridCol w:w="275"/>
        <w:gridCol w:w="109"/>
        <w:gridCol w:w="163"/>
      </w:tblGrid>
      <w:tr>
        <w:trPr/>
        <w:tc>
          <w:tcPr>
            <w:tcW w:w="79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Reporting Date Using</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June 30, 2023</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Reporting Date Using</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Short-term investments: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138,369 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within the hierarchy and no changes in the valuation techniques used during the six months ended June 30, 2023.</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available-for-sale securities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58"/>
        <w:gridCol w:w="692"/>
        <w:gridCol w:w="696"/>
        <w:gridCol w:w="409"/>
        <w:gridCol w:w="409"/>
        <w:gridCol w:w="411"/>
        <w:gridCol w:w="109"/>
        <w:gridCol w:w="109"/>
        <w:gridCol w:w="109"/>
        <w:gridCol w:w="222"/>
        <w:gridCol w:w="871"/>
        <w:gridCol w:w="114"/>
        <w:gridCol w:w="109"/>
        <w:gridCol w:w="109"/>
        <w:gridCol w:w="109"/>
        <w:gridCol w:w="342"/>
        <w:gridCol w:w="659"/>
        <w:gridCol w:w="178"/>
        <w:gridCol w:w="109"/>
        <w:gridCol w:w="109"/>
        <w:gridCol w:w="109"/>
        <w:gridCol w:w="312"/>
        <w:gridCol w:w="724"/>
        <w:gridCol w:w="162"/>
        <w:gridCol w:w="109"/>
        <w:gridCol w:w="109"/>
        <w:gridCol w:w="109"/>
        <w:gridCol w:w="269"/>
        <w:gridCol w:w="1056"/>
        <w:gridCol w:w="139"/>
        <w:gridCol w:w="109"/>
        <w:gridCol w:w="165"/>
      </w:tblGrid>
      <w:tr>
        <w:trPr/>
        <w:tc>
          <w:tcPr>
            <w:tcW w:w="95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Short-term investments: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 or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securities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138,871 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138,369 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no allowance for credit losses as it did not hold any financial instruments other than money market funds.</w:t>
      </w:r>
    </w:p>
    <w:p>
      <w:pPr>
        <w:pStyle w:val="TextBody"/>
        <w:bidi w:val="0"/>
        <w:spacing w:lineRule="auto" w:line="288" w:before="240" w:after="160"/>
        <w:jc w:val="both"/>
        <w:rPr>
          <w:rFonts w:ascii="Times New Roman;sans-serif" w:hAnsi="Times New Roman;sans-serif"/>
          <w:b/>
          <w:i/>
          <w:color w:val="000000"/>
          <w:sz w:val="20"/>
        </w:rPr>
      </w:pPr>
      <w:r>
        <w:rPr>
          <w:rFonts w:ascii="Times New Roman;sans-serif" w:hAnsi="Times New Roman;sans-serif"/>
          <w:b/>
          <w:i/>
          <w:color w:val="000000"/>
          <w:sz w:val="20"/>
        </w:rPr>
        <w:t>Debt</w:t>
      </w:r>
    </w:p>
    <w:p>
      <w:pPr>
        <w:pStyle w:val="TextBody"/>
        <w:bidi w:val="0"/>
        <w:spacing w:lineRule="auto" w:line="288" w:before="2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2014 Notes and 2019 Notes (collectively, the Convertible Notes) are not regularly traded. The estimated fair values for these securities represent Level III valuations since a fair value for these securities cannot be determined by using readily observable inputs or measures, such as market prices. Fair values were estimated using pricing models and risk-adjusted value ranges. </w:t>
      </w:r>
    </w:p>
    <w:p>
      <w:pPr>
        <w:pStyle w:val="TextBody"/>
        <w:bidi w:val="0"/>
        <w:spacing w:lineRule="auto" w:line="288" w:before="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estimated fair value of the Term Loan Facility also represents a Level III valuation since the value cannot be determined by using readily observable inputs or measures, such as market prices. The fair value of our Term Loan Facility was estimated using a discounted cash flow model and current market interest rate data for similar loans.</w:t>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carrying amounts of our lines of Term Loan Facility approximates fair value as interest rates applied to the underlying debt are adjusted quarterly to market interest rates. The carrying value of the Convertible Notes approximates fair value as the interest rate and terms are reflective of the rate the Company could obtain on debt with similar terms and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 xml:space="preserve">9. Mezzanine Equity </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Series B Redeemable Preferred Stock</w:t>
      </w:r>
    </w:p>
    <w:p>
      <w:pPr>
        <w:pStyle w:val="TextBody"/>
        <w:bidi w:val="0"/>
        <w:spacing w:lineRule="auto" w:line="268" w:before="0" w:after="0"/>
        <w:jc w:val="both"/>
        <w:rPr/>
      </w:pPr>
      <w:r>
        <w:rPr>
          <w:rFonts w:ascii="Times New Roman;sans-serif" w:hAnsi="Times New Roman;sans-serif"/>
          <w:b w:val="false"/>
          <w:color w:val="000000"/>
          <w:sz w:val="20"/>
        </w:rPr>
        <w:t>On January 23, 2022, the Company entered into separate Series B Convertible Preferred Stock Purchase Agreements (collectively, the Purchase Agreements) with</w:t>
      </w:r>
      <w:r>
        <w:rPr>
          <w:color w:val="000000"/>
        </w:rPr>
        <w:t xml:space="preserve"> </w:t>
      </w:r>
      <w:r>
        <w:rPr>
          <w:rFonts w:ascii="Times New Roman;sans-serif" w:hAnsi="Times New Roman;sans-serif"/>
          <w:b w:val="false"/>
          <w:color w:val="000000"/>
          <w:sz w:val="20"/>
        </w:rPr>
        <w:t xml:space="preserve">Casdin Private Growth Equity Fund II, L.P. and Casdin Partners Master Fund, L.P., (collectively, Casdin) and Viking Global Opportunities Illiquid Investments Sub Master LP and Viking Global Opportunities Drawdown LP (collectively, Viking, and collectively with Casdin, the Lenders), whereby the Company issued and sold an aggregate of $225 million of convertible preferred stock, consisting of: (i) 112,500 shares of the Company’s Series B-1 Convertible Preferred Stock, par value $0.001 per share (the Series B-1 Preferred Stock), at a purchase price of $1,000 per share; and (ii) 112,500 shares of the Company’s Series B-2 Convertible Preferred Stock, par value $0.001 per share (the Series B-2 Preferred Stock, and together with the Series B-1 Preferred Stock, the Series B Preferred Stock or the Series B Redeemable Preferred Stock) at a purchase price of $1,000 per share (together with the issuance of shares of Series B Preferred Stock in connection with the conversion of the Bridge Loans, the Private Placement). On the Closing Date, 225,000 shares of Series B Preferred Stock were issued in accordance with the Purchase Agreements and the Bridge Loans converted into 30,559 shares of Series B Preferred Stock, for a total of 255,559 shares of Series B Preferred Stock. The Company recorded the Series 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Preferred Stock as mezzanine equity at its fair value upon issuance, net of any issuance costs, on the condensed consolidated balance sheets as it has features, such as change of control and liquidation preference, which are outside of the Company’s control.</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Agreements were accounted for as forward sales contracts at fair value in accordance with the authoritative accounting guidance as the Series B Preferred Stock included certain contingent redemption features that created an obligation for the Company to repurchase its shares. The fair value of the payable portion of the forward sales contracts was determined using a Monte Carlo Simulation, which relies on significant assumptions regarding the estimated yield and term of the Series B Preferred Stock.</w:t>
      </w:r>
    </w:p>
    <w:p>
      <w:pPr>
        <w:pStyle w:val="TextBody"/>
        <w:bidi w:val="0"/>
        <w:spacing w:lineRule="auto" w:line="288" w:before="160" w:after="160"/>
        <w:jc w:val="both"/>
        <w:rPr/>
      </w:pPr>
      <w:r>
        <w:rPr>
          <w:rFonts w:ascii="Times New Roman;sans-serif" w:hAnsi="Times New Roman;sans-serif"/>
          <w:b w:val="false"/>
          <w:color w:val="000000"/>
          <w:sz w:val="20"/>
          <w:shd w:fill="FFFFFF" w:val="clear"/>
        </w:rPr>
        <w:t>T</w:t>
      </w:r>
      <w:r>
        <w:rPr>
          <w:rFonts w:ascii="Times New Roman;sans-serif" w:hAnsi="Times New Roman;sans-serif"/>
          <w:b w:val="false"/>
          <w:color w:val="000000"/>
          <w:sz w:val="20"/>
        </w:rPr>
        <w:t>he components of the carrying value of the Series B Preferred Stock as of June 30, 2023 and December 31, 2022 were as follows (in thousands):</w:t>
      </w:r>
    </w:p>
    <w:tbl>
      <w:tblPr>
        <w:tblW w:w="6408" w:type="dxa"/>
        <w:jc w:val="center"/>
        <w:tblInd w:w="0" w:type="dxa"/>
        <w:tblLayout w:type="fixed"/>
        <w:tblCellMar>
          <w:top w:w="28" w:type="dxa"/>
          <w:left w:w="28" w:type="dxa"/>
          <w:bottom w:w="28" w:type="dxa"/>
          <w:right w:w="28" w:type="dxa"/>
        </w:tblCellMar>
      </w:tblPr>
      <w:tblGrid>
        <w:gridCol w:w="1611"/>
        <w:gridCol w:w="1417"/>
        <w:gridCol w:w="1426"/>
        <w:gridCol w:w="109"/>
        <w:gridCol w:w="109"/>
        <w:gridCol w:w="109"/>
        <w:gridCol w:w="211"/>
        <w:gridCol w:w="826"/>
        <w:gridCol w:w="109"/>
        <w:gridCol w:w="109"/>
        <w:gridCol w:w="109"/>
        <w:gridCol w:w="109"/>
        <w:gridCol w:w="154"/>
      </w:tblGrid>
      <w:tr>
        <w:trPr/>
        <w:tc>
          <w:tcPr>
            <w:tcW w:w="161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Bridge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Forward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fair value of Bridge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equity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Series B Redeemable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B Preferred Stock ranks senior to our common stock with respect to dividend rights, redemption rights and rights on the distribution of assets on any voluntary or involuntary liquidation, dissolution or winding up of the affairs of the Company. The holders of Series B Preferred Stock are entitled to participate in all dividends declared on our common stock on an as-converted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Shareholders’ Deficit</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 xml:space="preserve">Stock Repurchase Program </w:t>
      </w:r>
    </w:p>
    <w:p>
      <w:pPr>
        <w:pStyle w:val="TextBody"/>
        <w:bidi w:val="0"/>
        <w:spacing w:lineRule="auto" w:line="288" w:before="160" w:after="160"/>
        <w:jc w:val="both"/>
        <w:rPr/>
      </w:pPr>
      <w:r>
        <w:rPr>
          <w:rFonts w:ascii="Times New Roman;sans-serif" w:hAnsi="Times New Roman;sans-serif"/>
          <w:b w:val="false"/>
          <w:color w:val="000000"/>
          <w:sz w:val="20"/>
          <w:shd w:fill="FFFFFF" w:val="clear"/>
        </w:rPr>
        <w:t xml:space="preserve">On November 23, 2022, the Company’s board of directors authorized the repurchase of up to $20.0 million in shares of the Company’s common stock in the open market or in negotiated transactions through December 31, 2023. The Company repurchased a total of 1,208,200 shares of common stock under the program at a cost of $2.4 million, excluding commission fees, for an average of $1.97 per share for the </w:t>
      </w:r>
      <w:r>
        <w:rPr>
          <w:rFonts w:ascii="Times New Roman;sans-serif" w:hAnsi="Times New Roman;sans-serif"/>
          <w:b w:val="false"/>
          <w:color w:val="000000"/>
          <w:sz w:val="20"/>
        </w:rPr>
        <w:t xml:space="preserve">three months ended </w:t>
      </w:r>
      <w:r>
        <w:rPr>
          <w:rFonts w:ascii="Times New Roman;sans-serif" w:hAnsi="Times New Roman;sans-serif"/>
          <w:b w:val="false"/>
          <w:color w:val="000000"/>
          <w:sz w:val="20"/>
          <w:shd w:fill="FFFFFF" w:val="clear"/>
        </w:rPr>
        <w:t>June 30, 2023. Cumulative repurchases under the program amount to 2,880,993 shares at a total cost of $5.4 million. T</w:t>
      </w:r>
      <w:r>
        <w:rPr>
          <w:rFonts w:ascii="Times New Roman;sans-serif" w:hAnsi="Times New Roman;sans-serif"/>
          <w:b w:val="false"/>
          <w:color w:val="000000"/>
          <w:sz w:val="20"/>
        </w:rPr>
        <w:t>he Company had a remaining authorization to repurchase up to approximately $14.6 million in shares under this program as of June 30, 2023. Repurchases may be suspended or discontinued at any time at the Company’s discretion.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Common Shares Reserved </w:t>
      </w:r>
    </w:p>
    <w:p>
      <w:pPr>
        <w:pStyle w:val="TextBody"/>
        <w:bidi w:val="0"/>
        <w:spacing w:lineRule="auto" w:line="288" w:before="160" w:after="160"/>
        <w:jc w:val="left"/>
        <w:rPr/>
      </w:pPr>
      <w:r>
        <w:rPr>
          <w:rFonts w:ascii="Times New Roman;sans-serif" w:hAnsi="Times New Roman;sans-serif"/>
          <w:b w:val="false"/>
          <w:color w:val="000000"/>
          <w:sz w:val="20"/>
          <w:shd w:fill="FFFFFF" w:val="clear"/>
        </w:rPr>
        <w:t>As of June 30, 2023, the Company had reserved shares of common</w:t>
      </w:r>
      <w:r>
        <w:rPr>
          <w:color w:val="000000"/>
        </w:rPr>
        <w:t xml:space="preserve"> </w:t>
      </w:r>
      <w:r>
        <w:rPr>
          <w:rFonts w:ascii="Times New Roman;sans-serif" w:hAnsi="Times New Roman;sans-serif"/>
          <w:b w:val="false"/>
          <w:color w:val="000000"/>
          <w:sz w:val="20"/>
        </w:rPr>
        <w:t>stock for future issuance under equity compensation plans as foll</w:t>
      </w:r>
      <w:r>
        <w:rPr>
          <w:rFonts w:ascii="Times New Roman;sans-serif" w:hAnsi="Times New Roman;sans-serif"/>
          <w:b w:val="false"/>
          <w:color w:val="000000"/>
          <w:sz w:val="20"/>
          <w:shd w:fill="FFFFFF" w:val="clear"/>
        </w:rPr>
        <w:t xml:space="preserve">ows (in thousands): </w:t>
      </w:r>
    </w:p>
    <w:tbl>
      <w:tblPr>
        <w:tblW w:w="10205" w:type="dxa"/>
        <w:jc w:val="left"/>
        <w:tblInd w:w="0" w:type="dxa"/>
        <w:tblLayout w:type="fixed"/>
        <w:tblCellMar>
          <w:top w:w="28" w:type="dxa"/>
          <w:left w:w="28" w:type="dxa"/>
          <w:bottom w:w="28" w:type="dxa"/>
          <w:right w:w="28" w:type="dxa"/>
        </w:tblCellMar>
      </w:tblPr>
      <w:tblGrid>
        <w:gridCol w:w="747"/>
        <w:gridCol w:w="657"/>
        <w:gridCol w:w="661"/>
        <w:gridCol w:w="109"/>
        <w:gridCol w:w="109"/>
        <w:gridCol w:w="109"/>
        <w:gridCol w:w="734"/>
        <w:gridCol w:w="685"/>
        <w:gridCol w:w="688"/>
        <w:gridCol w:w="109"/>
        <w:gridCol w:w="109"/>
        <w:gridCol w:w="109"/>
        <w:gridCol w:w="799"/>
        <w:gridCol w:w="767"/>
        <w:gridCol w:w="770"/>
        <w:gridCol w:w="109"/>
        <w:gridCol w:w="109"/>
        <w:gridCol w:w="109"/>
        <w:gridCol w:w="863"/>
        <w:gridCol w:w="762"/>
        <w:gridCol w:w="1091"/>
      </w:tblGrid>
      <w:tr>
        <w:trPr/>
        <w:tc>
          <w:tcPr>
            <w:tcW w:w="74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Securities To Be Issued Upon Exercise Of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To Be Issued Upon Release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Remaining Securities Available For Future Issuance </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6"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Inducement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7,595 </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2011 Equity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 Inducement Award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9,006 </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5,360 </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10,077 </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11. Stock-based Compensation</w:t>
      </w:r>
    </w:p>
    <w:p>
      <w:pPr>
        <w:pStyle w:val="TextBody"/>
        <w:bidi w:val="0"/>
        <w:spacing w:lineRule="auto" w:line="288" w:before="240" w:after="16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tbl>
      <w:tblPr>
        <w:tblW w:w="7012" w:type="dxa"/>
        <w:jc w:val="left"/>
        <w:tblInd w:w="0" w:type="dxa"/>
        <w:tblLayout w:type="fixed"/>
        <w:tblCellMar>
          <w:top w:w="28" w:type="dxa"/>
          <w:left w:w="28" w:type="dxa"/>
          <w:bottom w:w="28" w:type="dxa"/>
          <w:right w:w="28" w:type="dxa"/>
        </w:tblCellMar>
      </w:tblPr>
      <w:tblGrid>
        <w:gridCol w:w="939"/>
        <w:gridCol w:w="825"/>
        <w:gridCol w:w="830"/>
        <w:gridCol w:w="109"/>
        <w:gridCol w:w="109"/>
        <w:gridCol w:w="109"/>
        <w:gridCol w:w="434"/>
        <w:gridCol w:w="434"/>
        <w:gridCol w:w="436"/>
        <w:gridCol w:w="109"/>
        <w:gridCol w:w="109"/>
        <w:gridCol w:w="109"/>
        <w:gridCol w:w="592"/>
        <w:gridCol w:w="1435"/>
        <w:gridCol w:w="433"/>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Units</w:t>
              <w:b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 Date Fair Value per Unit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5,360 </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unrecognized compensation costs related to outstanding unvested RSUs under the Company’s equity incentive plans were $11.3 million. The Company expects to recognize those costs over a weighted-average period of 2.5 years.</w:t>
      </w:r>
    </w:p>
    <w:p>
      <w:pPr>
        <w:pStyle w:val="TextBody"/>
        <w:bidi w:val="0"/>
        <w:spacing w:lineRule="auto" w:line="288" w:before="240" w:after="160"/>
        <w:jc w:val="left"/>
        <w:rPr/>
      </w:pPr>
      <w:r>
        <w:rPr>
          <w:rFonts w:ascii="Times New Roman;sans-serif" w:hAnsi="Times New Roman;sans-serif"/>
          <w:b/>
          <w:i/>
          <w:color w:val="000000"/>
          <w:sz w:val="20"/>
        </w:rPr>
        <w:t>Stock Options</w:t>
      </w:r>
      <w:r>
        <w:rPr>
          <w:color w:val="000000"/>
        </w:rPr>
        <w:t xml:space="preserve"> </w:t>
      </w:r>
    </w:p>
    <w:tbl>
      <w:tblPr>
        <w:tblW w:w="10205" w:type="dxa"/>
        <w:jc w:val="right"/>
        <w:tblInd w:w="0" w:type="dxa"/>
        <w:tblLayout w:type="fixed"/>
        <w:tblCellMar>
          <w:top w:w="28" w:type="dxa"/>
          <w:left w:w="28" w:type="dxa"/>
          <w:bottom w:w="28" w:type="dxa"/>
          <w:right w:w="28" w:type="dxa"/>
        </w:tblCellMar>
      </w:tblPr>
      <w:tblGrid>
        <w:gridCol w:w="752"/>
        <w:gridCol w:w="660"/>
        <w:gridCol w:w="665"/>
        <w:gridCol w:w="109"/>
        <w:gridCol w:w="109"/>
        <w:gridCol w:w="109"/>
        <w:gridCol w:w="482"/>
        <w:gridCol w:w="455"/>
        <w:gridCol w:w="456"/>
        <w:gridCol w:w="109"/>
        <w:gridCol w:w="109"/>
        <w:gridCol w:w="109"/>
        <w:gridCol w:w="373"/>
        <w:gridCol w:w="904"/>
        <w:gridCol w:w="194"/>
        <w:gridCol w:w="109"/>
        <w:gridCol w:w="109"/>
        <w:gridCol w:w="109"/>
        <w:gridCol w:w="833"/>
        <w:gridCol w:w="833"/>
        <w:gridCol w:w="835"/>
        <w:gridCol w:w="109"/>
        <w:gridCol w:w="109"/>
        <w:gridCol w:w="109"/>
        <w:gridCol w:w="366"/>
        <w:gridCol w:w="812"/>
        <w:gridCol w:w="277"/>
      </w:tblGrid>
      <w:tr>
        <w:trPr/>
        <w:tc>
          <w:tcPr>
            <w:tcW w:w="7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Options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 Price</w:t>
              <w:br/>
              <w:t>per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Remaining Contractual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Intrinsic </w:t>
            </w:r>
          </w:p>
          <w:p>
            <w:pPr>
              <w:pStyle w:val="TableContents"/>
              <w:bidi w:val="0"/>
              <w:spacing w:lineRule="auto" w:line="240"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0"/>
              </w:rPr>
              <w:t>(1)</w:t>
            </w:r>
            <w:r>
              <w:rPr>
                <w:color w:val="000000"/>
              </w:rPr>
              <w:t xml:space="preserve"> </w:t>
            </w:r>
            <w:r>
              <w:rPr>
                <w:rFonts w:ascii="Times New Roman;sans-serif" w:hAnsi="Times New Roman;sans-serif"/>
                <w:b/>
                <w:color w:val="000000"/>
                <w:sz w:val="16"/>
              </w:rPr>
              <w:t>(in thousands)</w:t>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9,006 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4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awards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6,180 </w:t>
            </w:r>
          </w:p>
        </w:tc>
        <w:tc>
          <w:tcPr>
            <w:tcW w:w="4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(1)Aggregate intrinsic value as of June 30, 2023 was calculated as the difference between the closing price per share of the Company’s common stock on the last trading day of June, which was $1.93, and the exercise price of the options, multiplied by the number of in-the-money options.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unrecognized compensation costs related to outstanding unvested options under the Company’s equity incentive plans were $13.9 million. The Company expects to recognize those costs over a weighted-average period of 2.7 years. </w:t>
      </w:r>
    </w:p>
    <w:p>
      <w:pPr>
        <w:pStyle w:val="TextBody"/>
        <w:bidi w:val="0"/>
        <w:spacing w:lineRule="auto" w:line="288" w:before="240" w:after="160"/>
        <w:jc w:val="left"/>
        <w:rPr>
          <w:rFonts w:ascii="Times New Roman;sans-serif" w:hAnsi="Times New Roman;sans-serif"/>
          <w:b/>
          <w:i/>
          <w:color w:val="000000"/>
          <w:sz w:val="20"/>
        </w:rPr>
      </w:pPr>
      <w:r>
        <w:rPr>
          <w:rFonts w:ascii="Times New Roman;sans-serif" w:hAnsi="Times New Roman;sans-serif"/>
          <w:b/>
          <w:i/>
          <w:color w:val="000000"/>
          <w:sz w:val="20"/>
        </w:rPr>
        <w:t>Performance-based Awards</w:t>
      </w:r>
    </w:p>
    <w:p>
      <w:pPr>
        <w:pStyle w:val="TextBody"/>
        <w:bidi w:val="0"/>
        <w:spacing w:lineRule="auto" w:line="288" w:before="160" w:after="160"/>
        <w:jc w:val="both"/>
        <w:rPr/>
      </w:pPr>
      <w:r>
        <w:rPr>
          <w:rFonts w:ascii="Times New Roman;sans-serif" w:hAnsi="Times New Roman;sans-serif"/>
          <w:b w:val="false"/>
          <w:color w:val="000000"/>
          <w:sz w:val="20"/>
        </w:rPr>
        <w:t>The Company has granted PSUs to certain executive officers and senior level employees. The number of PSUs ultimately earned under these awards is calculated by comparing the Total Shareholder Return (TSR) of the Company’s common stock over the applicable three-year period against the TSR of a defined group of peer companies. The Company’s relative performance against its peer group determines the payout, which can range from 0% to 200% of the base awards.</w:t>
      </w:r>
      <w:r>
        <w:rPr>
          <w:color w:val="000000"/>
          <w:shd w:fill="FFFFFF" w:val="clear"/>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Activity under the TSR-based PSUs was as follows:</w:t>
      </w:r>
    </w:p>
    <w:tbl>
      <w:tblPr>
        <w:tblW w:w="7867" w:type="dxa"/>
        <w:jc w:val="center"/>
        <w:tblInd w:w="0" w:type="dxa"/>
        <w:tblLayout w:type="fixed"/>
        <w:tblCellMar>
          <w:top w:w="28" w:type="dxa"/>
          <w:left w:w="28" w:type="dxa"/>
          <w:bottom w:w="28" w:type="dxa"/>
          <w:right w:w="28" w:type="dxa"/>
        </w:tblCellMar>
      </w:tblPr>
      <w:tblGrid>
        <w:gridCol w:w="1232"/>
        <w:gridCol w:w="1083"/>
        <w:gridCol w:w="1089"/>
        <w:gridCol w:w="109"/>
        <w:gridCol w:w="109"/>
        <w:gridCol w:w="109"/>
        <w:gridCol w:w="449"/>
        <w:gridCol w:w="449"/>
        <w:gridCol w:w="451"/>
        <w:gridCol w:w="109"/>
        <w:gridCol w:w="109"/>
        <w:gridCol w:w="109"/>
        <w:gridCol w:w="592"/>
        <w:gridCol w:w="1435"/>
        <w:gridCol w:w="433"/>
      </w:tblGrid>
      <w:tr>
        <w:trPr/>
        <w:tc>
          <w:tcPr>
            <w:tcW w:w="12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Units </w:t>
              <w:b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 Date Fair Value per Unit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adjustment for 2020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160" w:after="160"/>
        <w:jc w:val="left"/>
        <w:rPr/>
      </w:pPr>
      <w:r>
        <w:rPr/>
      </w:r>
    </w:p>
    <w:p>
      <w:pPr>
        <w:pStyle w:val="TextBody"/>
        <w:bidi w:val="0"/>
        <w:spacing w:lineRule="auto" w:line="288" w:before="240" w:after="16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reported in our condensed consolidated statement of operations as follows (in thousands):</w:t>
      </w:r>
    </w:p>
    <w:tbl>
      <w:tblPr>
        <w:tblW w:w="8819" w:type="dxa"/>
        <w:jc w:val="center"/>
        <w:tblInd w:w="0" w:type="dxa"/>
        <w:tblLayout w:type="fixed"/>
        <w:tblCellMar>
          <w:top w:w="28" w:type="dxa"/>
          <w:left w:w="28" w:type="dxa"/>
          <w:bottom w:w="28" w:type="dxa"/>
          <w:right w:w="28" w:type="dxa"/>
        </w:tblCellMar>
      </w:tblPr>
      <w:tblGrid>
        <w:gridCol w:w="1323"/>
        <w:gridCol w:w="1165"/>
        <w:gridCol w:w="1171"/>
        <w:gridCol w:w="109"/>
        <w:gridCol w:w="109"/>
        <w:gridCol w:w="109"/>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12. Income Taxes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quarterly provision for income taxes is based on an estimated annual effective income tax rate. The quarterly provision for income taxes also includes discrete items, such as changes in valuation allowances or adjustments upon finalization of tax returns as well as infrequently occurring items, if any, such as the effects of changes in tax laws or rates, in the interim period in which they occur.</w:t>
      </w:r>
    </w:p>
    <w:p>
      <w:pPr>
        <w:pStyle w:val="TextBody"/>
        <w:bidi w:val="0"/>
        <w:spacing w:lineRule="auto" w:line="268" w:before="0" w:after="0"/>
        <w:jc w:val="both"/>
        <w:rPr/>
      </w:pPr>
      <w:r>
        <w:rPr>
          <w:rFonts w:ascii="Times New Roman;sans-serif" w:hAnsi="Times New Roman;sans-serif"/>
          <w:b w:val="false"/>
          <w:color w:val="000000"/>
          <w:sz w:val="20"/>
        </w:rPr>
        <w:t>The Company recorded an income tax expense of $0.3 million and an income tax benefit of $1.6 million</w:t>
      </w:r>
      <w:r>
        <w:rPr>
          <w:color w:val="000000"/>
          <w:shd w:fill="FFFFFF" w:val="clear"/>
        </w:rPr>
        <w:t xml:space="preserve"> </w:t>
      </w:r>
      <w:r>
        <w:rPr>
          <w:rFonts w:ascii="Times New Roman;sans-serif" w:hAnsi="Times New Roman;sans-serif"/>
          <w:b w:val="false"/>
          <w:color w:val="000000"/>
          <w:sz w:val="20"/>
          <w:shd w:fill="FFFFFF" w:val="clear"/>
        </w:rPr>
        <w:t xml:space="preserve">in </w:t>
      </w:r>
      <w:r>
        <w:rPr>
          <w:rFonts w:ascii="Times New Roman;sans-serif" w:hAnsi="Times New Roman;sans-serif"/>
          <w:b w:val="false"/>
          <w:color w:val="000000"/>
          <w:sz w:val="20"/>
        </w:rPr>
        <w:t xml:space="preserve">the three months ended June 30, 2023 and June 30, 2022, respectively. The Company recorded an income tax expense of $0.6 million and an income tax benefit of $2.2 million </w:t>
      </w:r>
      <w:r>
        <w:rPr>
          <w:rFonts w:ascii="Times New Roman;sans-serif" w:hAnsi="Times New Roman;sans-serif"/>
          <w:b w:val="false"/>
          <w:color w:val="000000"/>
          <w:sz w:val="20"/>
          <w:shd w:fill="FFFFFF" w:val="clear"/>
        </w:rPr>
        <w:t xml:space="preserve">in </w:t>
      </w:r>
      <w:r>
        <w:rPr>
          <w:rFonts w:ascii="Times New Roman;sans-serif" w:hAnsi="Times New Roman;sans-serif"/>
          <w:b w:val="false"/>
          <w:color w:val="000000"/>
          <w:sz w:val="20"/>
        </w:rPr>
        <w:t xml:space="preserve">the six months ended June 30, 2023 and June 30, 2022, respectively. </w:t>
      </w:r>
      <w:r>
        <w:rPr>
          <w:rFonts w:ascii="Times New Roman;sans-serif" w:hAnsi="Times New Roman;sans-serif"/>
          <w:b w:val="false"/>
          <w:color w:val="000000"/>
          <w:sz w:val="20"/>
          <w:shd w:fill="FFFFFF" w:val="clear"/>
        </w:rPr>
        <w:t>The increase in our tax provision reflects the effect of our foreign operations, which reported pre-tax income in the first half of 2023 and pre-tax loss in the first half of 2022.</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effective tax rates for both periods differ from the 21% U.S. Federal statutory tax rate primarily due to valuation allowances recorded against deferred tax assets on domestic losses and the tax rate differences between the U.S. and foreign countries. The Company maintains a valuation allowance against its U.S. deferred tax assets as the Company believes it is more likely than not the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13. Segment Reporting</w:t>
      </w:r>
    </w:p>
    <w:p>
      <w:pPr>
        <w:pStyle w:val="TextBody"/>
        <w:bidi w:val="0"/>
        <w:spacing w:lineRule="auto" w:line="288" w:before="160" w:after="283"/>
        <w:jc w:val="both"/>
        <w:rPr/>
      </w:pPr>
      <w:r>
        <w:rPr>
          <w:rFonts w:ascii="Times New Roman;sans-serif" w:hAnsi="Times New Roman;sans-serif"/>
          <w:b w:val="false"/>
          <w:color w:val="000000"/>
          <w:sz w:val="20"/>
        </w:rPr>
        <w:t xml:space="preserve">In the third quarter of 2022, the Company’s Chief Executive Officer (CEO), who is the Chief Operating Decision Maker (CODM), instituted the practice of evaluating operating performance and making resource allocation decisions using two reportable segments: proteomics and genomics. Each segment is identified by its unique portfolio of products. Proteomics includes the Company’s </w:t>
      </w:r>
      <w:r>
        <w:rPr>
          <w:rFonts w:ascii="Times New Roman;sans-serif" w:hAnsi="Times New Roman;sans-serif"/>
          <w:b w:val="false"/>
          <w:color w:val="000000"/>
          <w:sz w:val="20"/>
          <w:shd w:fill="FFFFFF" w:val="clear"/>
        </w:rPr>
        <w:t>instruments, consumables, software, and services based upon technologies used in the identification of proteins. Genomics includes the Company’s instruments, consumables, software, and services based upon technologies used in the identification of genes (DNA, RNA) and its functions.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each segment’s loss from operations by subtracting direct expenses, including cost of product and service revenues, research and development expense, and sales and marketing expense, from revenues. Amortization, depreciation, and restructuring expenses are included in each segment’s operating expenses. Corporate costs, including general and administrative expenses for functions shared by both operating segments such as executive management, human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finance, along with interest and taxes, are excluded from each segment’s results, which is consistent with how the Company’s CODM evaluates segment performance.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does not prepare or report segmented balance sheet information as its CODM does not use the information to assess segment operating performance. The segments adhere to the same accounting policies that the Company adheres to as a whole. Segment reporting for historical periods has been included in this report to ensure comparability with the current year. </w:t>
      </w:r>
    </w:p>
    <w:p>
      <w:pPr>
        <w:pStyle w:val="TextBody"/>
        <w:bidi w:val="0"/>
        <w:spacing w:lineRule="auto" w:line="288" w:before="160" w:after="160"/>
        <w:jc w:val="both"/>
        <w:rPr/>
      </w:pPr>
      <w:r>
        <w:rPr>
          <w:rFonts w:ascii="Times New Roman;sans-serif" w:hAnsi="Times New Roman;sans-serif"/>
          <w:b w:val="false"/>
          <w:color w:val="000000"/>
          <w:sz w:val="20"/>
          <w:shd w:fill="FFFFFF" w:val="clear"/>
        </w:rPr>
        <w:t>The Company’s business segment information</w:t>
      </w:r>
      <w:r>
        <w:rPr>
          <w:color w:val="000000"/>
        </w:rPr>
        <w:t xml:space="preserve"> </w:t>
      </w:r>
      <w:r>
        <w:rPr>
          <w:rFonts w:ascii="Times New Roman;sans-serif" w:hAnsi="Times New Roman;sans-serif"/>
          <w:b w:val="false"/>
          <w:color w:val="000000"/>
          <w:sz w:val="20"/>
        </w:rPr>
        <w:t>was as follows</w:t>
      </w:r>
      <w:r>
        <w:rPr>
          <w:color w:val="000000"/>
          <w:shd w:fill="FFFFFF" w:val="clear"/>
        </w:rPr>
        <w:t xml:space="preserve"> </w:t>
      </w:r>
      <w:r>
        <w:rPr>
          <w:rFonts w:ascii="Times New Roman;sans-serif" w:hAnsi="Times New Roman;sans-serif"/>
          <w:b w:val="false"/>
          <w:color w:val="000000"/>
          <w:sz w:val="20"/>
          <w:shd w:fill="FFFFFF" w:val="clear"/>
        </w:rPr>
        <w:t>(in thousands):</w:t>
      </w:r>
    </w:p>
    <w:tbl>
      <w:tblPr>
        <w:tblW w:w="8771" w:type="dxa"/>
        <w:jc w:val="center"/>
        <w:tblInd w:w="0" w:type="dxa"/>
        <w:tblLayout w:type="fixed"/>
        <w:tblCellMar>
          <w:top w:w="28" w:type="dxa"/>
          <w:left w:w="28" w:type="dxa"/>
          <w:bottom w:w="28" w:type="dxa"/>
          <w:right w:w="28" w:type="dxa"/>
        </w:tblCellMar>
      </w:tblPr>
      <w:tblGrid>
        <w:gridCol w:w="1066"/>
        <w:gridCol w:w="940"/>
        <w:gridCol w:w="948"/>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06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Proteomics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Genomics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Proteomics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Genomics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Restructuring and related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14. Restructuring and Related Charges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Beginning with the appointment of the Company’s new management team in April 2022 and as further announced in August 2022, the Company has implemented a restructuring plan, including a reduction in force, to improve operational efficiency, achieve cost savings and align the Company’s workforce to the future needs of the business. In addition to the reduction in force, the Company is reducing leased office space, optimizing its manufacturing footprint, and streamlining support functions. The Company is developing a more disciplined cost management culture throughout its organization by investing in training and advanced information systems.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records restructuring and related charges as incurred. These items are classified within restructuring and related charges in the condensed consolidated statements of operations for the three and six months ended June 30, 2023, and primarily include severance costs as well as facility costs (net of sublease income) for leased space in South San Francisco that the Company has vacated as part of the restructuring plan. The Company recognized restructuring and related charges of $2.3 million and $0.3 million for the three months ended June 30, 2023 and 2022, respectively, and $3.4 million and $1.7 million for the six months ended June 30, 2023 and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expects to fully relieve the liability for restructuring charges primarily related to employee severance by the end of 2023. Ongoing restructuring charges will continue to be incurred for facility related costs through the termination of the facility leases. These estimates are subject to a number of assumptions, and actual results may differ.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00" w:after="283"/>
        <w:jc w:val="left"/>
        <w:rPr/>
      </w:pPr>
      <w:r>
        <w:rPr>
          <w:rFonts w:ascii="Times New Roman;sans-serif" w:hAnsi="Times New Roman;sans-serif"/>
          <w:b w:val="false"/>
          <w:color w:val="000000"/>
          <w:sz w:val="20"/>
          <w:shd w:fill="FFFFFF" w:val="clear"/>
        </w:rPr>
        <w:t xml:space="preserve">The following table summarizes the change in the Company’s restructuring and other related liabilities for the </w:t>
      </w:r>
      <w:r>
        <w:rPr>
          <w:rFonts w:ascii="Times New Roman;sans-serif" w:hAnsi="Times New Roman;sans-serif"/>
          <w:b w:val="false"/>
          <w:color w:val="000000"/>
          <w:sz w:val="20"/>
        </w:rPr>
        <w:t>six months ended June 30, 2023 (in thousands):</w:t>
      </w:r>
    </w:p>
    <w:tbl>
      <w:tblPr>
        <w:tblW w:w="10205" w:type="dxa"/>
        <w:jc w:val="left"/>
        <w:tblInd w:w="0" w:type="dxa"/>
        <w:tblLayout w:type="fixed"/>
        <w:tblCellMar>
          <w:top w:w="28" w:type="dxa"/>
          <w:left w:w="28" w:type="dxa"/>
          <w:bottom w:w="28" w:type="dxa"/>
          <w:right w:w="28" w:type="dxa"/>
        </w:tblCellMar>
      </w:tblPr>
      <w:tblGrid>
        <w:gridCol w:w="904"/>
        <w:gridCol w:w="712"/>
        <w:gridCol w:w="716"/>
        <w:gridCol w:w="109"/>
        <w:gridCol w:w="109"/>
        <w:gridCol w:w="109"/>
        <w:gridCol w:w="652"/>
        <w:gridCol w:w="1907"/>
        <w:gridCol w:w="338"/>
        <w:gridCol w:w="109"/>
        <w:gridCol w:w="109"/>
        <w:gridCol w:w="109"/>
        <w:gridCol w:w="228"/>
        <w:gridCol w:w="442"/>
        <w:gridCol w:w="109"/>
        <w:gridCol w:w="109"/>
        <w:gridCol w:w="109"/>
        <w:gridCol w:w="109"/>
        <w:gridCol w:w="552"/>
        <w:gridCol w:w="1063"/>
        <w:gridCol w:w="287"/>
        <w:gridCol w:w="109"/>
        <w:gridCol w:w="109"/>
        <w:gridCol w:w="109"/>
        <w:gridCol w:w="211"/>
        <w:gridCol w:w="616"/>
        <w:gridCol w:w="160"/>
      </w:tblGrid>
      <w:tr>
        <w:trPr/>
        <w:tc>
          <w:tcPr>
            <w:tcW w:w="9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Severance and other employee-related benefits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Facility </w:t>
              <w:br/>
              <w:t xml:space="preserve">Costs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Legal and consulting expenses</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hanging="360"/>
        <w:jc w:val="left"/>
        <w:rPr/>
      </w:pPr>
      <w:r>
        <w:rPr/>
      </w:r>
    </w:p>
    <w:p>
      <w:pPr>
        <w:pStyle w:val="TextBody"/>
        <w:bidi w:val="0"/>
        <w:spacing w:lineRule="auto" w:line="288" w:before="0" w:after="16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Restructuring liabilities are recorded in accrued compensation and related benefits on the condensed consolidated balance sheets. </w:t>
      </w:r>
    </w:p>
    <w:p>
      <w:pPr>
        <w:pStyle w:val="TextBody"/>
        <w:bidi w:val="0"/>
        <w:spacing w:lineRule="auto" w:line="288" w:before="0" w:after="16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(2) Liabilities related to other related costs are recorded in other accrued liabilities on the condensed consolidated balance sheets.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restructuring and related charges by segment and corporate were as follows (in thousands): </w:t>
      </w:r>
    </w:p>
    <w:tbl>
      <w:tblPr>
        <w:tblW w:w="8726" w:type="dxa"/>
        <w:jc w:val="center"/>
        <w:tblInd w:w="0" w:type="dxa"/>
        <w:tblLayout w:type="fixed"/>
        <w:tblCellMar>
          <w:top w:w="28" w:type="dxa"/>
          <w:left w:w="28" w:type="dxa"/>
          <w:bottom w:w="28" w:type="dxa"/>
          <w:right w:w="28" w:type="dxa"/>
        </w:tblCellMar>
      </w:tblPr>
      <w:tblGrid>
        <w:gridCol w:w="1173"/>
        <w:gridCol w:w="1032"/>
        <w:gridCol w:w="1034"/>
        <w:gridCol w:w="109"/>
        <w:gridCol w:w="109"/>
        <w:gridCol w:w="109"/>
        <w:gridCol w:w="109"/>
        <w:gridCol w:w="109"/>
        <w:gridCol w:w="109"/>
        <w:gridCol w:w="233"/>
        <w:gridCol w:w="681"/>
        <w:gridCol w:w="120"/>
        <w:gridCol w:w="120"/>
        <w:gridCol w:w="120"/>
        <w:gridCol w:w="120"/>
        <w:gridCol w:w="233"/>
        <w:gridCol w:w="515"/>
        <w:gridCol w:w="120"/>
        <w:gridCol w:w="109"/>
        <w:gridCol w:w="109"/>
        <w:gridCol w:w="109"/>
        <w:gridCol w:w="211"/>
        <w:gridCol w:w="616"/>
        <w:gridCol w:w="109"/>
        <w:gridCol w:w="109"/>
        <w:gridCol w:w="109"/>
        <w:gridCol w:w="109"/>
        <w:gridCol w:w="211"/>
        <w:gridCol w:w="616"/>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Proteomics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Genomics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and related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6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pPr>
      <w:r>
        <w:rPr>
          <w:rFonts w:ascii="Times New Roman;sans-serif" w:hAnsi="Times New Roman;sans-serif"/>
          <w:b w:val="false"/>
          <w:i/>
          <w:color w:val="000000"/>
          <w:sz w:val="20"/>
        </w:rPr>
        <w:t xml:space="preserve">The following Management’s Discussion and Analysis of Financial Condition and Results of Operations (MD&amp;A) is intended to help the reader understand the results of operations and financial condition of Standard BioTools Inc. MD&amp;A is provided as a supplement to, and should be read together with, our condensed consolidated financial statements and the notes to those statements included elsewhere in this quarterly report on Form 10-Q. This quarterly report on Form 10-Q contains forward-looking statements </w:t>
      </w:r>
      <w:r>
        <w:rPr>
          <w:rFonts w:ascii="Times New Roman;sans-serif" w:hAnsi="Times New Roman;sans-serif"/>
          <w:b w:val="false"/>
          <w:i/>
          <w:color w:val="000000"/>
          <w:sz w:val="20"/>
          <w:shd w:fill="FFFFFF" w:val="clear"/>
        </w:rPr>
        <w:t xml:space="preserve">within </w:t>
      </w:r>
      <w:r>
        <w:rPr>
          <w:rFonts w:ascii="Times New Roman;sans-serif" w:hAnsi="Times New Roman;sans-serif"/>
          <w:b w:val="false"/>
          <w:i/>
          <w:color w:val="000000"/>
          <w:sz w:val="20"/>
        </w:rPr>
        <w:t>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The forward-looking statements are contained principally in the section titled “Risk Factors” and this MD&amp;A. Forward-looking statements include information concerning our possible or assumed future cash flow, revenue, sources of revenue and results of operations, cost of product revenue and product margin, operating and other income and expenses, unit sales and the selling prices of our products, business strategies and strategic priorities, changes in commercial and strategic focus, restructuring plan, reduction-in-force and real estate footprint reduction plans, microfluidics research and development and marketing investment reduction plans, other cost reduction initiatives, portfolio rationalization initiatives, operating discipline improvement plans, implementation of Standard BioTools Business Systems, expected costs and cost savings associated with such plans and initiatives, future product offerings, financing plans, capital allocation plans, expansion of our business, merger and acquisition opportunities, competitive position, industry environment, potential growth opportunities and drivers, market growth expectations, and the effects of competition and public health crises on our business, the global supply chain, and our customers, suppliers, and other business partners.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in our Annual Report on Form 10-K filed with the SEC on March 14, 2023. Given these uncertainties, you should not place undue reliance on these forward-looking statements. Also, forward-looking statements represent our management’s beliefs and assumptions only as of the date of this quarterly report on Form 10-Q.</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quarterly report on Form 10-Q completely and with the understanding that our actual future results may be materially different from what we expect.</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Standard BioTools, the Standard BioTools logo, Fluidigm®, the Fluidigm logo, 48.Atlas™, Access Array™, Advanta™, Advanta EASE™, Atlas™, Biomark™, “Bringing new insights to life”™, C1™, Callisto™, Cell-ID™, CyTOF®, CyTOF XT™, the CyTOF XT logo, D3™, Delta Gene™, Direct™, Digital Array™, Dynamic Array™, EP1™, EQ™, FC1™, Flex Six™, Flow Conductor™, FluiDesign™, Helios™, High-Precision 96.96 Genotyping™, HTI™, Hyperion™, Hyperion+™, HyperionXTi™, IMC™, Imaging Mass Cytometry™, Immune Profiling Assay™, Juno™, Maxpar®, Maxpar® OnDemand™, MCD™, MSL®, Nanoflex™, Open App™, Pathsetter™, Polaris™, qdPCR 37K™, Script Builder™, Script Hub™, Singular™, SNP Trace™, SNP Type™, “Unleashing tools to accelerate breakthroughs in human health”™, X9™ High-Thoughput Genomics System, X9™ Real Time PCR System, and Xgrade™ are trademarks or registered trademarks of Standard BioTools Inc. or its affiliates in the United States and/or other countries. Other service marks, trademarks and trade names referred to in this quarterly report on Form 10-Q are the property of their respective owners.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references in this quarterly report on Form 10-Q to “Standard BioTools” the “Company,” “we,” “us,” and “our” refer to Standard BioTools Inc. and its subsidiaries.</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60" w:after="160"/>
        <w:jc w:val="both"/>
        <w:rPr/>
      </w:pPr>
      <w:r>
        <w:rPr>
          <w:rFonts w:ascii="Times New Roman;sans-serif" w:hAnsi="Times New Roman;sans-serif"/>
          <w:b w:val="false"/>
          <w:color w:val="000000"/>
          <w:sz w:val="20"/>
          <w:shd w:fill="FFFFFF" w:val="clear"/>
        </w:rPr>
        <w:t>Standard BioTools Inc.</w:t>
      </w:r>
      <w:r>
        <w:rPr>
          <w:color w:val="000000"/>
        </w:rPr>
        <w:t xml:space="preserve"> </w:t>
      </w:r>
      <w:r>
        <w:rPr>
          <w:rFonts w:ascii="Times New Roman;sans-serif" w:hAnsi="Times New Roman;sans-serif"/>
          <w:b w:val="false"/>
          <w:color w:val="000000"/>
          <w:sz w:val="20"/>
        </w:rPr>
        <w:t>is driven by a bold purpose – unleashing tools to accelerate breakthroughs in human health. We have an established portfolio of essential, standardized next-generation high resolution technologies that assist biomedical researchers develop medicines faster and better. Our tools are designed to provide reliable and repeatable insights in health and disease using our proprietary mass cytometry and microfluidics technologies, which are useful in proteomics and genomics that help transform scientific discoveries into better patient outcomes. We work with leading academic, government, pharmaceutical, biotechnology, plant and animal research, and clinical laboratories worldwide, focusing on the most pressing needs in translational and clinical research, including oncology, immunology, and immunotherapy.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pPr>
      <w:r>
        <w:rPr>
          <w:rFonts w:ascii="Times New Roman;sans-serif" w:hAnsi="Times New Roman;sans-serif"/>
          <w:b w:val="false"/>
          <w:color w:val="000000"/>
          <w:sz w:val="20"/>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and Canada.</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Following the Private Placement, our new leadership team identified three strategic priorities: revenue growth, improving operating discipline and strategic capital allocation, as more fully discussed in </w:t>
      </w:r>
      <w:r>
        <w:rPr>
          <w:rFonts w:ascii="Times New Roman;sans-serif" w:hAnsi="Times New Roman;sans-serif"/>
          <w:b w:val="false"/>
          <w:color w:val="000000"/>
          <w:sz w:val="20"/>
        </w:rPr>
        <w:t xml:space="preserve">Part I Item 1 “Business” in our Annual Report on Form 10-K filed with the SEC on March 14, 2023. </w:t>
      </w:r>
    </w:p>
    <w:p>
      <w:pPr>
        <w:pStyle w:val="TextBody"/>
        <w:bidi w:val="0"/>
        <w:spacing w:lineRule="auto" w:line="288" w:before="160" w:after="283"/>
        <w:jc w:val="both"/>
        <w:rPr/>
      </w:pPr>
      <w:r>
        <w:rPr>
          <w:rFonts w:ascii="Times New Roman;sans-serif" w:hAnsi="Times New Roman;sans-serif"/>
          <w:b w:val="false"/>
          <w:color w:val="000000"/>
          <w:sz w:val="20"/>
        </w:rPr>
        <w:t>We took additional actions in the six months ended June 30, 2023 under our strategic initiative to improve operating discipline, including reductions to our headcount in Europe and additional reductions to our real estate footprint in the U.S. On February 28, 2023, we signed an agreement to sublease an additional 25% of our corporate headquarters for a period of 77 months. As a result, 50% of the space at our headquarters was subleased as of</w:t>
      </w:r>
      <w:r>
        <w:rPr>
          <w:color w:val="000000"/>
          <w:shd w:fill="FFFFFF" w:val="clear"/>
        </w:rPr>
        <w:t xml:space="preserve"> </w:t>
      </w:r>
      <w:r>
        <w:rPr>
          <w:rFonts w:ascii="Times New Roman;sans-serif" w:hAnsi="Times New Roman;sans-serif"/>
          <w:b w:val="false"/>
          <w:color w:val="000000"/>
          <w:sz w:val="20"/>
          <w:shd w:fill="FFFFFF" w:val="clear"/>
        </w:rPr>
        <w:t>March 31, 2023. W</w:t>
      </w:r>
      <w:r>
        <w:rPr>
          <w:rFonts w:ascii="Times New Roman;sans-serif" w:hAnsi="Times New Roman;sans-serif"/>
          <w:b w:val="false"/>
          <w:color w:val="000000"/>
          <w:sz w:val="20"/>
        </w:rPr>
        <w:t xml:space="preserve">e expect to recognize $9.1 million of sublease income over the term of this new agreement, with payments expected to commence on December 1, 2023. </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60" w:after="283"/>
        <w:jc w:val="both"/>
        <w:rPr/>
      </w:pPr>
      <w:r>
        <w:rPr>
          <w:rFonts w:ascii="Times New Roman;sans-serif" w:hAnsi="Times New Roman;sans-serif"/>
          <w:b w:val="false"/>
          <w:color w:val="000000"/>
          <w:sz w:val="20"/>
        </w:rPr>
        <w:t>We generate revenue primarily from sales of our products and service</w:t>
      </w:r>
      <w:r>
        <w:rPr>
          <w:rFonts w:ascii="Times New Roman;sans-serif" w:hAnsi="Times New Roman;sans-serif"/>
          <w:b w:val="false"/>
          <w:color w:val="000000"/>
          <w:sz w:val="20"/>
          <w:shd w:fill="FFFFFF" w:val="clear"/>
        </w:rPr>
        <w:t>s. Other revenue consists of revenue from product development and license agreements.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revenue consists of sales of instruments and consumables. Consumables revenue is largely driven by the size of our active installed base of instruments and the level of usage per instrument. Service revenue is linked to the sales and active installed base of our instruments as our service revenue primarily consists of post-warranty service contracts, preventive maintenance plans, instrument parts, installation and training for our instruments. We expect the average selling prices of our products and services to fluctuate over time based on market conditions, product mix, and currency fluctuations.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 revenue includes manufacturing costs incurred in the production process, including component materials, labor and overhead, installation, packaging, and delivery costs. In addition, cost of product revenue includes amortization of developed technology and intangibles, royalty costs for licensed technologies included in our products, warranty costs, provisions for slow-moving excess and obsolete inventory, and stock-based compensation expense. Our cost of product revenue and related product margin may fluctuate depending on the capacity utilization of our manufacturing facilities in response to market conditions and the demand for our products.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 revenue includes direct labor hours, overhead and instrument parts. Our cost of service revenue and related service margin may fluctuate depending on the variability in material and labor costs of servicing.</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(R&amp;D)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R&amp;D expense consists primarily of compensation-related costs, product development and material expenses, and other allocated facilities and information technology expenses. Our R&amp;D efforts have focused primarily on enhancing our technologies and supporting development and commercialization of new and existing products and services. R&amp;D expense also includes costs incurred in conjunction with research grants and product development arrangements.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(SG&amp;A)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SG&amp;A expense consists primarily of personnel costs for our sales and marketing, business development, finance, legal, human resources, information technology and general management teams, as well as professional services, including legal and accounting services.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Restructuring and Related Charges</w:t>
      </w:r>
    </w:p>
    <w:p>
      <w:pPr>
        <w:pStyle w:val="TextBody"/>
        <w:bidi w:val="0"/>
        <w:spacing w:lineRule="auto" w:line="26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primarily consist of severance costs and facilities costs for floors we have subleased or have the intent to sublease (net of sublease income) under our facility lease in South San Francisco. These costs, including a reduction in force, are incurred to improve operational efficiency, achieve cost savings, and align our workforce to the future needs of the business. In addition to the reduction in force, we are reducing leased office space, optimizing our manufacturing footprint, and streamlining support functions.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condensed consolidated statements of operations and as a percentage of total revenue for the three and six months ended June 30, 2023 and 2022 ($ in thousands):</w:t>
      </w:r>
    </w:p>
    <w:tbl>
      <w:tblPr>
        <w:tblW w:w="11259" w:type="dxa"/>
        <w:jc w:val="center"/>
        <w:tblInd w:w="0" w:type="dxa"/>
        <w:tblLayout w:type="fixed"/>
        <w:tblCellMar>
          <w:top w:w="28" w:type="dxa"/>
          <w:left w:w="28" w:type="dxa"/>
          <w:bottom w:w="28" w:type="dxa"/>
          <w:right w:w="28" w:type="dxa"/>
        </w:tblCellMar>
      </w:tblPr>
      <w:tblGrid>
        <w:gridCol w:w="754"/>
        <w:gridCol w:w="268"/>
        <w:gridCol w:w="269"/>
        <w:gridCol w:w="109"/>
        <w:gridCol w:w="109"/>
        <w:gridCol w:w="109"/>
        <w:gridCol w:w="211"/>
        <w:gridCol w:w="736"/>
        <w:gridCol w:w="109"/>
        <w:gridCol w:w="109"/>
        <w:gridCol w:w="109"/>
        <w:gridCol w:w="109"/>
        <w:gridCol w:w="233"/>
        <w:gridCol w:w="233"/>
        <w:gridCol w:w="271"/>
        <w:gridCol w:w="109"/>
        <w:gridCol w:w="109"/>
        <w:gridCol w:w="109"/>
        <w:gridCol w:w="211"/>
        <w:gridCol w:w="736"/>
        <w:gridCol w:w="109"/>
        <w:gridCol w:w="109"/>
        <w:gridCol w:w="109"/>
        <w:gridCol w:w="109"/>
        <w:gridCol w:w="240"/>
        <w:gridCol w:w="241"/>
        <w:gridCol w:w="271"/>
        <w:gridCol w:w="109"/>
        <w:gridCol w:w="109"/>
        <w:gridCol w:w="109"/>
        <w:gridCol w:w="211"/>
        <w:gridCol w:w="736"/>
        <w:gridCol w:w="109"/>
        <w:gridCol w:w="109"/>
        <w:gridCol w:w="109"/>
        <w:gridCol w:w="109"/>
        <w:gridCol w:w="233"/>
        <w:gridCol w:w="233"/>
        <w:gridCol w:w="271"/>
        <w:gridCol w:w="109"/>
        <w:gridCol w:w="109"/>
        <w:gridCol w:w="109"/>
        <w:gridCol w:w="211"/>
        <w:gridCol w:w="841"/>
        <w:gridCol w:w="109"/>
        <w:gridCol w:w="109"/>
        <w:gridCol w:w="109"/>
        <w:gridCol w:w="109"/>
        <w:gridCol w:w="240"/>
        <w:gridCol w:w="241"/>
        <w:gridCol w:w="316"/>
      </w:tblGrid>
      <w:tr>
        <w:trPr/>
        <w:tc>
          <w:tcPr>
            <w:tcW w:w="7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forward sale of Series B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Bridge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product type and as a percentage of total revenue were as follows ($ in thousands):</w:t>
      </w:r>
    </w:p>
    <w:tbl>
      <w:tblPr>
        <w:tblW w:w="15078" w:type="dxa"/>
        <w:jc w:val="left"/>
        <w:tblInd w:w="0" w:type="dxa"/>
        <w:tblLayout w:type="fixed"/>
        <w:tblCellMar>
          <w:top w:w="28" w:type="dxa"/>
          <w:left w:w="28" w:type="dxa"/>
          <w:bottom w:w="28" w:type="dxa"/>
          <w:right w:w="28" w:type="dxa"/>
        </w:tblCellMar>
      </w:tblPr>
      <w:tblGrid>
        <w:gridCol w:w="542"/>
        <w:gridCol w:w="478"/>
        <w:gridCol w:w="316"/>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425"/>
        <w:gridCol w:w="425"/>
        <w:gridCol w:w="426"/>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284"/>
        <w:gridCol w:w="284"/>
        <w:gridCol w:w="708"/>
        <w:gridCol w:w="109"/>
        <w:gridCol w:w="109"/>
        <w:gridCol w:w="109"/>
        <w:gridCol w:w="109"/>
        <w:gridCol w:w="109"/>
        <w:gridCol w:w="109"/>
        <w:gridCol w:w="109"/>
        <w:gridCol w:w="109"/>
        <w:gridCol w:w="109"/>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Year-over-Year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Year-over-Year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Consumables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70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grew 47% to $27.7 million for the three months ended June 30, 2023, compared to the three months June 30, 2022, and 17% to $52.8 million for the six months ended June 30, 2023, compared to the six months ended June 30, 2022. The growth was primarily attributable to increased instrument placements, primarily in our proteomics end user markets. Revenue reported for the three and six months ended June 30, 2022 includes a $1.6 million instrument revenue reduction for a one-time reserve recorded for our discontinued LCM product line in the Genomics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Instrument revenue grew 335% to $11.6 million for the three months ended June 30, 2023, compared to the three months ended June 30, 2022, and 72% to $17.5 million for the six months ended June 30, 2023, compared to the six months ended June 30, 2022. Combined consumables and services revenue has experienced flat to moderate growth in 2023; however, the increase in instrument revenue is expected to drive increased consumables and services pull-through based on an expanded installed base, particularly in our proteomics end user markets. Recurring consumables and service revenue comprised about 65% of our total revenue for the six months ended June 30, 2023.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by segment and as a percentage of total revenue were as follows ($ in thousands):</w:t>
      </w:r>
    </w:p>
    <w:tbl>
      <w:tblPr>
        <w:tblW w:w="13826"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211"/>
        <w:gridCol w:w="721"/>
        <w:gridCol w:w="109"/>
        <w:gridCol w:w="109"/>
        <w:gridCol w:w="109"/>
        <w:gridCol w:w="109"/>
        <w:gridCol w:w="160"/>
        <w:gridCol w:w="152"/>
        <w:gridCol w:w="109"/>
        <w:gridCol w:w="109"/>
        <w:gridCol w:w="109"/>
        <w:gridCol w:w="109"/>
        <w:gridCol w:w="211"/>
        <w:gridCol w:w="721"/>
        <w:gridCol w:w="109"/>
        <w:gridCol w:w="109"/>
        <w:gridCol w:w="109"/>
        <w:gridCol w:w="109"/>
        <w:gridCol w:w="160"/>
        <w:gridCol w:w="152"/>
        <w:gridCol w:w="109"/>
        <w:gridCol w:w="109"/>
        <w:gridCol w:w="109"/>
        <w:gridCol w:w="109"/>
        <w:gridCol w:w="425"/>
        <w:gridCol w:w="425"/>
        <w:gridCol w:w="426"/>
        <w:gridCol w:w="109"/>
        <w:gridCol w:w="109"/>
        <w:gridCol w:w="109"/>
        <w:gridCol w:w="211"/>
        <w:gridCol w:w="721"/>
        <w:gridCol w:w="109"/>
        <w:gridCol w:w="109"/>
        <w:gridCol w:w="109"/>
        <w:gridCol w:w="109"/>
        <w:gridCol w:w="160"/>
        <w:gridCol w:w="152"/>
        <w:gridCol w:w="109"/>
        <w:gridCol w:w="109"/>
        <w:gridCol w:w="109"/>
        <w:gridCol w:w="109"/>
        <w:gridCol w:w="211"/>
        <w:gridCol w:w="721"/>
        <w:gridCol w:w="109"/>
        <w:gridCol w:w="109"/>
        <w:gridCol w:w="109"/>
        <w:gridCol w:w="109"/>
        <w:gridCol w:w="160"/>
        <w:gridCol w:w="152"/>
        <w:gridCol w:w="109"/>
        <w:gridCol w:w="109"/>
        <w:gridCol w:w="109"/>
        <w:gridCol w:w="109"/>
        <w:gridCol w:w="425"/>
        <w:gridCol w:w="425"/>
        <w:gridCol w:w="426"/>
        <w:gridCol w:w="109"/>
        <w:gridCol w:w="109"/>
        <w:gridCol w:w="109"/>
        <w:gridCol w:w="109"/>
        <w:gridCol w:w="109"/>
        <w:gridCol w:w="109"/>
        <w:gridCol w:w="109"/>
        <w:gridCol w:w="109"/>
        <w:gridCol w:w="109"/>
        <w:gridCol w:w="154"/>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Year-over-Year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Year-over-Year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Proteomics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Genomics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Proteomics revenue grew 74% for the three months ended June 30, 2023, compared to the three months ended June 30, 2022 and 38% for the six months ended June 30, 2023 compared to the six months ended June 30, 2022. Our growth in proteomics was driven by expanded adoption of our flow symmetry solution, the CYTOF XT, and early traction from the April 2023 release of Hyperion XTi, our next-generation imaging solution.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Genomics revenue grew 15% for the three months ended June 30, 2023 compared to the three months ended June 30, 2022 and was down 8% for the six months ended June 30, 2023 compared to the six months ended June 30, 2022 with instrument growth offsetting declines in consumables, service, and development revenues in the second quarter. The anticipated decline in the genomics segment was a primary driver of our decision to reorganize, simplify and reposition this business over the past year. We have implemented our strategy to focus on growing the OEM business and manage this segment to sustainable positive contribution margin in the near-term.</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88" w:before="160" w:after="283"/>
        <w:jc w:val="left"/>
        <w:rPr/>
      </w:pPr>
      <w:r>
        <w:rPr>
          <w:rFonts w:ascii="Times New Roman;sans-serif" w:hAnsi="Times New Roman;sans-serif"/>
          <w:b w:val="false"/>
          <w:color w:val="000000"/>
          <w:sz w:val="20"/>
        </w:rPr>
        <w:t xml:space="preserve">Product and service cost, product and service gross profit, and </w:t>
      </w:r>
      <w:r>
        <w:rPr>
          <w:rFonts w:ascii="Times New Roman;sans-serif" w:hAnsi="Times New Roman;sans-serif"/>
          <w:b w:val="false"/>
          <w:color w:val="000000"/>
          <w:sz w:val="20"/>
          <w:shd w:fill="FFFFFF" w:val="clear"/>
        </w:rPr>
        <w:t>product and service m</w:t>
      </w:r>
      <w:r>
        <w:rPr>
          <w:rFonts w:ascii="Times New Roman;sans-serif" w:hAnsi="Times New Roman;sans-serif"/>
          <w:b w:val="false"/>
          <w:color w:val="000000"/>
          <w:sz w:val="20"/>
        </w:rPr>
        <w:t xml:space="preserve">argin were as follows ($ in thousands): </w:t>
      </w:r>
    </w:p>
    <w:tbl>
      <w:tblPr>
        <w:tblW w:w="10709"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09"/>
        <w:gridCol w:w="266"/>
        <w:gridCol w:w="245"/>
        <w:gridCol w:w="483"/>
        <w:gridCol w:w="109"/>
        <w:gridCol w:w="109"/>
        <w:gridCol w:w="109"/>
        <w:gridCol w:w="266"/>
        <w:gridCol w:w="245"/>
        <w:gridCol w:w="483"/>
        <w:gridCol w:w="109"/>
        <w:gridCol w:w="109"/>
        <w:gridCol w:w="109"/>
        <w:gridCol w:w="284"/>
        <w:gridCol w:w="284"/>
        <w:gridCol w:w="708"/>
        <w:gridCol w:w="109"/>
        <w:gridCol w:w="109"/>
        <w:gridCol w:w="109"/>
        <w:gridCol w:w="109"/>
        <w:gridCol w:w="109"/>
        <w:gridCol w:w="109"/>
        <w:gridCol w:w="266"/>
        <w:gridCol w:w="245"/>
        <w:gridCol w:w="483"/>
        <w:gridCol w:w="109"/>
        <w:gridCol w:w="109"/>
        <w:gridCol w:w="109"/>
        <w:gridCol w:w="211"/>
        <w:gridCol w:w="721"/>
        <w:gridCol w:w="271"/>
        <w:gridCol w:w="109"/>
        <w:gridCol w:w="109"/>
        <w:gridCol w:w="109"/>
        <w:gridCol w:w="284"/>
        <w:gridCol w:w="284"/>
        <w:gridCol w:w="708"/>
        <w:gridCol w:w="109"/>
        <w:gridCol w:w="109"/>
        <w:gridCol w:w="109"/>
        <w:gridCol w:w="109"/>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Year-over-Year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Year-over-Year Change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and service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and service gross profit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and service margin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 and service gross profit increased by $9.7 million, or 265%, for the three months ended June 30, 2023 compared to the three months ended June 30, 2022. Product and service gross profit increased by $9.4 million, or 60%, for the six months ended June 30, 2023 compared to the six months ended June 30, 2022. The increases in gross profit were primarily attributable to certain one-time reductions to gross profit recognized during the second quarter of 2022, including a $1.6 million revenue reserve related to the discontinuation of our laser capture microdissection products, a $3.1 million provision for excess and obsolete inventory, and cost reductions driven by the relocation of operations to lower cost regions completed at the end of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were as follows ($ in thousands):</w:t>
      </w:r>
    </w:p>
    <w:tbl>
      <w:tblPr>
        <w:tblW w:w="10205" w:type="dxa"/>
        <w:jc w:val="left"/>
        <w:tblInd w:w="0" w:type="dxa"/>
        <w:tblLayout w:type="fixed"/>
        <w:tblCellMar>
          <w:top w:w="28" w:type="dxa"/>
          <w:left w:w="28" w:type="dxa"/>
          <w:bottom w:w="28" w:type="dxa"/>
          <w:right w:w="28" w:type="dxa"/>
        </w:tblCellMar>
      </w:tblPr>
      <w:tblGrid>
        <w:gridCol w:w="570"/>
        <w:gridCol w:w="414"/>
        <w:gridCol w:w="416"/>
        <w:gridCol w:w="109"/>
        <w:gridCol w:w="109"/>
        <w:gridCol w:w="109"/>
        <w:gridCol w:w="211"/>
        <w:gridCol w:w="721"/>
        <w:gridCol w:w="109"/>
        <w:gridCol w:w="109"/>
        <w:gridCol w:w="109"/>
        <w:gridCol w:w="109"/>
        <w:gridCol w:w="211"/>
        <w:gridCol w:w="721"/>
        <w:gridCol w:w="109"/>
        <w:gridCol w:w="109"/>
        <w:gridCol w:w="109"/>
        <w:gridCol w:w="109"/>
        <w:gridCol w:w="438"/>
        <w:gridCol w:w="438"/>
        <w:gridCol w:w="439"/>
        <w:gridCol w:w="109"/>
        <w:gridCol w:w="109"/>
        <w:gridCol w:w="109"/>
        <w:gridCol w:w="211"/>
        <w:gridCol w:w="721"/>
        <w:gridCol w:w="109"/>
        <w:gridCol w:w="109"/>
        <w:gridCol w:w="109"/>
        <w:gridCol w:w="109"/>
        <w:gridCol w:w="211"/>
        <w:gridCol w:w="721"/>
        <w:gridCol w:w="109"/>
        <w:gridCol w:w="109"/>
        <w:gridCol w:w="109"/>
        <w:gridCol w:w="109"/>
        <w:gridCol w:w="398"/>
        <w:gridCol w:w="398"/>
        <w:gridCol w:w="568"/>
      </w:tblGrid>
      <w:tr>
        <w:trPr/>
        <w:tc>
          <w:tcPr>
            <w:tcW w:w="5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Year-over-Year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Year-over-Year Change</w:t>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R&amp;D expense decreased by $6.4 million, or 51%, for the three months ended June 30, 2023, compared to the three months ended June 30, 2022. R&amp;D expense decreased by $8.8 million, or 41%, for the six months ended June 30, 2023, compared to the six months ended June 30, 2022. The decreases were primarily due to a $3.5 million impairment charge related to InstruNor recognized during the three months ended June 30, 2022, as well as lower compensation and consulting costs and reduced spending on laboratory supplies. These reductions were related to our strategic initiatives to reduce headcount and improve operating efficiencies by engaging in lower-cost and more focused R&amp;D projects and activities.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SG&amp;A expense decreased by $7.5 million, or 25%, for the three months ended June 30, 2023 compared to the three months ended June 30, 2022. SG&amp;A expense decreased by $15.7 million, or 26%, for the six months ended June 30, 2023 compared to the six months ended June 30, 2022. The decrease was primarily attributable to decreased salaries and benefits expense and stock based compensation expense as a result of the restructuring plan that downsized our global workforce, as well as non-recurring legal expenses and professional fees incurred in the three and six months ended June 30, 2022 related to the Private Placement.</w:t>
      </w:r>
    </w:p>
    <w:p>
      <w:pPr>
        <w:pStyle w:val="TextBody"/>
        <w:bidi w:val="0"/>
        <w:spacing w:before="160" w:after="283"/>
        <w:jc w:val="both"/>
        <w:rPr/>
      </w:pPr>
      <w:r>
        <w:rPr/>
      </w:r>
    </w:p>
    <w:p>
      <w:pPr>
        <w:pStyle w:val="TextBody"/>
        <w:bidi w:val="0"/>
        <w:spacing w:lineRule="auto" w:line="268" w:before="0" w:after="0"/>
        <w:jc w:val="left"/>
        <w:rPr>
          <w:rFonts w:ascii="Times New Roman;sans-serif" w:hAnsi="Times New Roman;sans-serif"/>
          <w:b/>
          <w:i/>
          <w:color w:val="242424"/>
          <w:sz w:val="20"/>
        </w:rPr>
      </w:pPr>
      <w:r>
        <w:rPr>
          <w:rFonts w:ascii="Times New Roman;sans-serif" w:hAnsi="Times New Roman;sans-serif"/>
          <w:b/>
          <w:i/>
          <w:color w:val="242424"/>
          <w:sz w:val="20"/>
        </w:rPr>
        <w:t>Restructuring and Related Charges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consisted of the following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0"/>
        <w:gridCol w:w="488"/>
        <w:gridCol w:w="491"/>
        <w:gridCol w:w="109"/>
        <w:gridCol w:w="109"/>
        <w:gridCol w:w="109"/>
        <w:gridCol w:w="216"/>
        <w:gridCol w:w="632"/>
        <w:gridCol w:w="111"/>
        <w:gridCol w:w="111"/>
        <w:gridCol w:w="111"/>
        <w:gridCol w:w="111"/>
        <w:gridCol w:w="216"/>
        <w:gridCol w:w="478"/>
        <w:gridCol w:w="111"/>
        <w:gridCol w:w="109"/>
        <w:gridCol w:w="109"/>
        <w:gridCol w:w="109"/>
        <w:gridCol w:w="476"/>
        <w:gridCol w:w="476"/>
        <w:gridCol w:w="477"/>
        <w:gridCol w:w="109"/>
        <w:gridCol w:w="109"/>
        <w:gridCol w:w="109"/>
        <w:gridCol w:w="211"/>
        <w:gridCol w:w="616"/>
        <w:gridCol w:w="109"/>
        <w:gridCol w:w="109"/>
        <w:gridCol w:w="109"/>
        <w:gridCol w:w="109"/>
        <w:gridCol w:w="211"/>
        <w:gridCol w:w="616"/>
        <w:gridCol w:w="109"/>
        <w:gridCol w:w="109"/>
        <w:gridCol w:w="109"/>
        <w:gridCol w:w="109"/>
        <w:gridCol w:w="431"/>
        <w:gridCol w:w="431"/>
        <w:gridCol w:w="621"/>
      </w:tblGrid>
      <w:tr>
        <w:trPr/>
        <w:tc>
          <w:tcPr>
            <w:tcW w:w="71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Year-over-Year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Year-over-Year Change</w:t>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and related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increased by $2.0 million for the three months ended June 30, 2023 compared to the three months ended June 30, 2022, due to increased severance costs and increased facilities expenses related to the reduction in leased office space, which commenced in the third quarter of 2022.</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increased by $1.7 million for the six months ended June 30, 2023 compared to the six months ended June 30, 2022, due to increased facilities expenses offset by deceased severance costs, primarily resulting from higher severance costs for our former CEO during the first quarter of 2022.</w:t>
      </w:r>
    </w:p>
    <w:p>
      <w:pPr>
        <w:pStyle w:val="TextBody"/>
        <w:bidi w:val="0"/>
        <w:spacing w:lineRule="auto" w:line="288" w:before="160" w:after="283"/>
        <w:jc w:val="left"/>
        <w:rPr>
          <w:rFonts w:ascii="Times New Roman;sans-serif" w:hAnsi="Times New Roman;sans-serif"/>
          <w:b/>
          <w:i/>
          <w:color w:val="242424"/>
          <w:sz w:val="20"/>
        </w:rPr>
      </w:pPr>
      <w:r>
        <w:rPr>
          <w:rFonts w:ascii="Times New Roman;sans-serif" w:hAnsi="Times New Roman;sans-serif"/>
          <w:b/>
          <w:i/>
          <w:color w:val="242424"/>
          <w:sz w:val="20"/>
        </w:rPr>
        <w:t>Interest Expense and Other Non-Operating Income (Expense)</w:t>
      </w:r>
    </w:p>
    <w:p>
      <w:pPr>
        <w:pStyle w:val="TextBody"/>
        <w:bidi w:val="0"/>
        <w:spacing w:lineRule="auto" w:line="288" w:before="160" w:after="283"/>
        <w:jc w:val="both"/>
        <w:rPr/>
      </w:pPr>
      <w:r>
        <w:rPr>
          <w:rFonts w:ascii="Times New Roman;sans-serif" w:hAnsi="Times New Roman;sans-serif"/>
          <w:b w:val="false"/>
          <w:color w:val="000000"/>
          <w:sz w:val="20"/>
        </w:rPr>
        <w:t xml:space="preserve">The improvement in non-operating income (expense) in the three months ended June 30, 2023, compared to the three months ended June 30, 2022, primarily reflects losses related to the Private Placement. The Purchase Agreements for the Series B Preferred Stock were accounted for as forward sales contracts and recorded at fair value. The Bridge Loans were also recorded at fair value. In the </w:t>
      </w:r>
      <w:r>
        <w:rPr>
          <w:rFonts w:ascii="Times New Roman;sans-serif" w:hAnsi="Times New Roman;sans-serif"/>
          <w:b w:val="false"/>
          <w:color w:val="242424"/>
          <w:sz w:val="20"/>
        </w:rPr>
        <w:t>three months ended June 30, 2022</w:t>
      </w:r>
      <w:r>
        <w:rPr>
          <w:rFonts w:ascii="Times New Roman;sans-serif" w:hAnsi="Times New Roman;sans-serif"/>
          <w:b w:val="false"/>
          <w:color w:val="000000"/>
          <w:sz w:val="20"/>
        </w:rPr>
        <w:t>, the $22.3 million loss on the forward sales of Series B Preferred Stock and the loss on the Bridge Loans of $3.1 million reflected the increase in the price of our common stock from April 1, 2022 to the Closing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pPr>
      <w:r>
        <w:rPr>
          <w:rFonts w:ascii="Times New Roman;sans-serif" w:hAnsi="Times New Roman;sans-serif"/>
          <w:b w:val="false"/>
          <w:color w:val="000000"/>
          <w:sz w:val="20"/>
        </w:rPr>
        <w:t xml:space="preserve">The increase in other income (expense), net of $2.0 million for the </w:t>
      </w:r>
      <w:r>
        <w:rPr>
          <w:rFonts w:ascii="Times New Roman;sans-serif" w:hAnsi="Times New Roman;sans-serif"/>
          <w:b w:val="false"/>
          <w:color w:val="242424"/>
          <w:sz w:val="20"/>
        </w:rPr>
        <w:t xml:space="preserve">three months ended June 30, 2023, </w:t>
      </w:r>
      <w:r>
        <w:rPr>
          <w:rFonts w:ascii="Times New Roman;sans-serif" w:hAnsi="Times New Roman;sans-serif"/>
          <w:b w:val="false"/>
          <w:color w:val="000000"/>
          <w:sz w:val="20"/>
        </w:rPr>
        <w:t xml:space="preserve">compared to the three months ended </w:t>
      </w:r>
      <w:r>
        <w:rPr>
          <w:rFonts w:ascii="Times New Roman;sans-serif" w:hAnsi="Times New Roman;sans-serif"/>
          <w:b w:val="false"/>
          <w:color w:val="242424"/>
          <w:sz w:val="20"/>
        </w:rPr>
        <w:t xml:space="preserve">June 30, 2022, </w:t>
      </w:r>
      <w:r>
        <w:rPr>
          <w:rFonts w:ascii="Times New Roman;sans-serif" w:hAnsi="Times New Roman;sans-serif"/>
          <w:b w:val="false"/>
          <w:color w:val="000000"/>
          <w:sz w:val="20"/>
        </w:rPr>
        <w:t>was primarily due to the interest earned on money market funds and short-term investments. We previously had no such investments until after the Closing Date.</w:t>
      </w:r>
    </w:p>
    <w:p>
      <w:pPr>
        <w:pStyle w:val="TextBody"/>
        <w:bidi w:val="0"/>
        <w:spacing w:lineRule="auto" w:line="288" w:before="160" w:after="160"/>
        <w:jc w:val="both"/>
        <w:rPr/>
      </w:pPr>
      <w:r>
        <w:rPr>
          <w:rFonts w:ascii="Times New Roman;sans-serif" w:hAnsi="Times New Roman;sans-serif"/>
          <w:b w:val="false"/>
          <w:color w:val="000000"/>
          <w:sz w:val="20"/>
        </w:rPr>
        <w:t xml:space="preserve">The improvement in non-operating income (expense) in the six months ended June 30, 2023, compared to the six months ended June 30 2022, primarily reflects losses related to the Private Placement. The Purchase Agreements for the Series B Preferred Stock were accounted for as forward sales contracts and recorded at fair value. The Bridge Loans were also recorded at fair value. In the six months ended </w:t>
      </w:r>
      <w:r>
        <w:rPr>
          <w:rFonts w:ascii="Times New Roman;sans-serif" w:hAnsi="Times New Roman;sans-serif"/>
          <w:b w:val="false"/>
          <w:color w:val="242424"/>
          <w:sz w:val="20"/>
        </w:rPr>
        <w:t>June 30, 2022</w:t>
      </w:r>
      <w:r>
        <w:rPr>
          <w:rFonts w:ascii="Times New Roman;sans-serif" w:hAnsi="Times New Roman;sans-serif"/>
          <w:b w:val="false"/>
          <w:color w:val="000000"/>
          <w:sz w:val="20"/>
        </w:rPr>
        <w:t>, the $60.1 million loss on the forward sales of Series B Preferred Stock and the loss on the Bridge Loans of $13.7 million reflected the increase in the price of our common stock from January 23, 2022 (the date of the Purchase Agreements and the Bridge Loan agreements) to the Closing Date.</w:t>
      </w:r>
    </w:p>
    <w:p>
      <w:pPr>
        <w:pStyle w:val="TextBody"/>
        <w:bidi w:val="0"/>
        <w:spacing w:lineRule="auto" w:line="288" w:before="160" w:after="160"/>
        <w:jc w:val="both"/>
        <w:rPr/>
      </w:pPr>
      <w:r>
        <w:rPr>
          <w:rFonts w:ascii="Times New Roman;sans-serif" w:hAnsi="Times New Roman;sans-serif"/>
          <w:b w:val="false"/>
          <w:color w:val="000000"/>
          <w:sz w:val="20"/>
        </w:rPr>
        <w:t xml:space="preserve">The increase in other income, net of $2.0 million for the six months ended </w:t>
      </w:r>
      <w:r>
        <w:rPr>
          <w:rFonts w:ascii="Times New Roman;sans-serif" w:hAnsi="Times New Roman;sans-serif"/>
          <w:b w:val="false"/>
          <w:color w:val="242424"/>
          <w:sz w:val="20"/>
        </w:rPr>
        <w:t>June 30, 2023</w:t>
      </w:r>
      <w:r>
        <w:rPr>
          <w:color w:val="000000"/>
        </w:rPr>
        <w:t xml:space="preserve"> </w:t>
      </w:r>
      <w:r>
        <w:rPr>
          <w:rFonts w:ascii="Times New Roman;sans-serif" w:hAnsi="Times New Roman;sans-serif"/>
          <w:b w:val="false"/>
          <w:color w:val="000000"/>
          <w:sz w:val="20"/>
        </w:rPr>
        <w:t xml:space="preserve">compared to </w:t>
      </w:r>
      <w:r>
        <w:rPr>
          <w:rFonts w:ascii="Times New Roman;sans-serif" w:hAnsi="Times New Roman;sans-serif"/>
          <w:b w:val="false"/>
          <w:color w:val="242424"/>
          <w:sz w:val="20"/>
        </w:rPr>
        <w:t xml:space="preserve">June 30, 2022, </w:t>
      </w:r>
      <w:r>
        <w:rPr>
          <w:rFonts w:ascii="Times New Roman;sans-serif" w:hAnsi="Times New Roman;sans-serif"/>
          <w:b w:val="false"/>
          <w:color w:val="000000"/>
          <w:sz w:val="20"/>
        </w:rPr>
        <w:t>was primarily due to the interest earned on money market funds and short-term investments because we had no such investments until after the Closing Date.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Income Tax Benefit (Expense)</w:t>
      </w:r>
    </w:p>
    <w:p>
      <w:pPr>
        <w:pStyle w:val="TextBody"/>
        <w:bidi w:val="0"/>
        <w:spacing w:lineRule="auto" w:line="268" w:before="160" w:after="160"/>
        <w:jc w:val="both"/>
        <w:rPr/>
      </w:pPr>
      <w:r>
        <w:rPr>
          <w:rFonts w:ascii="Times New Roman;sans-serif" w:hAnsi="Times New Roman;sans-serif"/>
          <w:b w:val="false"/>
          <w:color w:val="000000"/>
          <w:sz w:val="20"/>
        </w:rPr>
        <w:t xml:space="preserve">We recorded an income tax expense of $0.3 million in the </w:t>
      </w:r>
      <w:r>
        <w:rPr>
          <w:rFonts w:ascii="Times New Roman;sans-serif" w:hAnsi="Times New Roman;sans-serif"/>
          <w:b w:val="false"/>
          <w:color w:val="242424"/>
          <w:sz w:val="20"/>
        </w:rPr>
        <w:t xml:space="preserve">three months ended </w:t>
      </w:r>
      <w:r>
        <w:rPr>
          <w:rFonts w:ascii="Times New Roman;sans-serif" w:hAnsi="Times New Roman;sans-serif"/>
          <w:b w:val="false"/>
          <w:color w:val="000000"/>
          <w:sz w:val="20"/>
        </w:rPr>
        <w:t xml:space="preserve">June 30, 2023 and an income tax benefit of $1.6 million for the three months ended </w:t>
      </w:r>
      <w:r>
        <w:rPr>
          <w:rFonts w:ascii="Times New Roman;sans-serif" w:hAnsi="Times New Roman;sans-serif"/>
          <w:b w:val="false"/>
          <w:color w:val="242424"/>
          <w:sz w:val="20"/>
        </w:rPr>
        <w:t>June 30, 2022</w:t>
      </w:r>
      <w:r>
        <w:rPr>
          <w:rFonts w:ascii="Times New Roman;sans-serif" w:hAnsi="Times New Roman;sans-serif"/>
          <w:b w:val="false"/>
          <w:color w:val="000000"/>
          <w:sz w:val="20"/>
          <w:shd w:fill="FFFFFF" w:val="clear"/>
        </w:rPr>
        <w:t>. The increase in our tax provision reflects the effect of our foreign operations, which reported pre-tax income in the three months ended June 30, 2023 and pre-tax loss in the three months ended June 30, 2022.</w:t>
      </w:r>
    </w:p>
    <w:p>
      <w:pPr>
        <w:pStyle w:val="TextBody"/>
        <w:bidi w:val="0"/>
        <w:spacing w:lineRule="auto" w:line="268" w:before="160" w:after="160"/>
        <w:jc w:val="both"/>
        <w:rPr/>
      </w:pPr>
      <w:r>
        <w:rPr>
          <w:rFonts w:ascii="Times New Roman;sans-serif" w:hAnsi="Times New Roman;sans-serif"/>
          <w:b w:val="false"/>
          <w:color w:val="000000"/>
          <w:sz w:val="20"/>
        </w:rPr>
        <w:t xml:space="preserve">We recorded an income tax expense of $0.6 million in the six months ended June 30, 2023 and an income tax benefit of $2.2 million for the six months ended </w:t>
      </w:r>
      <w:r>
        <w:rPr>
          <w:rFonts w:ascii="Times New Roman;sans-serif" w:hAnsi="Times New Roman;sans-serif"/>
          <w:b w:val="false"/>
          <w:color w:val="242424"/>
          <w:sz w:val="20"/>
        </w:rPr>
        <w:t>June 30, 2022</w:t>
      </w:r>
      <w:r>
        <w:rPr>
          <w:rFonts w:ascii="Times New Roman;sans-serif" w:hAnsi="Times New Roman;sans-serif"/>
          <w:b w:val="false"/>
          <w:color w:val="000000"/>
          <w:sz w:val="20"/>
          <w:shd w:fill="FFFFFF" w:val="clear"/>
        </w:rPr>
        <w:t>. The increase in our tax provision reflects the effect of our foreign operations, which reported pre-tax income in the six months ended June 30, 2023 and pre-tax loss in the six months ended June 30, 2022.</w:t>
      </w:r>
    </w:p>
    <w:p>
      <w:pPr>
        <w:pStyle w:val="TextBody"/>
        <w:bidi w:val="0"/>
        <w:spacing w:lineRule="auto" w:line="26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effective tax rates for both periods differ from the 21% U.S. Federal statutory tax rate primarily due to valuation allowances recorded against deferred tax assets on domestic losses and the tax rate differences between the U.S. and foreign countries.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0"/>
        <w:jc w:val="both"/>
        <w:rPr/>
      </w:pPr>
      <w:r>
        <w:rPr>
          <w:rFonts w:ascii="Times New Roman;sans-serif" w:hAnsi="Times New Roman;sans-serif"/>
          <w:b w:val="false"/>
          <w:color w:val="000000"/>
          <w:sz w:val="20"/>
        </w:rPr>
        <w:t>We have experienced operating losses since inception and have an accumulated deficit of $960.0 million as of June 30, 2023. To date, we have funded our operating losses primarily through equity offerings, term loans, convertible notes, and redeemable preferred stock.</w:t>
      </w:r>
      <w:r>
        <w:rPr>
          <w:color w:val="000000"/>
        </w:rPr>
        <w:t xml:space="preserve"> </w:t>
      </w:r>
      <w:r>
        <w:rPr>
          <w:rFonts w:ascii="Times New Roman;sans-serif" w:hAnsi="Times New Roman;sans-serif"/>
          <w:b w:val="false"/>
          <w:color w:val="000000"/>
          <w:sz w:val="20"/>
        </w:rPr>
        <w:t>Our ability to fund future operations and meet debt covenant requirements will depend upon our level of future revenue and operating cash flow and our ability to access additional funding through either equity offerings, issuances of debt instruments or both.</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and capital requirements depend upon many factors, including market acceptance of our products and services; effectiveness of our business improvement initiatives and restructuring programs; costs of supporting sales growth, product quality, R&amp;D, and capital expenditures, including our ERP upgrade; and costs and timing of acquiring other businesses, assets or technologies. </w:t>
      </w:r>
    </w:p>
    <w:p>
      <w:pPr>
        <w:pStyle w:val="TextBody"/>
        <w:bidi w:val="0"/>
        <w:spacing w:lineRule="auto" w:line="288" w:before="160" w:after="283"/>
        <w:jc w:val="both"/>
        <w:rPr/>
      </w:pPr>
      <w:r>
        <w:rPr>
          <w:rFonts w:ascii="Times New Roman;sans-serif" w:hAnsi="Times New Roman;sans-serif"/>
          <w:b w:val="false"/>
          <w:color w:val="000000"/>
          <w:sz w:val="20"/>
        </w:rPr>
        <w:t>We continually evaluate our liquidity requirements considering our operating needs, growth initiatives, and capital resources. We expect that our existing liquidity and sources of capital will be sufficient to support our operations for at least the next 12 months f</w:t>
      </w:r>
      <w:r>
        <w:rPr>
          <w:rFonts w:ascii="Times New Roman;sans-serif" w:hAnsi="Times New Roman;sans-serif"/>
          <w:b w:val="false"/>
          <w:color w:val="000000"/>
          <w:sz w:val="20"/>
          <w:shd w:fill="FFFFFF" w:val="clear"/>
        </w:rPr>
        <w:t>rom the filing date of this quarterly report on Form 10-Q.</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principal sources of liquidity are cash, cash equivalents and short-term investments. Our collective balances of cash, cash equivalents and short-term investments were $142.3 million at June 30, 2023 and $165.8 million at December 31, 2022.</w:t>
      </w:r>
    </w:p>
    <w:p>
      <w:pPr>
        <w:pStyle w:val="TextBody"/>
        <w:bidi w:val="0"/>
        <w:spacing w:lineRule="auto" w:line="288" w:before="160" w:after="1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our Revolving Credit Facility, borrowings of up to $15.0 million are limited to the amount of our eligible accounts receivable and inventory collateral. As of June 30, 2023, we had no borrowings outstanding under the Revolving Credit Facility and the total availability was $7.1 million. The facility expired on August 2,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Capital Resources and Commitments</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enter into arrangements that serve as sources of capital and the associated contractual agreements may result in firm or contingent obligations of the Company. In addition to our common stockholders’ equity, our sources of capital primarily include debt, mezzanine equity, and operating leases. Our Series B Preferred Stock, which is classified as mezzanine equity, contains rights that may result in their conversion to our common stock or their redemption in cash. Our term loan and operating lease arrangements require cash repayment and our convertible debt that matures on December 1, 2024 contains rights that may result in their conversion to our common stock prior to maturity. </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enter into contractual and legally binding commitments to purchase goods. Most of these contracts are cancellable with little or no notice or penalty. However, once a vendor has incurred costs to fulfill a contract with us, and which costs cannot be otherwise deployed, we are liable for those costs upon cancellation.</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six months ended June 30, 2023, there have been no material changes to the cash commitments and contingent obligations associated with the arrangements described above, as reported in our Annual Report on Form 10-K for the fiscal year ended December 31, 2022.</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The terms and provisions of our debt, leases and mezzanine equity are more fully discussed in </w:t>
      </w:r>
      <w:hyperlink w:anchor="idd1b4c000b3644ad973d52f3d51888e8_52">
        <w:r>
          <w:rPr>
            <w:rStyle w:val="InternetLink"/>
            <w:rFonts w:ascii="Times New Roman;sans-serif" w:hAnsi="Times New Roman;sans-serif"/>
            <w:b w:val="false"/>
            <w:color w:val="0000FF"/>
            <w:sz w:val="20"/>
            <w:u w:val="single"/>
            <w:shd w:fill="FFFFFF" w:val="clear"/>
          </w:rPr>
          <w:t>Notes 6</w:t>
        </w:r>
      </w:hyperlink>
      <w:r>
        <w:rPr>
          <w:rFonts w:ascii="Times New Roman;sans-serif" w:hAnsi="Times New Roman;sans-serif"/>
          <w:b w:val="false"/>
          <w:color w:val="000000"/>
          <w:sz w:val="20"/>
          <w:shd w:fill="FFFFFF" w:val="clear"/>
        </w:rPr>
        <w:t xml:space="preserve">, </w:t>
      </w:r>
      <w:hyperlink w:anchor="idd1b4c000b3644ad973d52f3d51888e8_58">
        <w:r>
          <w:rPr>
            <w:rStyle w:val="InternetLink"/>
            <w:rFonts w:ascii="Times New Roman;sans-serif" w:hAnsi="Times New Roman;sans-serif"/>
            <w:b w:val="false"/>
            <w:color w:val="0000FF"/>
            <w:sz w:val="20"/>
            <w:u w:val="single"/>
            <w:shd w:fill="FFFFFF" w:val="clear"/>
          </w:rPr>
          <w:t>7</w:t>
        </w:r>
      </w:hyperlink>
      <w:r>
        <w:rPr>
          <w:color w:val="000000"/>
          <w:shd w:fill="FFFFFF" w:val="clear"/>
        </w:rPr>
        <w:t xml:space="preserve"> </w:t>
      </w:r>
      <w:r>
        <w:rPr>
          <w:rFonts w:ascii="Times New Roman;sans-serif" w:hAnsi="Times New Roman;sans-serif"/>
          <w:b w:val="false"/>
          <w:color w:val="000000"/>
          <w:sz w:val="20"/>
          <w:shd w:fill="FFFFFF" w:val="clear"/>
        </w:rPr>
        <w:t xml:space="preserve">and </w:t>
      </w:r>
      <w:hyperlink w:anchor="idd1b4c000b3644ad973d52f3d51888e8_64">
        <w:r>
          <w:rPr>
            <w:rStyle w:val="InternetLink"/>
            <w:rFonts w:ascii="Times New Roman;sans-serif" w:hAnsi="Times New Roman;sans-serif"/>
            <w:b w:val="false"/>
            <w:color w:val="0000FF"/>
            <w:sz w:val="20"/>
            <w:u w:val="single"/>
            <w:shd w:fill="FFFFFF" w:val="clear"/>
          </w:rPr>
          <w:t>9</w:t>
        </w:r>
      </w:hyperlink>
      <w:r>
        <w:rPr>
          <w:rFonts w:ascii="Times New Roman;sans-serif" w:hAnsi="Times New Roman;sans-serif"/>
          <w:b w:val="false"/>
          <w:color w:val="000000"/>
          <w:sz w:val="20"/>
          <w:shd w:fill="FFFFFF" w:val="clear"/>
        </w:rPr>
        <w:t>, respectively, in the unaudited condensed consolidated financial statements.</w:t>
      </w:r>
    </w:p>
    <w:p>
      <w:pPr>
        <w:pStyle w:val="TextBody"/>
        <w:bidi w:val="0"/>
        <w:spacing w:lineRule="auto" w:line="288" w:before="160" w:after="1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Flow Activity</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 summary was as follows ($ in thousands):</w:t>
      </w:r>
    </w:p>
    <w:tbl>
      <w:tblPr>
        <w:tblW w:w="8634" w:type="dxa"/>
        <w:jc w:val="center"/>
        <w:tblInd w:w="0" w:type="dxa"/>
        <w:tblLayout w:type="fixed"/>
        <w:tblCellMar>
          <w:top w:w="28" w:type="dxa"/>
          <w:left w:w="28" w:type="dxa"/>
          <w:bottom w:w="28" w:type="dxa"/>
          <w:right w:w="28" w:type="dxa"/>
        </w:tblCellMar>
      </w:tblPr>
      <w:tblGrid>
        <w:gridCol w:w="2183"/>
        <w:gridCol w:w="1917"/>
        <w:gridCol w:w="1930"/>
        <w:gridCol w:w="211"/>
        <w:gridCol w:w="796"/>
        <w:gridCol w:w="109"/>
        <w:gridCol w:w="109"/>
        <w:gridCol w:w="109"/>
        <w:gridCol w:w="109"/>
        <w:gridCol w:w="211"/>
        <w:gridCol w:w="796"/>
        <w:gridCol w:w="154"/>
      </w:tblGrid>
      <w:tr>
        <w:trPr/>
        <w:tc>
          <w:tcPr>
            <w:tcW w:w="2183"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summary:</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fluctuations on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derive cash flows from operations primarily by collecting amounts due from sales of our products and services, and fees earned under our product development and license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In the </w:t>
      </w:r>
      <w:r>
        <w:rPr>
          <w:rFonts w:ascii="Times New Roman;sans-serif" w:hAnsi="Times New Roman;sans-serif"/>
          <w:b w:val="false"/>
          <w:color w:val="000000"/>
          <w:sz w:val="20"/>
        </w:rPr>
        <w:t xml:space="preserve">six months ended </w:t>
      </w:r>
      <w:r>
        <w:rPr>
          <w:rFonts w:ascii="Times New Roman;sans-serif" w:hAnsi="Times New Roman;sans-serif"/>
          <w:b w:val="false"/>
          <w:color w:val="000000"/>
          <w:sz w:val="20"/>
          <w:shd w:fill="FFFFFF" w:val="clear"/>
        </w:rPr>
        <w:t xml:space="preserve">June 30, 2023, we used $85.1 million of net proceeds from the sales and maturities of short-term investments to help fund $17.8 million of net cash used in operating activities, $4.8 million of common stock repurchases, and a $60.8 million increase in cash and cash equivalents. </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In the </w:t>
      </w:r>
      <w:r>
        <w:rPr>
          <w:rFonts w:ascii="Times New Roman;sans-serif" w:hAnsi="Times New Roman;sans-serif"/>
          <w:b w:val="false"/>
          <w:color w:val="000000"/>
          <w:sz w:val="20"/>
        </w:rPr>
        <w:t>six months ended June 30, 2022</w:t>
      </w:r>
      <w:r>
        <w:rPr>
          <w:rFonts w:ascii="Times New Roman;sans-serif" w:hAnsi="Times New Roman;sans-serif"/>
          <w:b w:val="false"/>
          <w:color w:val="000000"/>
          <w:sz w:val="20"/>
          <w:shd w:fill="FFFFFF" w:val="clear"/>
        </w:rPr>
        <w:t>, we used $230.6 million of net debt and Series B Preferred Stock proceeds in part to fund $45.6 million used in operating activities, the purchase of short-term investments of $137.3 million and a $45.9 million increase in cash and cash equivalents.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six months ended June 30, 2023 declined by $27.8 million compared to the same period in 2022. The improvement reflects a lower net loss and adjustments for non-cash items, which collectively used $19.5 million in the first half of 2023 compared to $40.8 million used in the same period of 2022. This improvement was partially offset by unfavorable changes in net operating assets and liabilities, which provided $1.7 million and $4.8 million in the six months ended June 30, 2023 and 2022, respectively.</w:t>
      </w:r>
    </w:p>
    <w:p>
      <w:pPr>
        <w:pStyle w:val="TextBody"/>
        <w:bidi w:val="0"/>
        <w:spacing w:lineRule="auto" w:line="288" w:before="240" w:after="1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Investing Activities</w:t>
      </w:r>
    </w:p>
    <w:p>
      <w:pPr>
        <w:pStyle w:val="TextBody"/>
        <w:bidi w:val="0"/>
        <w:spacing w:lineRule="auto" w:line="288" w:before="160" w:after="283"/>
        <w:jc w:val="both"/>
        <w:rPr/>
      </w:pPr>
      <w:r>
        <w:rPr>
          <w:rFonts w:ascii="Times New Roman;sans-serif" w:hAnsi="Times New Roman;sans-serif"/>
          <w:b w:val="false"/>
          <w:color w:val="000000"/>
          <w:sz w:val="20"/>
        </w:rPr>
        <w:t xml:space="preserve">Net cash provided by investing activities for the six months ended June 30, 2023 was $83.3 million compared to $139.1 million used in the six months ended June 30, 2022. The first half of 2023 primarily reflects $85.1 million of proceeds from sales and maturities of short-term investments, net of purchases. Net proceeds from the </w:t>
      </w:r>
      <w:r>
        <w:rPr>
          <w:rFonts w:ascii="Times New Roman;sans-serif" w:hAnsi="Times New Roman;sans-serif"/>
          <w:b w:val="false"/>
          <w:color w:val="000000"/>
          <w:sz w:val="20"/>
          <w:shd w:fill="FFFFFF" w:val="clear"/>
        </w:rPr>
        <w:t xml:space="preserve">Private Placement issuance and the Bridge Loans were used to purchase short-term investments </w:t>
      </w:r>
      <w:r>
        <w:rPr>
          <w:rFonts w:ascii="Times New Roman;sans-serif" w:hAnsi="Times New Roman;sans-serif"/>
          <w:b w:val="false"/>
          <w:color w:val="000000"/>
          <w:sz w:val="20"/>
        </w:rPr>
        <w:t>of $137.3 million during the six months ended June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6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Financing activities used cash of $4.6 million for the six months ended 2023 and provided cash of $231.0 million in the same period of 2022. These changes in cash from financing activities primarily reflect $4.8 million of common stock share repurchases in 2023, and $18.2 million of net debt in 2022, reflecting $25.0 million of borrowings under the Bridge Loans and the repayment of $6.8 million borrowed under our Revolving Credit Facility as well as $225.0 million proceeds received from the issuance of Series B Preferred Sock less payments of $12.5 million in equity issuance costs in 2022.</w:t>
      </w:r>
    </w:p>
    <w:p>
      <w:pPr>
        <w:pStyle w:val="TextBody"/>
        <w:bidi w:val="0"/>
        <w:spacing w:lineRule="auto" w:line="288" w:before="160" w:after="160"/>
        <w:jc w:val="both"/>
        <w:rPr/>
      </w:pPr>
      <w:r>
        <w:rPr>
          <w:rFonts w:ascii="Times New Roman;sans-serif" w:hAnsi="Times New Roman;sans-serif"/>
          <w:b w:val="false"/>
          <w:color w:val="000000"/>
          <w:sz w:val="20"/>
          <w:shd w:fill="FFFFFF" w:val="clear"/>
        </w:rPr>
        <w:t xml:space="preserve">Repurchases of common stock are expected to be funded by cash on hand. </w:t>
      </w:r>
      <w:r>
        <w:rPr>
          <w:rFonts w:ascii="Times New Roman;sans-serif" w:hAnsi="Times New Roman;sans-serif"/>
          <w:b w:val="false"/>
          <w:color w:val="000000"/>
          <w:sz w:val="20"/>
        </w:rPr>
        <w:t>The timing and amount of any future common stock repurchases will depend on several factors, including stock price, market and business conditions, the daily trading volume of our stock and applicable SEC regulations. Repurchases may be suspended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pPr>
      <w:r>
        <w:rPr>
          <w:rFonts w:ascii="Times New Roman;sans-serif" w:hAnsi="Times New Roman;sans-serif"/>
          <w:b/>
          <w:color w:val="000000"/>
          <w:sz w:val="20"/>
        </w:rPr>
        <w:t xml:space="preserve">Critical Accounting Policies and </w:t>
      </w:r>
      <w:r>
        <w:rPr>
          <w:rFonts w:ascii="Times New Roman;sans-serif" w:hAnsi="Times New Roman;sans-serif"/>
          <w:b/>
          <w:color w:val="000000"/>
          <w:sz w:val="20"/>
          <w:shd w:fill="FFFFFF" w:val="clear"/>
        </w:rPr>
        <w:t>Estimates</w:t>
      </w:r>
    </w:p>
    <w:p>
      <w:pPr>
        <w:pStyle w:val="TextBody"/>
        <w:bidi w:val="0"/>
        <w:spacing w:lineRule="auto" w:line="288" w:before="160" w:after="283"/>
        <w:jc w:val="both"/>
        <w:rPr/>
      </w:pPr>
      <w:r>
        <w:rPr>
          <w:rFonts w:ascii="Times New Roman;sans-serif" w:hAnsi="Times New Roman;sans-serif"/>
          <w:b w:val="false"/>
          <w:color w:val="000000"/>
          <w:sz w:val="20"/>
        </w:rPr>
        <w:t xml:space="preserve">Management’s discussion and analysis of our financial condition and results of operations are based on our unaudited condensed consolidated financial statements and related notes, which have been prepared in accordance with U.S. GAAP. </w:t>
      </w:r>
      <w:r>
        <w:rPr>
          <w:rFonts w:ascii="Times New Roman;sans-serif" w:hAnsi="Times New Roman;sans-serif"/>
          <w:b w:val="false"/>
          <w:color w:val="000000"/>
          <w:sz w:val="20"/>
          <w:shd w:fill="FFFFFF" w:val="clear"/>
        </w:rPr>
        <w:t xml:space="preserve">The preparation of these financial statements requires the use of estimates and assumptions to determine the value of the assets, liabilities, revenues and expenses reported on the condensed consolidated balance sheets and statements of operations. We develop these estimates after considering historical transactions, the current economic environment and various other assumptions considered reasonable under the circumstances. Actual results may differ materially from these estimates and judgments. Accounts that rely heavily on estimated information to determine their values include revenue, trade receivables, inventories, right-of-use assets, goodwill, long-lived intangible assets, lease liabilities, income tax liabilities (assets), and preferred equity. </w:t>
      </w:r>
      <w:r>
        <w:rPr>
          <w:rFonts w:ascii="Times New Roman;sans-serif" w:hAnsi="Times New Roman;sans-serif"/>
          <w:b w:val="false"/>
          <w:color w:val="000000"/>
          <w:sz w:val="20"/>
        </w:rPr>
        <w:t>Refer to Item 7 in our Annual Report on Form 10-K for the year ended December 31, 2022 for additional information regarding our critical accounting policies and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the Company's significant accounting policies described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standards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8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16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CEO and our Chief Financial Officer, evaluated the effectiveness of our disclosure controls and procedures as of June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2023, our CEO and Chief Financial Officer concluded that, as of such date, our disclosure controls and procedures were effective at the reasonable assurance level.</w:t>
      </w:r>
    </w:p>
    <w:p>
      <w:pPr>
        <w:pStyle w:val="TextBody"/>
        <w:bidi w:val="0"/>
        <w:spacing w:lineRule="auto" w:line="288" w:before="240" w:after="16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that occurred during the six months ended June 30, 2023 that have materially affected, or are reasonably likely to materially affect, our internal control over financial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60"/>
        <w:jc w:val="left"/>
        <w:rPr>
          <w:rFonts w:ascii="Times New Roman;sans-serif" w:hAnsi="Times New Roman;sans-serif"/>
          <w:b/>
          <w:i/>
          <w:color w:val="000000"/>
          <w:sz w:val="20"/>
        </w:rPr>
      </w:pPr>
      <w:r>
        <w:rPr>
          <w:rFonts w:ascii="Times New Roman;sans-serif" w:hAnsi="Times New Roman;sans-serif"/>
          <w:b/>
          <w:i/>
          <w:color w:val="000000"/>
          <w:sz w:val="20"/>
        </w:rPr>
        <w:t>Limitations on the Effectiveness of Controls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68" w:before="0" w:after="0"/>
        <w:jc w:val="both"/>
        <w:rPr/>
      </w:pPr>
      <w:r>
        <w:rPr>
          <w:rFonts w:ascii="Times New Roman;sans-serif" w:hAnsi="Times New Roman;sans-serif"/>
          <w:b w:val="false"/>
          <w:color w:val="000000"/>
          <w:sz w:val="20"/>
        </w:rPr>
        <w:t>Information with respect to certain legal proceedings is included i</w:t>
      </w:r>
      <w:r>
        <w:rPr>
          <w:rFonts w:ascii="Times New Roman;sans-serif" w:hAnsi="Times New Roman;sans-serif"/>
          <w:b w:val="false"/>
          <w:color w:val="000000"/>
          <w:sz w:val="20"/>
          <w:shd w:fill="FFFFFF" w:val="clear"/>
        </w:rPr>
        <w:t xml:space="preserve">n </w:t>
      </w:r>
      <w:hyperlink w:anchor="idd1b4c000b3644ad973d52f3d51888e8_58">
        <w:r>
          <w:rPr>
            <w:rStyle w:val="InternetLink"/>
          </w:rPr>
          <w:t xml:space="preserve">Note </w:t>
        </w:r>
      </w:hyperlink>
      <w:hyperlink w:anchor="idd1b4c000b3644ad973d52f3d51888e8_58">
        <w:r>
          <w:rPr>
            <w:rStyle w:val="InternetLink"/>
          </w:rPr>
          <w:t>7</w:t>
        </w:r>
      </w:hyperlink>
      <w:r>
        <w:rPr>
          <w:color w:val="000000"/>
        </w:rPr>
        <w:t xml:space="preserve"> </w:t>
      </w:r>
      <w:r>
        <w:rPr>
          <w:rFonts w:ascii="Times New Roman;sans-serif" w:hAnsi="Times New Roman;sans-serif"/>
          <w:b w:val="false"/>
          <w:color w:val="000000"/>
          <w:sz w:val="20"/>
        </w:rPr>
        <w:t>to the Condensed Consolidated Financial Statements (Unaudited)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rapidly changing environment that involves numerous uncertainties and risks. You should carefully consider the risk factors discussed in Part I Item 1A “Risk Factors” in our Annual Report on Form 10-K for the fiscal year ended December 31, 2022, which could materially affect our business, financial condition, or results of operations. The risks in our Annual Report on Form 10-K are not the only ones we face. Our business is also subject to the risks that affect many other companies, such as employee relations, general economic conditions, global geopolitical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160"/>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23, 2022, our board of directors authorized a share repurchase program pursuant to which the Company may repurchase up to $20.0 million of the Company’s common stock through open market or privately negotiated transactions until December 31, 2023. The repurchases are contingent upon favorable market and business conditions and are funded by cash on hand. The program does not obligate the Company to acquire any specific number of shares.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monthly information with respect to the shares of common stock repurchased by us during the three months ended June 30,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48"/>
        <w:gridCol w:w="306"/>
        <w:gridCol w:w="309"/>
        <w:gridCol w:w="533"/>
        <w:gridCol w:w="533"/>
        <w:gridCol w:w="535"/>
        <w:gridCol w:w="492"/>
        <w:gridCol w:w="492"/>
        <w:gridCol w:w="494"/>
        <w:gridCol w:w="956"/>
        <w:gridCol w:w="956"/>
        <w:gridCol w:w="959"/>
        <w:gridCol w:w="961"/>
        <w:gridCol w:w="961"/>
        <w:gridCol w:w="1370"/>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 (1)</w:t>
            </w:r>
          </w:p>
        </w:tc>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Program</w:t>
            </w:r>
          </w:p>
        </w:tc>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Program</w:t>
            </w:r>
          </w:p>
        </w:tc>
      </w:tr>
      <w:tr>
        <w:trPr/>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1-30, 2023</w:t>
            </w:r>
          </w:p>
        </w:tc>
        <w:tc>
          <w:tcPr>
            <w:tcW w:w="1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433,852</w:t>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2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433,852</w:t>
            </w:r>
          </w:p>
        </w:tc>
        <w:tc>
          <w:tcPr>
            <w:tcW w:w="3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 million</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1-31, 2023</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477,853</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477,853</w:t>
            </w:r>
          </w:p>
        </w:tc>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$15.3 million</w:t>
            </w:r>
          </w:p>
        </w:tc>
      </w:tr>
      <w:tr>
        <w:trPr/>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1-30, 2023</w:t>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296,495</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2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296,495</w:t>
            </w:r>
          </w:p>
        </w:tc>
        <w:tc>
          <w:tcPr>
            <w:tcW w:w="3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$14.6 million</w:t>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68" w:before="0" w:after="0"/>
        <w:ind w:left="0" w:right="0" w:firstLine="72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Average price paid per share includes commission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80" w:after="1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documents listed in the Exhibit List, which follows below, are incorporated by reference or are filed with this quarterly report on Form 10-Q, in each case as indicated therein (numbered in accordance with Item 601 of Regulation S-K).</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LIST</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749"/>
        <w:gridCol w:w="1630"/>
        <w:gridCol w:w="1646"/>
        <w:gridCol w:w="109"/>
        <w:gridCol w:w="109"/>
        <w:gridCol w:w="109"/>
        <w:gridCol w:w="374"/>
        <w:gridCol w:w="374"/>
        <w:gridCol w:w="375"/>
        <w:gridCol w:w="109"/>
        <w:gridCol w:w="109"/>
        <w:gridCol w:w="109"/>
        <w:gridCol w:w="360"/>
        <w:gridCol w:w="360"/>
        <w:gridCol w:w="361"/>
        <w:gridCol w:w="109"/>
        <w:gridCol w:w="109"/>
        <w:gridCol w:w="109"/>
        <w:gridCol w:w="281"/>
        <w:gridCol w:w="281"/>
        <w:gridCol w:w="40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w:t>
              <w:br/>
              <w:t>by Reference</w:t>
              <w:br/>
              <w:t>From 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w:t>
              <w:br/>
              <w:t>by Reference</w:t>
              <w:br/>
              <w:t>From 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Filed</w:t>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Eighth Amended and Restated Certificate of Incorporation filed on February 15, 2011.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3/28/2011</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 of Standard BioTools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4/1/2022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to the Eighth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4/1/2022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Certificate of Designation of Rights, Preferences and Privileges of Series A Participating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11/22/2016</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Certificate of Elimination of Series A Participating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8/2/2017</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Certificate of Designations of Rights, Preferences and Privileges of Series B-1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4/5/2022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Certificate of Designations of Rights, Preferences and Privileges of Series B-2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4/5/2022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Sublease, dated as of February 28, 2023, between Standard BioTools Inc. and First Databank,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Offer letter, by and between Standard BioTools Inc. and Jeffrey G. Black, executed May 10,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5/15/2023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Standard BioTools Inc. 2020 Change of Control and Severance Plan Participation Agreement, by and between Jeffrey G. Black and Standard BioTools Inc., dated May 10,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5/15/2023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Letter agreement by and between Standard BioTools Inc. and Vikram Jog dated May 10,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5/15/2023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Standard BioTools Inc. Amended and Restated 2011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6/16/2023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 xml:space="preserve">Form of PSU Award Agreement.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7/28/2023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2023 Change of Control and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7/28/2023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80"/>
                  <w:sz w:val="20"/>
                  <w:u w:val="single"/>
                </w:rPr>
                <w:t xml:space="preserve">2023 Change of Control and Severance Plan Participation Agreement, by and between Standard BioTools Inc. and Michael Egholm, Ph.D., dated </w:t>
              </w:r>
            </w:hyperlink>
            <w:hyperlink r:id="rId18">
              <w:r>
                <w:rPr>
                  <w:rStyle w:val="InternetLink"/>
                  <w:rFonts w:ascii="Times New Roman;sans-serif" w:hAnsi="Times New Roman;sans-serif"/>
                  <w:b w:val="false"/>
                  <w:color w:val="000080"/>
                  <w:sz w:val="20"/>
                  <w:u w:val="single"/>
                </w:rPr>
                <w:t>July 27,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7/28/2023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9.htm">
              <w:r>
                <w:rPr>
                  <w:rStyle w:val="InternetLink"/>
                  <w:rFonts w:ascii="Times New Roman;sans-serif" w:hAnsi="Times New Roman;sans-serif"/>
                  <w:b w:val="false"/>
                  <w:color w:val="0000FF"/>
                  <w:sz w:val="20"/>
                  <w:u w:val="single"/>
                </w:rPr>
                <w:t>2023 Change of Control and Severance Plan Participation Agreement, by and between Standard BioTools Inc. and Hanjoon Alex Kim, dated July 24,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0.htm">
              <w:r>
                <w:rPr>
                  <w:rStyle w:val="InternetLink"/>
                  <w:rFonts w:ascii="Times New Roman;sans-serif" w:hAnsi="Times New Roman;sans-serif"/>
                  <w:b w:val="false"/>
                  <w:color w:val="0000FF"/>
                  <w:sz w:val="20"/>
                  <w:u w:val="single"/>
                </w:rPr>
                <w:t>Offer letter, by and between Standard BioTools Inc. and Jeremy Davis, dated April 4,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1.htm">
              <w:r>
                <w:rPr>
                  <w:rStyle w:val="InternetLink"/>
                  <w:rFonts w:ascii="Times New Roman;sans-serif" w:hAnsi="Times New Roman;sans-serif"/>
                  <w:b w:val="false"/>
                  <w:color w:val="0000FF"/>
                  <w:sz w:val="20"/>
                  <w:u w:val="single"/>
                </w:rPr>
                <w:t>2023 Change of Control and Severance Plan Participation Agreement, by and between Standard BioTools Inc. and Jeremy Davis, dated June 28,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10q2q2023.htm">
              <w:r>
                <w:rPr>
                  <w:rStyle w:val="InternetLink"/>
                  <w:rFonts w:ascii="Times New Roman;sans-serif" w:hAnsi="Times New Roman;sans-serif"/>
                  <w:b w:val="false"/>
                  <w:color w:val="0000FF"/>
                  <w:sz w:val="20"/>
                  <w:u w:val="single"/>
                </w:rPr>
                <w:t>Certification Pursuant to Rule 13a-14(a)/15d-14(a), as Adopted Pursuant to Section 302 of the Sarbanes-Oxley Act of 2002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10q2q2023.htm">
              <w:r>
                <w:rPr>
                  <w:rStyle w:val="InternetLink"/>
                  <w:rFonts w:ascii="Times New Roman;sans-serif" w:hAnsi="Times New Roman;sans-serif"/>
                  <w:b w:val="false"/>
                  <w:color w:val="0000FF"/>
                  <w:sz w:val="20"/>
                  <w:u w:val="single"/>
                </w:rPr>
                <w:t>Certification Pursuant to Rule 13a-14(a)/15d-14(a), as Adopted Pursuant to Section 302 of the Sarbanes-Oxley Act of 2002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32.1</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10q2q2023.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32.2</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10q2q2023.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1"/>
        <w:gridCol w:w="239"/>
        <w:gridCol w:w="241"/>
        <w:gridCol w:w="109"/>
        <w:gridCol w:w="109"/>
        <w:gridCol w:w="109"/>
        <w:gridCol w:w="1673"/>
        <w:gridCol w:w="1673"/>
        <w:gridCol w:w="1688"/>
        <w:gridCol w:w="109"/>
        <w:gridCol w:w="109"/>
        <w:gridCol w:w="109"/>
        <w:gridCol w:w="374"/>
        <w:gridCol w:w="374"/>
        <w:gridCol w:w="376"/>
        <w:gridCol w:w="109"/>
        <w:gridCol w:w="109"/>
        <w:gridCol w:w="109"/>
        <w:gridCol w:w="360"/>
        <w:gridCol w:w="360"/>
        <w:gridCol w:w="361"/>
        <w:gridCol w:w="109"/>
        <w:gridCol w:w="109"/>
        <w:gridCol w:w="109"/>
        <w:gridCol w:w="264"/>
        <w:gridCol w:w="264"/>
        <w:gridCol w:w="379"/>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w:t>
              <w:br/>
              <w:t>by Reference</w:t>
              <w:br/>
              <w:t>From 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w:t>
              <w:br/>
              <w:t>by Reference</w:t>
              <w:br/>
              <w:t>From 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Filed</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27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 Management contracts or compensation plans or arrangements in which directors or executive officers are eligible to participate.</w:t>
      </w:r>
    </w:p>
    <w:p>
      <w:pPr>
        <w:pStyle w:val="TextBody"/>
        <w:bidi w:val="0"/>
        <w:spacing w:lineRule="auto" w:line="288" w:before="120" w:after="283"/>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(1) In accordance with Item 601(b)(32)(ii) of Regulation S-K and SEC Release No.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them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30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679"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273"/>
        <w:gridCol w:w="273"/>
        <w:gridCol w:w="273"/>
        <w:gridCol w:w="273"/>
        <w:gridCol w:w="273"/>
        <w:gridCol w:w="273"/>
        <w:gridCol w:w="1079"/>
        <w:gridCol w:w="1079"/>
        <w:gridCol w:w="1607"/>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 BIOTOOLS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Egholm</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Egholm</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Black</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Black</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and Financial Officer)</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2"/>
        </w:rPr>
      </w:pPr>
      <w:r>
        <w:rPr>
          <w:rFonts w:ascii="Times New Roman;sans-serif" w:hAnsi="Times New Roman;sans-serif"/>
          <w:b/>
          <w:color w:val="000000"/>
          <w:sz w:val="22"/>
        </w:rPr>
        <w:t>Exhibit 10.9</w:t>
      </w:r>
    </w:p>
    <w:p>
      <w:pPr>
        <w:pStyle w:val="TextBody"/>
        <w:bidi w:val="0"/>
        <w:spacing w:lineRule="auto" w:line="240" w:before="0" w:after="240"/>
        <w:jc w:val="right"/>
        <w:rPr>
          <w:rFonts w:ascii="Calibri;sans-serif" w:hAnsi="Calibri;sans-serif"/>
          <w:b/>
          <w:color w:val="000000"/>
          <w:sz w:val="24"/>
        </w:rPr>
      </w:pPr>
      <w:r>
        <w:rPr>
          <w:rFonts w:ascii="Calibri;sans-serif" w:hAnsi="Calibri;sans-serif"/>
          <w:b/>
          <w:color w:val="000000"/>
          <w:sz w:val="24"/>
        </w:rPr>
        <w:t>Executive Leadership Team Members</w:t>
      </w:r>
    </w:p>
    <w:p>
      <w:pPr>
        <w:pStyle w:val="TextBody"/>
        <w:bidi w:val="0"/>
        <w:spacing w:lineRule="auto" w:line="240" w:before="0" w:after="240"/>
        <w:jc w:val="center"/>
        <w:rPr>
          <w:rFonts w:ascii="Calibri;sans-serif" w:hAnsi="Calibri;sans-serif"/>
          <w:b/>
          <w:color w:val="000000"/>
          <w:sz w:val="24"/>
        </w:rPr>
      </w:pPr>
      <w:r>
        <w:rPr>
          <w:rFonts w:ascii="Calibri;sans-serif" w:hAnsi="Calibri;sans-serif"/>
          <w:b/>
          <w:color w:val="000000"/>
          <w:sz w:val="24"/>
        </w:rPr>
        <w:t>Appendix A</w:t>
      </w:r>
    </w:p>
    <w:p>
      <w:pPr>
        <w:pStyle w:val="TextBody"/>
        <w:bidi w:val="0"/>
        <w:spacing w:lineRule="auto" w:line="240" w:before="0" w:after="240"/>
        <w:jc w:val="center"/>
        <w:rPr>
          <w:rFonts w:ascii="Calibri;sans-serif" w:hAnsi="Calibri;sans-serif"/>
          <w:b/>
          <w:color w:val="000000"/>
          <w:sz w:val="24"/>
        </w:rPr>
      </w:pPr>
      <w:r>
        <w:rPr>
          <w:rFonts w:ascii="Calibri;sans-serif" w:hAnsi="Calibri;sans-serif"/>
          <w:b/>
          <w:color w:val="000000"/>
          <w:sz w:val="24"/>
        </w:rPr>
        <w:t xml:space="preserve">Standard BioTools Inc. 2023 Change of Control and Severance Plan </w:t>
        <w:br/>
        <w:t>Participation Agreement</w:t>
      </w:r>
    </w:p>
    <w:p>
      <w:pPr>
        <w:pStyle w:val="TextBody"/>
        <w:bidi w:val="0"/>
        <w:spacing w:lineRule="auto" w:line="240" w:before="0" w:after="240"/>
        <w:jc w:val="both"/>
        <w:rPr/>
      </w:pPr>
      <w:r>
        <w:rPr>
          <w:rFonts w:ascii="Calibri;sans-serif" w:hAnsi="Calibri;sans-serif"/>
          <w:b w:val="false"/>
          <w:color w:val="000000"/>
          <w:sz w:val="24"/>
        </w:rPr>
        <w:t>Standard BioTools Inc. (the “</w:t>
      </w:r>
      <w:r>
        <w:rPr>
          <w:rFonts w:ascii="Calibri;sans-serif" w:hAnsi="Calibri;sans-serif"/>
          <w:b/>
          <w:i/>
          <w:color w:val="000000"/>
          <w:sz w:val="24"/>
        </w:rPr>
        <w:t>Company</w:t>
      </w:r>
      <w:r>
        <w:rPr>
          <w:color w:val="000000"/>
        </w:rPr>
        <w:t>”</w:t>
      </w:r>
      <w:r>
        <w:rPr>
          <w:rFonts w:ascii="Calibri;sans-serif" w:hAnsi="Calibri;sans-serif"/>
          <w:b w:val="false"/>
          <w:color w:val="000000"/>
          <w:sz w:val="24"/>
        </w:rPr>
        <w:t>) is pleased to inform you that you have been selected to participate in the Company’s 2023 Change of Control and Severance Plan (the “</w:t>
      </w:r>
      <w:r>
        <w:rPr>
          <w:rFonts w:ascii="Calibri;sans-serif" w:hAnsi="Calibri;sans-serif"/>
          <w:b/>
          <w:i/>
          <w:color w:val="000000"/>
          <w:sz w:val="24"/>
        </w:rPr>
        <w:t>Plan</w:t>
      </w:r>
      <w:r>
        <w:rPr>
          <w:color w:val="000000"/>
        </w:rPr>
        <w:t>”</w:t>
      </w:r>
      <w:r>
        <w:rPr>
          <w:rFonts w:ascii="Calibri;sans-serif" w:hAnsi="Calibri;sans-serif"/>
          <w:b w:val="false"/>
          <w:color w:val="000000"/>
          <w:sz w:val="24"/>
        </w:rPr>
        <w:t>) as a Participant.</w: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In order to actually become a participant in the Plan, you must complete and sign this Participation Agreement.</w:t>
      </w:r>
    </w:p>
    <w:p>
      <w:pPr>
        <w:pStyle w:val="TextBody"/>
        <w:bidi w:val="0"/>
        <w:spacing w:lineRule="auto" w:line="240" w:before="0" w:after="240"/>
        <w:jc w:val="both"/>
        <w:rPr>
          <w:rFonts w:ascii="Calibri;sans-serif" w:hAnsi="Calibri;sans-serif"/>
          <w:b/>
          <w:color w:val="000000"/>
          <w:sz w:val="24"/>
        </w:rPr>
      </w:pPr>
      <w:r>
        <w:rPr>
          <w:rFonts w:ascii="Calibri;sans-serif" w:hAnsi="Calibri;sans-serif"/>
          <w:b/>
          <w:color w:val="000000"/>
          <w:sz w:val="24"/>
        </w:rPr>
        <w:t>Definition of “Good Reason”</w:t>
      </w:r>
    </w:p>
    <w:p>
      <w:pPr>
        <w:pStyle w:val="TextBody"/>
        <w:bidi w:val="0"/>
        <w:spacing w:lineRule="auto" w:line="240" w:before="0" w:after="240"/>
        <w:jc w:val="both"/>
        <w:rPr/>
      </w:pPr>
      <w:r>
        <w:rPr>
          <w:color w:val="000000"/>
        </w:rPr>
        <w:t>“</w:t>
      </w:r>
      <w:r>
        <w:rPr>
          <w:rFonts w:ascii="Calibri;sans-serif" w:hAnsi="Calibri;sans-serif"/>
          <w:b/>
          <w:i/>
          <w:color w:val="000000"/>
          <w:sz w:val="24"/>
        </w:rPr>
        <w:t>Good Reason</w:t>
      </w:r>
      <w:r>
        <w:rPr>
          <w:color w:val="000000"/>
        </w:rPr>
        <w:t xml:space="preserve">” </w:t>
      </w:r>
      <w:r>
        <w:rPr>
          <w:rFonts w:ascii="Calibri;sans-serif" w:hAnsi="Calibri;sans-serif"/>
          <w:b w:val="false"/>
          <w:color w:val="000000"/>
          <w:sz w:val="24"/>
        </w:rPr>
        <w:t>means the occurrence of one or more of the following events effected without your prior consent, provided you terminate your employment with the Company within one (1) year following the initial existence of the “Good Reason” condition (discussed below): (i) the assignment to you of any duties or the reduction of your then-current duties, either of which results in a material diminution in your then-current position or responsibilities with the Company including, without limitation, any negative change in reporting hierarchy involving you or the person to whom you directly report; (ii) a material reduction by the Company in your then- current base salary; (iii) a material change in the geographic location at which you must perform services (for purposes of this Participation Agreement, your relocation to a facility or a location less than 25 miles from your then-present location shall not be considered a material change in geographic location); or (iv) any material breach by the Company of any material provision of this Participation Agreement. You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w:t>
      </w:r>
    </w:p>
    <w:p>
      <w:pPr>
        <w:pStyle w:val="TextBody"/>
        <w:bidi w:val="0"/>
        <w:spacing w:lineRule="auto" w:line="240" w:before="0" w:after="240"/>
        <w:jc w:val="both"/>
        <w:rPr>
          <w:rFonts w:ascii="Calibri;sans-serif" w:hAnsi="Calibri;sans-serif"/>
          <w:b/>
          <w:color w:val="000000"/>
          <w:sz w:val="24"/>
        </w:rPr>
      </w:pPr>
      <w:r>
        <w:rPr>
          <w:rFonts w:ascii="Calibri;sans-serif" w:hAnsi="Calibri;sans-serif"/>
          <w:b/>
          <w:color w:val="000000"/>
          <w:sz w:val="24"/>
        </w:rPr>
        <w:t>Non-COC Involuntary Termination</w: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If, outside of the Change of Control Period, you incur a Non-COC Involuntary Termination, then subject to the terms and conditions of the Plan, you will receive:</w:t>
      </w:r>
    </w:p>
    <w:p>
      <w:pPr>
        <w:pStyle w:val="TextBody"/>
        <w:bidi w:val="0"/>
        <w:spacing w:lineRule="auto" w:line="240" w:before="0" w:after="240"/>
        <w:ind w:left="0" w:right="0" w:firstLine="720"/>
        <w:jc w:val="both"/>
        <w:rPr/>
      </w:pPr>
      <w:r>
        <w:rPr>
          <w:rFonts w:ascii="Calibri;sans-serif" w:hAnsi="Calibri;sans-serif"/>
          <w:b/>
          <w:color w:val="000000"/>
          <w:sz w:val="24"/>
        </w:rPr>
        <w:t>1.    Cash Severance Benefits</w:t>
      </w:r>
      <w:r>
        <w:rPr>
          <w:rFonts w:ascii="Calibri;sans-serif" w:hAnsi="Calibri;sans-serif"/>
          <w:b w:val="false"/>
          <w:color w:val="000000"/>
          <w:sz w:val="24"/>
        </w:rPr>
        <w:t>. An aggregate amount equal to 75% of your annual base salary in effect as of the date of your Non-COC Involuntary Termination paid in equal installments over a period of nine (9) months following your termination date.</w:t>
      </w:r>
    </w:p>
    <w:p>
      <w:pPr>
        <w:pStyle w:val="TextBody"/>
        <w:bidi w:val="0"/>
        <w:spacing w:lineRule="auto" w:line="240" w:before="0" w:after="240"/>
        <w:ind w:left="0" w:right="0" w:firstLine="720"/>
        <w:jc w:val="both"/>
        <w:rPr/>
      </w:pPr>
      <w:r>
        <w:rPr>
          <w:rFonts w:ascii="Calibri;sans-serif" w:hAnsi="Calibri;sans-serif"/>
          <w:b/>
          <w:color w:val="000000"/>
          <w:sz w:val="24"/>
        </w:rPr>
        <w:t>2.    Continued Medical Benefits</w:t>
      </w:r>
      <w:r>
        <w:rPr>
          <w:rFonts w:ascii="Calibri;sans-serif" w:hAnsi="Calibri;sans-serif"/>
          <w:b w:val="false"/>
          <w:color w:val="000000"/>
          <w:sz w:val="24"/>
        </w:rPr>
        <w:t xml:space="preserve">. Payment by the Company of continued health coverage under COBRA for a period of nine (9) months following your termination of employment. Notwithstanding the foregoing, if you are not employed in the United States, the </w:t>
      </w: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STANDARD BIOTOOLS INC. 2023 CHANGE OF CONTROL</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6055"/>
                <wp:effectExtent l="0" t="0" r="0" b="0"/>
                <wp:wrapNone/>
                <wp:docPr id="38" name="Frame37"/>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A-1</w:t>
                      </w:r>
                    </w:p>
                  </w:txbxContent>
                </v:textbox>
                <w10:wrap type="none"/>
              </v:rect>
            </w:pict>
          </mc:Fallback>
        </mc:AlternateContent>
      </w: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AND SEVERANCE PLAN AND SUMMARY PLAN</w:t>
      </w: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DESCRIPTION – FORM OF ELT PARTICIPATION AGREEMENT</w: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benefit under this paragraph will be a regional equivalent to COBRA determined by the Administrator in its sole discretion.</w:t>
      </w:r>
    </w:p>
    <w:p>
      <w:pPr>
        <w:pStyle w:val="TextBody"/>
        <w:bidi w:val="0"/>
        <w:spacing w:lineRule="auto" w:line="240" w:before="0" w:after="240"/>
        <w:ind w:left="0" w:right="0" w:firstLine="720"/>
        <w:jc w:val="both"/>
        <w:rPr/>
      </w:pPr>
      <w:r>
        <w:rPr>
          <w:rFonts w:ascii="Calibri;sans-serif" w:hAnsi="Calibri;sans-serif"/>
          <w:b/>
          <w:color w:val="000000"/>
          <w:sz w:val="24"/>
        </w:rPr>
        <w:t>3.    Outplacement Services</w:t>
      </w:r>
      <w:r>
        <w:rPr>
          <w:rFonts w:ascii="Calibri;sans-serif" w:hAnsi="Calibri;sans-serif"/>
          <w:b w:val="false"/>
          <w:color w:val="000000"/>
          <w:sz w:val="24"/>
        </w:rPr>
        <w:t xml:space="preserve">. Outplacement services as described in Section 4.3 of the Plan. </w:t>
      </w:r>
    </w:p>
    <w:p>
      <w:pPr>
        <w:pStyle w:val="TextBody"/>
        <w:bidi w:val="0"/>
        <w:spacing w:lineRule="auto" w:line="240" w:before="0" w:after="240"/>
        <w:jc w:val="both"/>
        <w:rPr>
          <w:rFonts w:ascii="Calibri;sans-serif" w:hAnsi="Calibri;sans-serif"/>
          <w:b/>
          <w:color w:val="000000"/>
          <w:sz w:val="24"/>
        </w:rPr>
      </w:pPr>
      <w:r>
        <w:rPr>
          <w:rFonts w:ascii="Calibri;sans-serif" w:hAnsi="Calibri;sans-serif"/>
          <w:b/>
          <w:color w:val="000000"/>
          <w:sz w:val="24"/>
        </w:rPr>
        <w:t>COC Involuntary Termination</w: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If, during the Change of Control Period, you incur a COC Involuntary Termination, then subject to the terms and conditions of the Plan, you will receive:</w:t>
      </w:r>
    </w:p>
    <w:p>
      <w:pPr>
        <w:pStyle w:val="TextBody"/>
        <w:bidi w:val="0"/>
        <w:spacing w:lineRule="auto" w:line="240" w:before="0" w:after="240"/>
        <w:ind w:left="0" w:right="0" w:firstLine="720"/>
        <w:jc w:val="both"/>
        <w:rPr/>
      </w:pPr>
      <w:r>
        <w:rPr>
          <w:rFonts w:ascii="Calibri;sans-serif" w:hAnsi="Calibri;sans-serif"/>
          <w:b/>
          <w:color w:val="000000"/>
          <w:sz w:val="24"/>
        </w:rPr>
        <w:t>1.    Cash Severance Benefits</w:t>
      </w:r>
      <w:r>
        <w:rPr>
          <w:rFonts w:ascii="Calibri;sans-serif" w:hAnsi="Calibri;sans-serif"/>
          <w:b w:val="false"/>
          <w:color w:val="000000"/>
          <w:sz w:val="24"/>
        </w:rPr>
        <w:t>.</w:t>
      </w:r>
    </w:p>
    <w:p>
      <w:pPr>
        <w:pStyle w:val="TextBody"/>
        <w:bidi w:val="0"/>
        <w:spacing w:lineRule="auto" w:line="240" w:before="0" w:after="240"/>
        <w:ind w:left="0" w:right="0" w:hanging="720"/>
        <w:jc w:val="both"/>
        <w:rPr>
          <w:rFonts w:ascii="Calibri;sans-serif" w:hAnsi="Calibri;sans-serif"/>
          <w:b w:val="false"/>
          <w:color w:val="000000"/>
          <w:sz w:val="24"/>
        </w:rPr>
      </w:pPr>
      <w:r>
        <w:rPr>
          <w:rFonts w:ascii="Calibri;sans-serif" w:hAnsi="Calibri;sans-serif"/>
          <w:b w:val="false"/>
          <w:color w:val="000000"/>
          <w:sz w:val="24"/>
        </w:rPr>
        <w:t>a.    A lump-sum payment equal to 150% of the sum of (x) your annual base salary (as in effect immediately prior to the Change of Control or your COC Involuntary Termination, whichever is greater), plus (y) the greater of (A) your annual target bonus (as in effect immediately prior to the Change of Control or your COC Involuntary Termination, whichever is greater) or (B) the average of the annual bonuses actually paid to you for the three (3) fiscal years preceding the year in which your COC Involuntary Termination occurs. For the avoidance of doubt, if you incurred a termination prior to a Change of Control that qualifies as a COC Involuntary Termination, then you will be entitled to a lump-sum payment of the amount calculated under the preceding sentence, less amounts already paid as cash Severance Benefits for a Non-COC Involuntary Termination.</w:t>
      </w:r>
    </w:p>
    <w:p>
      <w:pPr>
        <w:pStyle w:val="TextBody"/>
        <w:bidi w:val="0"/>
        <w:spacing w:lineRule="auto" w:line="240" w:before="0" w:after="240"/>
        <w:ind w:left="0" w:right="0" w:hanging="720"/>
        <w:jc w:val="both"/>
        <w:rPr>
          <w:rFonts w:ascii="Calibri;sans-serif" w:hAnsi="Calibri;sans-serif"/>
          <w:b w:val="false"/>
          <w:color w:val="000000"/>
          <w:sz w:val="24"/>
        </w:rPr>
      </w:pPr>
      <w:r>
        <w:rPr>
          <w:rFonts w:ascii="Calibri;sans-serif" w:hAnsi="Calibri;sans-serif"/>
          <w:b w:val="false"/>
          <w:color w:val="000000"/>
          <w:sz w:val="24"/>
        </w:rPr>
        <w:t>b.    A lump sum amount equal to (i) your annual target bonus (as in effect immediately prior to the Change of Control or your COC Involuntary Termination, whichever is greater), multiplied by (ii) a fraction, the numerator of which is the number of days worked by you during the year in which the COC Involuntary Termination occurs and the denominator of which is 365.</w:t>
      </w:r>
    </w:p>
    <w:p>
      <w:pPr>
        <w:pStyle w:val="TextBody"/>
        <w:bidi w:val="0"/>
        <w:spacing w:lineRule="auto" w:line="240" w:before="0" w:after="240"/>
        <w:ind w:left="0" w:right="0" w:firstLine="720"/>
        <w:jc w:val="both"/>
        <w:rPr/>
      </w:pPr>
      <w:r>
        <w:rPr>
          <w:rFonts w:ascii="Calibri;sans-serif" w:hAnsi="Calibri;sans-serif"/>
          <w:b/>
          <w:color w:val="000000"/>
          <w:sz w:val="24"/>
        </w:rPr>
        <w:t>2.    Continued Medical Benefits</w:t>
      </w:r>
      <w:r>
        <w:rPr>
          <w:rFonts w:ascii="Calibri;sans-serif" w:hAnsi="Calibri;sans-serif"/>
          <w:b w:val="false"/>
          <w:color w:val="000000"/>
          <w:sz w:val="24"/>
        </w:rPr>
        <w:t>. Payment by the Company of continued health coverage under COBRA for a period of 18 months following your termination of employment. Notwithstanding the foregoing, if you are not employed in the United States, the benefit under this paragraph will be a regional equivalent to COBRA determined by the Administrator in its sole discretion.</w:t>
      </w:r>
    </w:p>
    <w:p>
      <w:pPr>
        <w:pStyle w:val="TextBody"/>
        <w:bidi w:val="0"/>
        <w:spacing w:lineRule="auto" w:line="240" w:before="0" w:after="240"/>
        <w:ind w:left="0" w:right="0" w:firstLine="720"/>
        <w:jc w:val="both"/>
        <w:rPr/>
      </w:pPr>
      <w:r>
        <w:rPr>
          <w:rFonts w:ascii="Calibri;sans-serif" w:hAnsi="Calibri;sans-serif"/>
          <w:b/>
          <w:color w:val="000000"/>
          <w:sz w:val="24"/>
        </w:rPr>
        <w:t>3.    Equity Award Vesting Acceleration</w:t>
      </w:r>
      <w:r>
        <w:rPr>
          <w:rFonts w:ascii="Calibri;sans-serif" w:hAnsi="Calibri;sans-serif"/>
          <w:b w:val="false"/>
          <w:color w:val="000000"/>
          <w:sz w:val="24"/>
        </w:rPr>
        <w:t xml:space="preserve">. 100% of your then-outstanding and unvested Equity Awards will become vested in full. If, however, an outstanding Equity Award is to vest and/or the amount of the award to vest is to be determined based on the achievement of performance criteria, then, unless expressly otherwise provided in the applicable Equity Award agreement, the Equity Award will vest as to 100% of the “Baseline Number of Restricted Stock Units” or “Baseline Number of Performance Units” (as defined in the Company’s grant agreements) or the equivalent measure of the number of units or shares that vest at 100% of target levels of achievement under the relevant Equity Award. Except otherwise provided in the applicable Equity Award agreement, shares owed upon such vesting (and exercise if applicable) of Equity Awards will issued to you as promptly as practicable and no more than 30 days after they become issuable (whether through the vesting acceleration alone or upon an </w:t>
      </w: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STANDARD BIOTOOLS INC. 2023 CHANGE OF CONTROL</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6055"/>
                <wp:effectExtent l="0" t="0" r="0" b="0"/>
                <wp:wrapNone/>
                <wp:docPr id="39" name="Frame38"/>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A-2</w:t>
                      </w:r>
                    </w:p>
                  </w:txbxContent>
                </v:textbox>
                <w10:wrap type="none"/>
              </v:rect>
            </w:pict>
          </mc:Fallback>
        </mc:AlternateContent>
      </w: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AND SEVERANCE PLAN AND SUMMARY PLAN</w:t>
      </w: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DESCRIPTION – FORM OF ELT PARTICIPATION AGREEMENT</w: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exercise of options following such vesting acceleration). Notwithstanding the foregoing, to the extent that the payment or settlement of an Equity Award is subject to Section 409A, the Equity Award will be paid or settled in a manner that will meet the requirements of Section 409A such that the payment or settlement will not be subject to the additional tax or interest applicable under Section 409A.</w:t>
      </w:r>
    </w:p>
    <w:p>
      <w:pPr>
        <w:pStyle w:val="TextBody"/>
        <w:bidi w:val="0"/>
        <w:spacing w:lineRule="auto" w:line="240" w:before="0" w:after="240"/>
        <w:ind w:left="0" w:right="0" w:firstLine="720"/>
        <w:jc w:val="both"/>
        <w:rPr/>
      </w:pPr>
      <w:r>
        <w:rPr>
          <w:rFonts w:ascii="Calibri;sans-serif" w:hAnsi="Calibri;sans-serif"/>
          <w:b/>
          <w:color w:val="000000"/>
          <w:sz w:val="24"/>
        </w:rPr>
        <w:t>4.    Outplacement Services</w:t>
      </w:r>
      <w:r>
        <w:rPr>
          <w:rFonts w:ascii="Calibri;sans-serif" w:hAnsi="Calibri;sans-serif"/>
          <w:b w:val="false"/>
          <w:color w:val="000000"/>
          <w:sz w:val="24"/>
        </w:rPr>
        <w:t xml:space="preserve">. Outplacement services as described in Section 5.4 of the Plan. </w:t>
      </w:r>
    </w:p>
    <w:p>
      <w:pPr>
        <w:pStyle w:val="TextBody"/>
        <w:bidi w:val="0"/>
        <w:spacing w:lineRule="auto" w:line="240" w:before="0" w:after="240"/>
        <w:jc w:val="both"/>
        <w:rPr>
          <w:rFonts w:ascii="Calibri;sans-serif" w:hAnsi="Calibri;sans-serif"/>
          <w:b/>
          <w:color w:val="000000"/>
          <w:sz w:val="24"/>
        </w:rPr>
      </w:pPr>
      <w:r>
        <w:rPr>
          <w:rFonts w:ascii="Calibri;sans-serif" w:hAnsi="Calibri;sans-serif"/>
          <w:b/>
          <w:color w:val="000000"/>
          <w:sz w:val="24"/>
        </w:rPr>
        <w:t>Additional Benefits</w: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In addition to the foregoing benefits, in addition to the Plan benefits described above, if, during the Change of Control Period, you incur a COC Involuntary Termination, then subject to the terms and conditions of the Plan, the Company will reimburse your reasonable attorneys’ fees incurred in connection with the review of the Release and any related separation agreements and documents, up to $5,000.</w:t>
      </w:r>
    </w:p>
    <w:p>
      <w:pPr>
        <w:pStyle w:val="TextBody"/>
        <w:bidi w:val="0"/>
        <w:spacing w:lineRule="auto" w:line="240" w:before="0" w:after="240"/>
        <w:jc w:val="both"/>
        <w:rPr>
          <w:rFonts w:ascii="Calibri;sans-serif" w:hAnsi="Calibri;sans-serif"/>
          <w:b/>
          <w:color w:val="000000"/>
          <w:sz w:val="24"/>
        </w:rPr>
      </w:pPr>
      <w:r>
        <w:rPr>
          <w:rFonts w:ascii="Calibri;sans-serif" w:hAnsi="Calibri;sans-serif"/>
          <w:b/>
          <w:color w:val="000000"/>
          <w:sz w:val="24"/>
        </w:rPr>
        <w:t>General Provisions</w: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For clarity, any severance payments provided for herein that are based on annual base salary (and any reduction to base salary constituting “Good Reason”) shall be calculated without giving effect to any temporary reduction in base salary imposed by the Company or agreed to by you in connection with any global pandemic or comparable global or U.S. emergency that threatens the Company’s economic position.</w: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In order to receive any Severance Benefits for which you otherwise become eligible under the Plan, you must sign and deliver to the Company the Release, which must have become effective and irrevocable within the requisite period set forth in the Plan.</w:t>
      </w:r>
    </w:p>
    <w:p>
      <w:pPr>
        <w:pStyle w:val="TextBody"/>
        <w:bidi w:val="0"/>
        <w:spacing w:lineRule="auto" w:line="240" w:before="0" w:after="240"/>
        <w:jc w:val="center"/>
        <w:rPr>
          <w:rFonts w:ascii="Calibri;sans-serif" w:hAnsi="Calibri;sans-serif"/>
          <w:b w:val="false"/>
          <w:i/>
          <w:color w:val="000000"/>
          <w:sz w:val="24"/>
        </w:rPr>
      </w:pPr>
      <w:r>
        <w:rPr>
          <w:rFonts w:ascii="Calibri;sans-serif" w:hAnsi="Calibri;sans-serif"/>
          <w:b w:val="false"/>
          <w:i/>
          <w:color w:val="000000"/>
          <w:sz w:val="24"/>
        </w:rPr>
        <w:t>[Remainder of This Page Intentionally Left Blank]</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STANDARD BIOTOOLS INC. 2023 CHANGE OF CONTROL</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6055"/>
                <wp:effectExtent l="0" t="0" r="0" b="0"/>
                <wp:wrapNone/>
                <wp:docPr id="40" name="Frame39"/>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A-3</w:t>
                      </w:r>
                    </w:p>
                  </w:txbxContent>
                </v:textbox>
                <w10:wrap type="none"/>
              </v:rect>
            </w:pict>
          </mc:Fallback>
        </mc:AlternateContent>
      </w: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AND SEVERANCE PLAN AND SUMMARY PLAN</w:t>
      </w: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DESCRIPTION – FORM OF ELT PARTICIPATION AGREEMENT</w: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By your signature below, you and the Company agree that your participation in the Plan is governed by this Participation Agreement and the provisions of the Plan. Your signature below confirms that: (1) you have received a copy of the 2023 Change of Control and Severance Plan and Summary Plan Description; (2) you have carefully read this Participation Agreement and the 2023 Change of Control and Severance Plan and Summary Plan Description; (3) decisions and determinations by the Administrator under the Plan will be final and binding on you and your successors; and (4) participation in the Plan and this Participation Agreement replaces in its entirety any severance and/or change of control provisions set forth in any offer letter, employment agreement and/or Equity Award agreement, including, but not limited to, the Prior Plan.</w:t>
      </w:r>
    </w:p>
    <w:tbl>
      <w:tblPr>
        <w:tblW w:w="5578" w:type="dxa"/>
        <w:jc w:val="left"/>
        <w:tblInd w:w="0" w:type="dxa"/>
        <w:tblLayout w:type="fixed"/>
        <w:tblCellMar>
          <w:top w:w="28" w:type="dxa"/>
          <w:left w:w="28" w:type="dxa"/>
          <w:bottom w:w="28" w:type="dxa"/>
          <w:right w:w="28" w:type="dxa"/>
        </w:tblCellMar>
      </w:tblPr>
      <w:tblGrid>
        <w:gridCol w:w="1359"/>
        <w:gridCol w:w="1193"/>
        <w:gridCol w:w="1198"/>
        <w:gridCol w:w="109"/>
        <w:gridCol w:w="109"/>
        <w:gridCol w:w="109"/>
        <w:gridCol w:w="439"/>
        <w:gridCol w:w="439"/>
        <w:gridCol w:w="623"/>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480"/>
              <w:jc w:val="both"/>
              <w:rPr>
                <w:rFonts w:ascii="Calibri;sans-serif" w:hAnsi="Calibri;sans-serif"/>
                <w:b/>
                <w:color w:val="000000"/>
                <w:sz w:val="24"/>
              </w:rPr>
            </w:pPr>
            <w:r>
              <w:rPr>
                <w:rFonts w:ascii="Calibri;sans-serif" w:hAnsi="Calibri;sans-serif"/>
                <w:b/>
                <w:color w:val="000000"/>
                <w:sz w:val="24"/>
              </w:rPr>
              <w:t>STANDARD BIOTOOLS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color w:val="000000"/>
                <w:sz w:val="24"/>
              </w:rPr>
            </w:pPr>
            <w:r>
              <w:rPr>
                <w:rFonts w:ascii="Calibri;sans-serif" w:hAnsi="Calibri;sans-serif"/>
                <w:b/>
                <w:color w:val="000000"/>
                <w:sz w:val="24"/>
              </w:rPr>
              <w:t>PARTICIPANT</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4"/>
              </w:rPr>
            </w:pPr>
            <w:r>
              <w:rPr>
                <w:rFonts w:ascii="Calibri;sans-serif" w:hAnsi="Calibri;sans-serif"/>
                <w:b w:val="false"/>
                <w:color w:val="000000"/>
                <w:sz w:val="24"/>
              </w:rPr>
              <w:t>/s/ Michael Egholm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Calibri;sans-serif" w:hAnsi="Calibri;sans-serif"/>
                <w:b w:val="false"/>
                <w:color w:val="000000"/>
                <w:sz w:val="24"/>
              </w:rPr>
            </w:pPr>
            <w:r>
              <w:rPr>
                <w:rFonts w:ascii="Calibri;sans-serif" w:hAnsi="Calibri;sans-serif"/>
                <w:b w:val="false"/>
                <w:color w:val="000000"/>
                <w:sz w:val="24"/>
              </w:rPr>
              <w:t>/s/ Alex Kim</w:t>
            </w:r>
          </w:p>
        </w:tc>
      </w:tr>
      <w:tr>
        <w:trPr/>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4"/>
              </w:rPr>
            </w:pPr>
            <w:r>
              <w:rPr>
                <w:rFonts w:ascii="Calibri;sans-serif" w:hAnsi="Calibri;sans-serif"/>
                <w:b w:val="false"/>
                <w:color w:val="000000"/>
                <w:sz w:val="24"/>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4"/>
              </w:rPr>
            </w:pPr>
            <w:r>
              <w:rPr>
                <w:rFonts w:ascii="Calibri;sans-serif" w:hAnsi="Calibri;sans-serif"/>
                <w:b w:val="false"/>
                <w:color w:val="000000"/>
                <w:sz w:val="24"/>
              </w:rPr>
              <w:t>Signature</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4"/>
              </w:rPr>
            </w:pPr>
            <w:r>
              <w:rPr>
                <w:rFonts w:ascii="Calibri;sans-serif" w:hAnsi="Calibri;sans-serif"/>
                <w:b w:val="false"/>
                <w:color w:val="000000"/>
                <w:sz w:val="24"/>
              </w:rPr>
              <w:t>Michael Egholm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4"/>
              </w:rPr>
            </w:pPr>
            <w:r>
              <w:rPr>
                <w:rFonts w:ascii="Calibri;sans-serif" w:hAnsi="Calibri;sans-serif"/>
                <w:b w:val="false"/>
                <w:color w:val="000000"/>
                <w:sz w:val="24"/>
              </w:rPr>
              <w:t>Alex Kim</w:t>
            </w:r>
          </w:p>
        </w:tc>
      </w:tr>
      <w:tr>
        <w:trPr/>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4"/>
              </w:rPr>
            </w:pPr>
            <w:r>
              <w:rPr>
                <w:rFonts w:ascii="Calibri;sans-serif" w:hAnsi="Calibri;sans-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4"/>
              </w:rPr>
            </w:pPr>
            <w:r>
              <w:rPr>
                <w:rFonts w:ascii="Calibri;sans-serif" w:hAnsi="Calibri;sans-serif"/>
                <w:b w:val="false"/>
                <w:color w:val="000000"/>
                <w:sz w:val="24"/>
              </w:rPr>
              <w:t>Name</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4"/>
              </w:rPr>
            </w:pPr>
            <w:r>
              <w:rPr>
                <w:rFonts w:ascii="Calibri;sans-serif" w:hAnsi="Calibri;sans-serif"/>
                <w:b w:val="false"/>
                <w:color w:val="000000"/>
                <w:sz w:val="24"/>
              </w:rPr>
              <w:t>Chief Executive Officer and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4"/>
              </w:rPr>
            </w:pPr>
            <w:r>
              <w:rPr>
                <w:rFonts w:ascii="Calibri;sans-serif" w:hAnsi="Calibri;sans-serif"/>
                <w:b w:val="false"/>
                <w:color w:val="000000"/>
                <w:sz w:val="24"/>
              </w:rPr>
              <w:t>7/24/2023</w:t>
            </w:r>
          </w:p>
        </w:tc>
      </w:tr>
      <w:tr>
        <w:trPr/>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4"/>
              </w:rPr>
            </w:pPr>
            <w:r>
              <w:rPr>
                <w:rFonts w:ascii="Calibri;sans-serif" w:hAnsi="Calibri;sans-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4"/>
              </w:rPr>
            </w:pPr>
            <w:r>
              <w:rPr>
                <w:rFonts w:ascii="Calibri;sans-serif" w:hAnsi="Calibri;sans-serif"/>
                <w:b w:val="false"/>
                <w:color w:val="000000"/>
                <w:sz w:val="24"/>
              </w:rPr>
              <w:t>Date</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Attachment: Standard BioTools Inc. 2023 Change of Control and Severance Plan and Summary Plan Description</w:t>
      </w:r>
    </w:p>
    <w:p>
      <w:pPr>
        <w:pStyle w:val="TextBody"/>
        <w:bidi w:val="0"/>
        <w:spacing w:lineRule="auto" w:line="240" w:before="0" w:after="240"/>
        <w:jc w:val="center"/>
        <w:rPr>
          <w:rFonts w:ascii="Calibri;sans-serif" w:hAnsi="Calibri;sans-serif"/>
          <w:b w:val="false"/>
          <w:i/>
          <w:color w:val="000000"/>
          <w:sz w:val="24"/>
        </w:rPr>
      </w:pPr>
      <w:r>
        <w:rPr>
          <w:rFonts w:ascii="Calibri;sans-serif" w:hAnsi="Calibri;sans-serif"/>
          <w:b w:val="false"/>
          <w:i/>
          <w:color w:val="000000"/>
          <w:sz w:val="24"/>
        </w:rPr>
        <w:t>[Signature Page to the Participation Agreement]</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6055"/>
                <wp:effectExtent l="0" t="0" r="0" b="0"/>
                <wp:wrapNone/>
                <wp:docPr id="41" name="Frame40"/>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A-4</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10.10</w:t>
      </w:r>
    </w:p>
    <w:p>
      <w:pPr>
        <w:pStyle w:val="TextBody"/>
        <w:bidi w:val="0"/>
        <w:spacing w:before="0" w:after="0"/>
        <w:jc w:val="both"/>
        <w:rPr/>
      </w:pPr>
      <w:r>
        <w:rPr/>
        <w:drawing>
          <wp:inline distT="0" distB="0" distL="0" distR="0">
            <wp:extent cx="2876550" cy="952500"/>
            <wp:effectExtent l="0" t="0" r="0" b="0"/>
            <wp:docPr id="4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 descr=""/>
                    <pic:cNvPicPr>
                      <a:picLocks noChangeAspect="1" noChangeArrowheads="1"/>
                    </pic:cNvPicPr>
                  </pic:nvPicPr>
                  <pic:blipFill>
                    <a:blip r:embed="rId19"/>
                    <a:stretch>
                      <a:fillRect/>
                    </a:stretch>
                  </pic:blipFill>
                  <pic:spPr bwMode="auto">
                    <a:xfrm>
                      <a:off x="0" y="0"/>
                      <a:ext cx="2876550" cy="952500"/>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April 4, 2022</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Jeremy Davis</w:t>
      </w:r>
    </w:p>
    <w:p>
      <w:pPr>
        <w:pStyle w:val="TextBody"/>
        <w:bidi w:val="0"/>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 xml:space="preserve">320 Park Street S, </w:t>
      </w:r>
    </w:p>
    <w:p>
      <w:pPr>
        <w:pStyle w:val="TextBody"/>
        <w:bidi w:val="0"/>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St Petersburg, FL 33707</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Dear Jeremy:</w:t>
      </w:r>
    </w:p>
    <w:p>
      <w:pPr>
        <w:pStyle w:val="TextBody"/>
        <w:bidi w:val="0"/>
        <w:spacing w:before="0" w:after="0"/>
        <w:jc w:val="both"/>
        <w:rPr/>
      </w:pPr>
      <w:r>
        <w:rPr/>
      </w:r>
    </w:p>
    <w:p>
      <w:pPr>
        <w:pStyle w:val="TextBody"/>
        <w:bidi w:val="0"/>
        <w:spacing w:lineRule="auto" w:line="240" w:before="0" w:after="0"/>
        <w:jc w:val="left"/>
        <w:rPr/>
      </w:pPr>
      <w:r>
        <w:rPr>
          <w:rFonts w:ascii="Calibri;sans-serif" w:hAnsi="Calibri;sans-serif"/>
          <w:b w:val="false"/>
          <w:color w:val="000000"/>
          <w:sz w:val="20"/>
        </w:rPr>
        <w:t>We are pleased to offer you employment with Fluidigm Corporation (“</w:t>
      </w:r>
      <w:r>
        <w:rPr>
          <w:rFonts w:ascii="Calibri;sans-serif" w:hAnsi="Calibri;sans-serif"/>
          <w:b w:val="false"/>
          <w:color w:val="000000"/>
          <w:sz w:val="20"/>
          <w:u w:val="single"/>
        </w:rPr>
        <w:t>Fluidigm</w:t>
      </w:r>
      <w:r>
        <w:rPr>
          <w:color w:val="000000"/>
        </w:rPr>
        <w:t xml:space="preserve">” </w:t>
      </w:r>
      <w:r>
        <w:rPr>
          <w:rFonts w:ascii="Calibri;sans-serif" w:hAnsi="Calibri;sans-serif"/>
          <w:b w:val="false"/>
          <w:color w:val="000000"/>
          <w:sz w:val="20"/>
        </w:rPr>
        <w:t>or the “</w:t>
      </w:r>
      <w:r>
        <w:rPr>
          <w:rFonts w:ascii="Calibri;sans-serif" w:hAnsi="Calibri;sans-serif"/>
          <w:b w:val="false"/>
          <w:color w:val="000000"/>
          <w:sz w:val="20"/>
          <w:u w:val="single"/>
        </w:rPr>
        <w:t>Company</w:t>
      </w:r>
      <w:r>
        <w:rPr>
          <w:color w:val="000000"/>
        </w:rPr>
        <w:t>”</w:t>
      </w:r>
      <w:r>
        <w:rPr>
          <w:rFonts w:ascii="Calibri;sans-serif" w:hAnsi="Calibri;sans-serif"/>
          <w:b w:val="false"/>
          <w:color w:val="000000"/>
          <w:sz w:val="20"/>
        </w:rPr>
        <w:t>) contingent upon the closing of the private placement of Fluidigm’s convertible preferred stock to Casdin Capital, LLC and Viking Global Investors LP and/or one or more of their respective affiliates (the “</w:t>
      </w:r>
      <w:r>
        <w:rPr>
          <w:rFonts w:ascii="Calibri;sans-serif" w:hAnsi="Calibri;sans-serif"/>
          <w:b w:val="false"/>
          <w:color w:val="000000"/>
          <w:sz w:val="20"/>
          <w:u w:val="single"/>
        </w:rPr>
        <w:t>Transaction</w:t>
      </w:r>
      <w:r>
        <w:rPr>
          <w:color w:val="000000"/>
        </w:rPr>
        <w:t>”</w:t>
      </w:r>
      <w:r>
        <w:rPr>
          <w:rFonts w:ascii="Calibri;sans-serif" w:hAnsi="Calibri;sans-serif"/>
          <w:b w:val="false"/>
          <w:color w:val="000000"/>
          <w:sz w:val="20"/>
        </w:rPr>
        <w:t>). If the Transaction does not occur, this offer is null and void.</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The following is a summary of the terms and conditions of this offer, which will apply to your employment with Fluidigm:</w:t>
      </w:r>
    </w:p>
    <w:p>
      <w:pPr>
        <w:pStyle w:val="TextBody"/>
        <w:bidi w:val="0"/>
        <w:spacing w:before="0" w:after="0"/>
        <w:jc w:val="left"/>
        <w:rPr/>
      </w:pPr>
      <w:r>
        <w:rPr/>
      </w:r>
    </w:p>
    <w:p>
      <w:pPr>
        <w:pStyle w:val="TextBody"/>
        <w:bidi w:val="0"/>
        <w:spacing w:lineRule="auto" w:line="240" w:before="0" w:after="0"/>
        <w:jc w:val="left"/>
        <w:rPr/>
      </w:pPr>
      <w:r>
        <w:rPr>
          <w:rFonts w:ascii="Calibri;sans-serif" w:hAnsi="Calibri;sans-serif"/>
          <w:b/>
          <w:color w:val="000000"/>
          <w:sz w:val="20"/>
          <w:u w:val="single"/>
        </w:rPr>
        <w:t>Position:</w:t>
      </w:r>
      <w:r>
        <w:rPr>
          <w:color w:val="000000"/>
        </w:rPr>
        <w:t xml:space="preserve">     </w:t>
      </w:r>
      <w:r>
        <w:rPr>
          <w:rFonts w:ascii="Calibri;sans-serif" w:hAnsi="Calibri;sans-serif"/>
          <w:b w:val="false"/>
          <w:color w:val="000000"/>
          <w:sz w:val="20"/>
        </w:rPr>
        <w:t>Chief Commercial Officer</w:t>
      </w:r>
    </w:p>
    <w:p>
      <w:pPr>
        <w:pStyle w:val="TextBody"/>
        <w:bidi w:val="0"/>
        <w:spacing w:before="0" w:after="0"/>
        <w:jc w:val="left"/>
        <w:rPr/>
      </w:pPr>
      <w:r>
        <w:rPr/>
      </w:r>
    </w:p>
    <w:p>
      <w:pPr>
        <w:pStyle w:val="TextBody"/>
        <w:bidi w:val="0"/>
        <w:spacing w:lineRule="auto" w:line="240" w:before="0" w:after="0"/>
        <w:jc w:val="left"/>
        <w:rPr/>
      </w:pPr>
      <w:r>
        <w:rPr>
          <w:rFonts w:ascii="Calibri;sans-serif" w:hAnsi="Calibri;sans-serif"/>
          <w:b/>
          <w:color w:val="000000"/>
          <w:sz w:val="20"/>
          <w:u w:val="single"/>
        </w:rPr>
        <w:t>Manager:</w:t>
      </w:r>
      <w:r>
        <w:rPr>
          <w:color w:val="000000"/>
        </w:rPr>
        <w:t xml:space="preserve">     </w:t>
      </w:r>
      <w:r>
        <w:rPr>
          <w:rFonts w:ascii="Calibri;sans-serif" w:hAnsi="Calibri;sans-serif"/>
          <w:b w:val="false"/>
          <w:color w:val="000000"/>
          <w:sz w:val="20"/>
        </w:rPr>
        <w:t>Michael Egholm, Chief Executive Officer</w:t>
      </w:r>
    </w:p>
    <w:p>
      <w:pPr>
        <w:pStyle w:val="TextBody"/>
        <w:bidi w:val="0"/>
        <w:spacing w:before="0" w:after="0"/>
        <w:jc w:val="left"/>
        <w:rPr/>
      </w:pPr>
      <w:r>
        <w:rPr/>
      </w:r>
    </w:p>
    <w:p>
      <w:pPr>
        <w:pStyle w:val="TextBody"/>
        <w:bidi w:val="0"/>
        <w:spacing w:lineRule="auto" w:line="240" w:before="0" w:after="0"/>
        <w:jc w:val="left"/>
        <w:rPr/>
      </w:pPr>
      <w:r>
        <w:rPr>
          <w:rFonts w:ascii="Calibri;sans-serif" w:hAnsi="Calibri;sans-serif"/>
          <w:b/>
          <w:color w:val="000000"/>
          <w:sz w:val="20"/>
          <w:u w:val="single"/>
        </w:rPr>
        <w:t>Location:</w:t>
      </w:r>
      <w:r>
        <w:rPr>
          <w:color w:val="000000"/>
        </w:rPr>
        <w:t xml:space="preserve">     </w:t>
      </w:r>
      <w:r>
        <w:rPr>
          <w:rFonts w:ascii="Calibri;sans-serif" w:hAnsi="Calibri;sans-serif"/>
          <w:b w:val="false"/>
          <w:color w:val="000000"/>
          <w:sz w:val="20"/>
        </w:rPr>
        <w:t>Boston, Massachusetts / remote</w:t>
      </w:r>
    </w:p>
    <w:p>
      <w:pPr>
        <w:pStyle w:val="TextBody"/>
        <w:bidi w:val="0"/>
        <w:spacing w:before="0" w:after="0"/>
        <w:jc w:val="left"/>
        <w:rPr/>
      </w:pPr>
      <w:r>
        <w:rPr/>
      </w:r>
    </w:p>
    <w:p>
      <w:pPr>
        <w:pStyle w:val="TextBody"/>
        <w:bidi w:val="0"/>
        <w:spacing w:lineRule="auto" w:line="240" w:before="0" w:after="0"/>
        <w:jc w:val="left"/>
        <w:rPr/>
      </w:pPr>
      <w:r>
        <w:rPr>
          <w:rFonts w:ascii="Calibri;sans-serif" w:hAnsi="Calibri;sans-serif"/>
          <w:b/>
          <w:color w:val="000000"/>
          <w:sz w:val="20"/>
          <w:u w:val="single"/>
        </w:rPr>
        <w:t>Start Date:</w:t>
      </w:r>
      <w:r>
        <w:rPr>
          <w:color w:val="000000"/>
        </w:rPr>
        <w:t xml:space="preserve">     </w:t>
      </w:r>
      <w:r>
        <w:rPr>
          <w:rFonts w:ascii="Calibri;sans-serif" w:hAnsi="Calibri;sans-serif"/>
          <w:b w:val="false"/>
          <w:color w:val="000000"/>
          <w:sz w:val="20"/>
        </w:rPr>
        <w:t>On or about the closing date of the Transaction</w:t>
      </w:r>
    </w:p>
    <w:p>
      <w:pPr>
        <w:pStyle w:val="TextBody"/>
        <w:bidi w:val="0"/>
        <w:spacing w:before="0" w:after="0"/>
        <w:jc w:val="left"/>
        <w:rPr/>
      </w:pPr>
      <w:r>
        <w:rPr/>
      </w:r>
    </w:p>
    <w:p>
      <w:pPr>
        <w:pStyle w:val="TextBody"/>
        <w:bidi w:val="0"/>
        <w:spacing w:lineRule="auto" w:line="319" w:before="0" w:after="0"/>
        <w:jc w:val="left"/>
        <w:rPr/>
      </w:pPr>
      <w:r>
        <w:rPr>
          <w:rFonts w:ascii="Calibri;sans-serif" w:hAnsi="Calibri;sans-serif"/>
          <w:b/>
          <w:color w:val="000000"/>
          <w:sz w:val="20"/>
          <w:u w:val="single"/>
        </w:rPr>
        <w:t>Compensation:</w:t>
      </w:r>
      <w:r>
        <w:rPr>
          <w:color w:val="000000"/>
        </w:rPr>
        <w:t xml:space="preserve"> </w:t>
      </w:r>
    </w:p>
    <w:p>
      <w:pPr>
        <w:pStyle w:val="TextBody"/>
        <w:bidi w:val="0"/>
        <w:spacing w:lineRule="auto" w:line="240" w:before="0" w:after="0"/>
        <w:jc w:val="left"/>
        <w:rPr/>
      </w:pPr>
      <w:r>
        <w:rPr>
          <w:rFonts w:ascii="Calibri;sans-serif" w:hAnsi="Calibri;sans-serif"/>
          <w:b w:val="false"/>
          <w:color w:val="000000"/>
          <w:sz w:val="20"/>
        </w:rPr>
        <w:t>You will receive an initial salary of $16,666.67 per pay period. We are on a semi-monthly pay schedule with two pay periods per calendar month which generally fall on the 15</w:t>
      </w:r>
      <w:r>
        <w:rPr>
          <w:rFonts w:ascii="Calibri;sans-serif" w:hAnsi="Calibri;sans-serif"/>
          <w:b w:val="false"/>
          <w:color w:val="000000"/>
          <w:sz w:val="13"/>
        </w:rPr>
        <w:t>th</w:t>
      </w:r>
      <w:r>
        <w:rPr>
          <w:color w:val="000000"/>
        </w:rPr>
        <w:t xml:space="preserve"> </w:t>
      </w:r>
      <w:r>
        <w:rPr>
          <w:rFonts w:ascii="Calibri;sans-serif" w:hAnsi="Calibri;sans-serif"/>
          <w:b w:val="false"/>
          <w:color w:val="000000"/>
          <w:sz w:val="20"/>
        </w:rPr>
        <w:t xml:space="preserve">and the last day of the month. This equates to a base compensation of $400,000.00 on an annual basis, less deductions as required by law, which will be paid in accordance with the Company’s normal payroll procedures. This is an exempt position. </w:t>
      </w:r>
    </w:p>
    <w:p>
      <w:pPr>
        <w:pStyle w:val="TextBody"/>
        <w:bidi w:val="0"/>
        <w:spacing w:before="0" w:after="0"/>
        <w:jc w:val="left"/>
        <w:rPr/>
      </w:pPr>
      <w:r>
        <w:rPr/>
      </w:r>
    </w:p>
    <w:p>
      <w:pPr>
        <w:pStyle w:val="TextBody"/>
        <w:bidi w:val="0"/>
        <w:spacing w:lineRule="auto" w:line="240" w:before="0" w:after="0"/>
        <w:jc w:val="left"/>
        <w:rPr>
          <w:rFonts w:ascii="Calibri;sans-serif" w:hAnsi="Calibri;sans-serif"/>
          <w:b/>
          <w:color w:val="000000"/>
          <w:sz w:val="20"/>
          <w:u w:val="single"/>
        </w:rPr>
      </w:pPr>
      <w:r>
        <w:rPr>
          <w:rFonts w:ascii="Calibri;sans-serif" w:hAnsi="Calibri;sans-serif"/>
          <w:b/>
          <w:color w:val="000000"/>
          <w:sz w:val="20"/>
          <w:u w:val="single"/>
        </w:rPr>
        <w:t>Bonus Target:</w:t>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You will be eligible to participate in the Company’s Employee Bonus Plan.  The bonus will be subject to achievement of performance objectives with the actual bonus amount to be determined by the Company in its discretion and will be pro-rated based upon your hire date. To earn a bonus, you must remain employed with the Company through the date bonuses are paid, as well as having commenced your employment on or prior to September 30 of the corresponding bonus plan’s performance year. For purposes of calculating any bonus payout you earn, your target bonus amount will initially be 55% of your annual base salary.</w:t>
      </w:r>
    </w:p>
    <w:p>
      <w:pPr>
        <w:pStyle w:val="TextBody"/>
        <w:bidi w:val="0"/>
        <w:spacing w:before="0" w:after="0"/>
        <w:jc w:val="left"/>
        <w:rPr/>
      </w:pPr>
      <w:r>
        <w:rPr/>
      </w:r>
    </w:p>
    <w:p>
      <w:pPr>
        <w:pStyle w:val="TextBody"/>
        <w:bidi w:val="0"/>
        <w:spacing w:lineRule="auto" w:line="240" w:before="0" w:after="0"/>
        <w:jc w:val="left"/>
        <w:rPr>
          <w:rFonts w:ascii="Calibri;sans-serif" w:hAnsi="Calibri;sans-serif"/>
          <w:b/>
          <w:color w:val="000000"/>
          <w:sz w:val="20"/>
          <w:u w:val="single"/>
        </w:rPr>
      </w:pPr>
      <w:r>
        <w:rPr>
          <w:rFonts w:ascii="Calibri;sans-serif" w:hAnsi="Calibri;sans-serif"/>
          <w:b/>
          <w:color w:val="000000"/>
          <w:sz w:val="20"/>
          <w:u w:val="single"/>
        </w:rPr>
        <w:t>Equity Award:</w:t>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 xml:space="preserve">We will recommend to our Board of Directors or one of its committees after commencement of your employment with the Company that you receive an on-hire grant of 250,000 restricted stock units. Your grant will be subject to the approval of the Board of Directors or its committee, the terms of the applicable equity incentive plan, and our policies governing grants of equity incentive awards. </w:t>
      </w:r>
    </w:p>
    <w:p>
      <w:pPr>
        <w:pStyle w:val="TextBody"/>
        <w:bidi w:val="0"/>
        <w:spacing w:before="0" w:after="0"/>
        <w:jc w:val="left"/>
        <w:rPr/>
      </w:pPr>
      <w:r>
        <w:rPr/>
      </w:r>
    </w:p>
    <w:p>
      <w:pPr>
        <w:pStyle w:val="TextBody"/>
        <w:bidi w:val="0"/>
        <w:spacing w:lineRule="auto" w:line="240" w:before="0" w:after="0"/>
        <w:jc w:val="left"/>
        <w:rPr>
          <w:rFonts w:ascii="Calibri;sans-serif" w:hAnsi="Calibri;sans-serif"/>
          <w:b/>
          <w:color w:val="000000"/>
          <w:sz w:val="20"/>
          <w:u w:val="single"/>
        </w:rPr>
      </w:pPr>
      <w:r>
        <w:rPr>
          <w:rFonts w:ascii="Calibri;sans-serif" w:hAnsi="Calibri;sans-serif"/>
          <w:b/>
          <w:color w:val="000000"/>
          <w:sz w:val="20"/>
          <w:u w:val="single"/>
        </w:rPr>
        <w:t>Benefits:</w:t>
      </w:r>
    </w:p>
    <w:p>
      <w:pPr>
        <w:pStyle w:val="TextBody"/>
        <w:bidi w:val="0"/>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You are eligible to receive the Company’s standard benefits package which currently includes medical, dental, vision, life and disability insurance benefits. Benefits will be effective on your date of hire. Additional benefits, as the Company may make generally available to its employees from time to time, will be made available to you. You will be entitled to participate in the Company’s Flexible Vacation Plan and such paid holidays as the Company gives to its employees generally, in accordance with Company policies.</w:t>
      </w:r>
    </w:p>
    <w:p>
      <w:pPr>
        <w:pStyle w:val="TextBody"/>
        <w:bidi w:val="0"/>
        <w:spacing w:before="0" w:after="0"/>
        <w:jc w:val="left"/>
        <w:rPr/>
      </w:pPr>
      <w:r>
        <w:rPr/>
      </w:r>
    </w:p>
    <w:p>
      <w:pPr>
        <w:pStyle w:val="TextBody"/>
        <w:bidi w:val="0"/>
        <w:spacing w:lineRule="auto" w:line="240"/>
        <w:jc w:val="left"/>
        <w:rPr>
          <w:rFonts w:ascii="Calibri;sans-serif" w:hAnsi="Calibri;sans-serif"/>
          <w:b/>
          <w:color w:val="000000"/>
          <w:sz w:val="20"/>
          <w:u w:val="single"/>
        </w:rPr>
      </w:pPr>
      <w:r>
        <w:rPr>
          <w:rFonts w:ascii="Calibri;sans-serif" w:hAnsi="Calibri;sans-serif"/>
          <w:b/>
          <w:color w:val="000000"/>
          <w:sz w:val="20"/>
          <w:u w:val="single"/>
        </w:rPr>
        <w:t>Workers’ Compensation Insurance:</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The Company provides a comprehensive workers’ compensation insurance program at no cost to employees. This program covers any injury or illness sustained in the course of employment that requires medical, surgical or hospital treatment. Insurance carrier: Preferred Employers Group - PO BOX 85838, San Diego, CA 92186, phone number (866) 472-9602.</w:t>
      </w:r>
    </w:p>
    <w:p>
      <w:pPr>
        <w:pStyle w:val="TextBody"/>
        <w:bidi w:val="0"/>
        <w:spacing w:before="0" w:after="0"/>
        <w:jc w:val="left"/>
        <w:rPr/>
      </w:pPr>
      <w:r>
        <w:rPr/>
      </w:r>
    </w:p>
    <w:p>
      <w:pPr>
        <w:pStyle w:val="TextBody"/>
        <w:bidi w:val="0"/>
        <w:spacing w:lineRule="auto" w:line="240" w:before="0" w:after="0"/>
        <w:jc w:val="left"/>
        <w:rPr>
          <w:rFonts w:ascii="Calibri;sans-serif" w:hAnsi="Calibri;sans-serif"/>
          <w:b/>
          <w:color w:val="000000"/>
          <w:sz w:val="20"/>
          <w:u w:val="single"/>
        </w:rPr>
      </w:pPr>
      <w:r>
        <w:rPr>
          <w:rFonts w:ascii="Calibri;sans-serif" w:hAnsi="Calibri;sans-serif"/>
          <w:b/>
          <w:color w:val="000000"/>
          <w:sz w:val="20"/>
          <w:u w:val="single"/>
        </w:rPr>
        <w:t xml:space="preserve">Confidentiality and Company Policies: </w:t>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It is important to protect our confidential information and proprietary material. Therefore, as a condition of employment you will be required to sign the Company’s standard At-Will Employment, Confidential Information, Invention Assignment, and Arbitration Agreement.</w:t>
      </w:r>
    </w:p>
    <w:p>
      <w:pPr>
        <w:pStyle w:val="TextBody"/>
        <w:bidi w:val="0"/>
        <w:spacing w:before="0" w:after="0"/>
        <w:jc w:val="left"/>
        <w:rPr/>
      </w:pPr>
      <w:r>
        <w:rPr/>
      </w:r>
    </w:p>
    <w:p>
      <w:pPr>
        <w:pStyle w:val="TextBody"/>
        <w:bidi w:val="0"/>
        <w:spacing w:lineRule="auto" w:line="240" w:before="0" w:after="0"/>
        <w:jc w:val="left"/>
        <w:rPr/>
      </w:pPr>
      <w:r>
        <w:rPr>
          <w:rFonts w:ascii="Calibri;sans-serif" w:hAnsi="Calibri;sans-serif"/>
          <w:b/>
          <w:color w:val="000000"/>
          <w:sz w:val="20"/>
          <w:u w:val="single"/>
        </w:rPr>
        <w:t>Background and reference checks:</w:t>
      </w:r>
      <w:r>
        <w:rPr>
          <w:color w:val="000000"/>
        </w:rPr>
        <w:t xml:space="preserve"> </w:t>
      </w:r>
      <w:r>
        <w:rPr>
          <w:rFonts w:ascii="Calibri;sans-serif" w:hAnsi="Calibri;sans-serif"/>
          <w:b w:val="false"/>
          <w:color w:val="000000"/>
          <w:sz w:val="20"/>
        </w:rPr>
        <w:t>This offer is contingent upon successfully passing your background and reference checks.</w:t>
      </w:r>
    </w:p>
    <w:p>
      <w:pPr>
        <w:pStyle w:val="TextBody"/>
        <w:bidi w:val="0"/>
        <w:spacing w:before="0" w:after="0"/>
        <w:jc w:val="left"/>
        <w:rPr/>
      </w:pPr>
      <w:r>
        <w:rPr/>
      </w:r>
    </w:p>
    <w:p>
      <w:pPr>
        <w:pStyle w:val="TextBody"/>
        <w:bidi w:val="0"/>
        <w:spacing w:lineRule="auto" w:line="240" w:before="0" w:after="0"/>
        <w:jc w:val="left"/>
        <w:rPr>
          <w:rFonts w:ascii="Calibri;sans-serif" w:hAnsi="Calibri;sans-serif"/>
          <w:b/>
          <w:color w:val="000000"/>
          <w:sz w:val="20"/>
          <w:u w:val="single"/>
        </w:rPr>
      </w:pPr>
      <w:r>
        <w:rPr>
          <w:rFonts w:ascii="Calibri;sans-serif" w:hAnsi="Calibri;sans-serif"/>
          <w:b/>
          <w:color w:val="000000"/>
          <w:sz w:val="20"/>
          <w:u w:val="single"/>
        </w:rPr>
        <w:t>Employment Authorization:</w:t>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 xml:space="preserve">For purposes of federal immigration law, you will be required to provide to the Company documentary evidence of your identity and eligibility for employment in the United States. Such documentation must be provided to us within 3 business days of your date of hire, or our employment relationship may be terminated. </w:t>
      </w:r>
    </w:p>
    <w:p>
      <w:pPr>
        <w:pStyle w:val="TextBody"/>
        <w:bidi w:val="0"/>
        <w:spacing w:before="0" w:after="0"/>
        <w:jc w:val="left"/>
        <w:rPr/>
      </w:pPr>
      <w:r>
        <w:rPr/>
      </w:r>
    </w:p>
    <w:p>
      <w:pPr>
        <w:pStyle w:val="TextBody"/>
        <w:bidi w:val="0"/>
        <w:spacing w:lineRule="auto" w:line="240" w:before="0" w:after="0"/>
        <w:jc w:val="left"/>
        <w:rPr>
          <w:rFonts w:ascii="Calibri;sans-serif" w:hAnsi="Calibri;sans-serif"/>
          <w:b/>
          <w:color w:val="000000"/>
          <w:sz w:val="20"/>
          <w:u w:val="single"/>
        </w:rPr>
      </w:pPr>
      <w:r>
        <w:rPr>
          <w:rFonts w:ascii="Calibri;sans-serif" w:hAnsi="Calibri;sans-serif"/>
          <w:b/>
          <w:color w:val="000000"/>
          <w:sz w:val="20"/>
          <w:u w:val="single"/>
        </w:rPr>
        <w:t>Other:</w:t>
      </w:r>
    </w:p>
    <w:p>
      <w:pPr>
        <w:pStyle w:val="TextBody"/>
        <w:bidi w:val="0"/>
        <w:spacing w:lineRule="auto" w:line="240" w:before="0" w:after="0"/>
        <w:jc w:val="left"/>
        <w:rPr/>
      </w:pPr>
      <w:r>
        <w:rPr>
          <w:rFonts w:ascii="Calibri;sans-serif" w:hAnsi="Calibri;sans-serif"/>
          <w:b w:val="false"/>
          <w:color w:val="000000"/>
          <w:sz w:val="20"/>
        </w:rPr>
        <w:t xml:space="preserve">This offer of employment and its related terms will expire on </w:t>
      </w:r>
      <w:r>
        <w:rPr>
          <w:rFonts w:ascii="Calibri;sans-serif" w:hAnsi="Calibri;sans-serif"/>
          <w:b/>
          <w:color w:val="000000"/>
          <w:sz w:val="20"/>
          <w:u w:val="single"/>
        </w:rPr>
        <w:t>April 5, 2022</w:t>
      </w:r>
      <w:r>
        <w:rPr>
          <w:rFonts w:ascii="Calibri;sans-serif" w:hAnsi="Calibri;sans-serif"/>
          <w:b w:val="false"/>
          <w:color w:val="000000"/>
          <w:sz w:val="20"/>
        </w:rPr>
        <w:t xml:space="preserve">. </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This letter shall be interpreted under California law. You should be aware that your employment with the Company is for no specified period and constitutes “at will” employment. As a result, you are free to resign at any time, for any reason or for no reason. Similarly, the Company is free to conclude its employment relationship with you at any time, with or without cause. In addition, the Company may change your compensation, duties, assignments, responsibilities, location of your position, or any other terms and conditions of employment at any time to adjust to the changing needs of our dynamic Company.</w:t>
      </w:r>
    </w:p>
    <w:p>
      <w:pPr>
        <w:pStyle w:val="TextBody"/>
        <w:bidi w:val="0"/>
        <w:spacing w:before="0" w:after="0"/>
        <w:jc w:val="left"/>
        <w:rPr/>
      </w:pPr>
      <w:r>
        <w:rPr/>
      </w:r>
    </w:p>
    <w:p>
      <w:pPr>
        <w:pStyle w:val="TextBody"/>
        <w:bidi w:val="0"/>
        <w:spacing w:lineRule="auto" w:line="240" w:before="0" w:after="0"/>
        <w:jc w:val="left"/>
        <w:rPr/>
      </w:pPr>
      <w:r>
        <w:rPr>
          <w:rFonts w:ascii="Calibri;sans-serif" w:hAnsi="Calibri;sans-serif"/>
          <w:b w:val="false"/>
          <w:color w:val="000000"/>
          <w:sz w:val="20"/>
        </w:rPr>
        <w:t xml:space="preserve">In the event of any dispute or claim relating to or arising out of our employment relationship, you and the Company agree that all such disputes shall be fully and finally resolved by binding arbitration conducted by the Judicial Arbitration &amp; Mediation Services (“JAMS”) in Santa Clara County California. The current JAMS employment arbitration rules &amp; procedures can be found at </w:t>
      </w:r>
      <w:r>
        <w:rPr>
          <w:rFonts w:ascii="Calibri;sans-serif" w:hAnsi="Calibri;sans-serif"/>
          <w:b w:val="false"/>
          <w:color w:val="000000"/>
          <w:sz w:val="20"/>
          <w:u w:val="single"/>
        </w:rPr>
        <w:t>http://www.jamsadr.com/rules-employment-arbitration/</w:t>
      </w:r>
      <w:r>
        <w:rPr>
          <w:rFonts w:ascii="Calibri;sans-serif" w:hAnsi="Calibri;sans-serif"/>
          <w:b w:val="false"/>
          <w:color w:val="000000"/>
          <w:sz w:val="20"/>
        </w:rPr>
        <w:t>. The JAMS employment arbitration rules &amp; procedures may, however, be amended by JAMS. You acknowledge that you are waiving your right to a jury trial.</w:t>
      </w:r>
    </w:p>
    <w:p>
      <w:pPr>
        <w:pStyle w:val="TextBody"/>
        <w:bidi w:val="0"/>
        <w:spacing w:before="0" w:after="0"/>
        <w:jc w:val="left"/>
        <w:rPr/>
      </w:pPr>
      <w:r>
        <w:rPr/>
      </w:r>
    </w:p>
    <w:p>
      <w:pPr>
        <w:pStyle w:val="TextBody"/>
        <w:bidi w:val="0"/>
        <w:spacing w:lineRule="auto" w:line="240" w:before="0" w:after="200"/>
        <w:jc w:val="left"/>
        <w:rPr>
          <w:rFonts w:ascii="Calibri;sans-serif" w:hAnsi="Calibri;sans-serif"/>
          <w:b w:val="false"/>
          <w:color w:val="000000"/>
          <w:sz w:val="20"/>
        </w:rPr>
      </w:pPr>
      <w:r>
        <w:rPr>
          <w:rFonts w:ascii="Calibri;sans-serif" w:hAnsi="Calibri;sans-serif"/>
          <w:b w:val="false"/>
          <w:color w:val="000000"/>
          <w:sz w:val="20"/>
        </w:rPr>
        <w:t>To indicate your acceptance of the Company's offer, please sign and date this letter in the space provided below and return it via Adobe Sign to our Talent Acquisition Team.</w:t>
      </w:r>
    </w:p>
    <w:p>
      <w:pPr>
        <w:pStyle w:val="TextBody"/>
        <w:bidi w:val="0"/>
        <w:spacing w:lineRule="auto" w:line="240" w:before="0" w:after="200"/>
        <w:jc w:val="left"/>
        <w:rPr>
          <w:rFonts w:ascii="Calibri;sans-serif" w:hAnsi="Calibri;sans-serif"/>
          <w:b w:val="false"/>
          <w:color w:val="000000"/>
          <w:sz w:val="20"/>
        </w:rPr>
      </w:pPr>
      <w:r>
        <w:rPr>
          <w:rFonts w:ascii="Calibri;sans-serif" w:hAnsi="Calibri;sans-serif"/>
          <w:b w:val="false"/>
          <w:color w:val="000000"/>
          <w:sz w:val="20"/>
        </w:rPr>
        <w:t>This letter, along with the agreement relating to proprietary rights between you and the Company, set forth the terms of your employment with the Company and supersede any prior representations or agreements, whether written or oral. This letter may not be modified or amended except by a written agreement, signed by the Company and by you.</w:t>
      </w:r>
    </w:p>
    <w:p>
      <w:pPr>
        <w:pStyle w:val="TextBody"/>
        <w:bidi w:val="0"/>
        <w:spacing w:lineRule="auto" w:line="240" w:before="0" w:after="200"/>
        <w:jc w:val="left"/>
        <w:rPr>
          <w:rFonts w:ascii="Calibri;sans-serif" w:hAnsi="Calibri;sans-serif"/>
          <w:b w:val="false"/>
          <w:color w:val="000000"/>
          <w:sz w:val="20"/>
        </w:rPr>
      </w:pPr>
      <w:r>
        <w:rPr>
          <w:rFonts w:ascii="Calibri;sans-serif" w:hAnsi="Calibri;sans-serif"/>
          <w:b w:val="false"/>
          <w:color w:val="000000"/>
          <w:sz w:val="20"/>
        </w:rPr>
        <w:t>We look forward to you joining and being part of Fluidigm!  I am certain we can build a great company together.</w:t>
      </w:r>
    </w:p>
    <w:p>
      <w:pPr>
        <w:pStyle w:val="TextBody"/>
        <w:bidi w:val="0"/>
        <w:spacing w:lineRule="auto" w:line="240" w:before="240" w:after="283"/>
        <w:jc w:val="left"/>
        <w:rPr>
          <w:rFonts w:ascii="Calibri;sans-serif" w:hAnsi="Calibri;sans-serif"/>
          <w:b w:val="false"/>
          <w:color w:val="000000"/>
          <w:sz w:val="20"/>
        </w:rPr>
      </w:pPr>
      <w:r>
        <w:rPr>
          <w:rFonts w:ascii="Calibri;sans-serif" w:hAnsi="Calibri;sans-serif"/>
          <w:b w:val="false"/>
          <w:color w:val="000000"/>
          <w:sz w:val="20"/>
        </w:rPr>
        <w:t>Sincerely,</w:t>
      </w:r>
    </w:p>
    <w:p>
      <w:pPr>
        <w:pStyle w:val="TextBody"/>
        <w:bidi w:val="0"/>
        <w:spacing w:before="0" w:after="0"/>
        <w:jc w:val="left"/>
        <w:rPr/>
      </w:pPr>
      <w:r>
        <w:rPr/>
      </w:r>
    </w:p>
    <w:p>
      <w:pPr>
        <w:pStyle w:val="TextBody"/>
        <w:bidi w:val="0"/>
        <w:spacing w:lineRule="auto" w:line="319" w:before="0" w:after="200"/>
        <w:jc w:val="left"/>
        <w:rPr>
          <w:rFonts w:ascii="Calibri;sans-serif" w:hAnsi="Calibri;sans-serif"/>
          <w:b w:val="false"/>
          <w:color w:val="000000"/>
          <w:sz w:val="20"/>
        </w:rPr>
      </w:pPr>
      <w:r>
        <w:rPr>
          <w:rFonts w:ascii="Calibri;sans-serif" w:hAnsi="Calibri;sans-serif"/>
          <w:b w:val="false"/>
          <w:color w:val="000000"/>
          <w:sz w:val="20"/>
        </w:rPr>
        <w:t>/s/ Angela Peters</w:t>
      </w:r>
    </w:p>
    <w:p>
      <w:pPr>
        <w:pStyle w:val="TextBody"/>
        <w:bidi w:val="0"/>
        <w:spacing w:lineRule="auto" w:line="319" w:before="0" w:after="0"/>
        <w:jc w:val="left"/>
        <w:rPr>
          <w:rFonts w:ascii="Calibri;sans-serif" w:hAnsi="Calibri;sans-serif"/>
          <w:b w:val="false"/>
          <w:color w:val="000000"/>
          <w:sz w:val="20"/>
        </w:rPr>
      </w:pPr>
      <w:r>
        <w:rPr>
          <w:rFonts w:ascii="Calibri;sans-serif" w:hAnsi="Calibri;sans-serif"/>
          <w:b w:val="false"/>
          <w:color w:val="000000"/>
          <w:sz w:val="20"/>
        </w:rPr>
        <w:t>Angela Peters</w:t>
      </w:r>
    </w:p>
    <w:p>
      <w:pPr>
        <w:pStyle w:val="TextBody"/>
        <w:bidi w:val="0"/>
        <w:spacing w:lineRule="auto" w:line="319" w:before="0" w:after="0"/>
        <w:jc w:val="left"/>
        <w:rPr>
          <w:rFonts w:ascii="Calibri;sans-serif" w:hAnsi="Calibri;sans-serif"/>
          <w:b w:val="false"/>
          <w:color w:val="000000"/>
          <w:sz w:val="20"/>
        </w:rPr>
      </w:pPr>
      <w:r>
        <w:rPr>
          <w:rFonts w:ascii="Calibri;sans-serif" w:hAnsi="Calibri;sans-serif"/>
          <w:b w:val="false"/>
          <w:color w:val="000000"/>
          <w:sz w:val="20"/>
        </w:rPr>
        <w:t>SVP, Chief Human Resources Officer</w:t>
        <w:br/>
        <w:t>Fluidigm Corporation</w:t>
      </w:r>
    </w:p>
    <w:p>
      <w:pPr>
        <w:pStyle w:val="TextBody"/>
        <w:bidi w:val="0"/>
        <w:spacing w:before="0" w:after="200"/>
        <w:jc w:val="left"/>
        <w:rPr/>
      </w:pPr>
      <w:r>
        <w:rPr/>
      </w:r>
    </w:p>
    <w:p>
      <w:pPr>
        <w:pStyle w:val="TextBody"/>
        <w:bidi w:val="0"/>
        <w:spacing w:lineRule="auto" w:line="319" w:before="0" w:after="200"/>
        <w:jc w:val="left"/>
        <w:rPr>
          <w:rFonts w:ascii="Calibri;sans-serif" w:hAnsi="Calibri;sans-serif"/>
          <w:b w:val="false"/>
          <w:color w:val="000000"/>
          <w:sz w:val="20"/>
        </w:rPr>
      </w:pPr>
      <w:r>
        <w:rPr>
          <w:rFonts w:ascii="Calibri;sans-serif" w:hAnsi="Calibri;sans-serif"/>
          <w:b w:val="false"/>
          <w:color w:val="000000"/>
          <w:sz w:val="20"/>
        </w:rPr>
        <w:t>ACCEPTED AND AGREED TO:</w:t>
      </w:r>
    </w:p>
    <w:p>
      <w:pPr>
        <w:pStyle w:val="TextBody"/>
        <w:bidi w:val="0"/>
        <w:spacing w:lineRule="auto" w:line="319" w:before="0" w:after="0"/>
        <w:jc w:val="left"/>
        <w:rPr>
          <w:rFonts w:ascii="Calibri;sans-serif" w:hAnsi="Calibri;sans-serif"/>
          <w:b w:val="false"/>
          <w:color w:val="000000"/>
          <w:sz w:val="20"/>
        </w:rPr>
      </w:pPr>
      <w:r>
        <w:rPr>
          <w:rFonts w:ascii="Calibri;sans-serif" w:hAnsi="Calibri;sans-serif"/>
          <w:b w:val="false"/>
          <w:color w:val="000000"/>
          <w:sz w:val="20"/>
        </w:rPr>
        <w:t>/s/ Jeremy Davis</w:t>
      </w:r>
    </w:p>
    <w:p>
      <w:pPr>
        <w:pStyle w:val="TextBody"/>
        <w:bidi w:val="0"/>
        <w:spacing w:lineRule="auto" w:line="319" w:before="0" w:after="0"/>
        <w:jc w:val="left"/>
        <w:rPr>
          <w:color w:val="000000"/>
        </w:rPr>
      </w:pPr>
      <w:r>
        <w:rPr>
          <w:color w:val="000000"/>
        </w:rPr>
        <w:t>    </w:t>
      </w:r>
    </w:p>
    <w:p>
      <w:pPr>
        <w:pStyle w:val="TextBody"/>
        <w:bidi w:val="0"/>
        <w:spacing w:lineRule="auto" w:line="319" w:before="0" w:after="0"/>
        <w:jc w:val="left"/>
        <w:rPr/>
      </w:pPr>
      <w:r>
        <w:rPr>
          <w:rFonts w:ascii="Calibri;sans-serif" w:hAnsi="Calibri;sans-serif"/>
          <w:b/>
          <w:color w:val="000000"/>
          <w:sz w:val="20"/>
        </w:rPr>
        <w:t xml:space="preserve">NAME </w:t>
      </w:r>
      <w:r>
        <w:rPr>
          <w:rFonts w:ascii="Calibri;sans-serif" w:hAnsi="Calibri;sans-serif"/>
          <w:b w:val="false"/>
          <w:color w:val="000000"/>
          <w:sz w:val="20"/>
        </w:rPr>
        <w:t>Jeremy Davis    </w:t>
      </w:r>
      <w:r>
        <w:rPr>
          <w:color w:val="000000"/>
        </w:rPr>
        <w:t xml:space="preserve">               </w:t>
      </w:r>
      <w:r>
        <w:rPr>
          <w:rFonts w:ascii="Calibri;sans-serif" w:hAnsi="Calibri;sans-serif"/>
          <w:b/>
          <w:color w:val="000000"/>
          <w:sz w:val="20"/>
        </w:rPr>
        <w:t xml:space="preserve">Date </w:t>
      </w:r>
      <w:r>
        <w:rPr>
          <w:rFonts w:ascii="Calibri;sans-serif" w:hAnsi="Calibri;sans-serif"/>
          <w:b w:val="false"/>
          <w:color w:val="000000"/>
          <w:sz w:val="20"/>
        </w:rPr>
        <w:t>April 4, 2022</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 xml:space="preserve">Exhibit 10.11 </w:t>
      </w:r>
    </w:p>
    <w:p>
      <w:pPr>
        <w:pStyle w:val="TextBody"/>
        <w:bidi w:val="0"/>
        <w:spacing w:before="0" w:after="0"/>
        <w:jc w:val="right"/>
        <w:rPr/>
      </w:pPr>
      <w:r>
        <w:rPr/>
      </w:r>
    </w:p>
    <w:p>
      <w:pPr>
        <w:pStyle w:val="TextBody"/>
        <w:bidi w:val="0"/>
        <w:spacing w:lineRule="auto" w:line="240" w:before="0" w:after="0"/>
        <w:jc w:val="right"/>
        <w:rPr>
          <w:rFonts w:ascii="Calibri;sans-serif" w:hAnsi="Calibri;sans-serif"/>
          <w:b/>
          <w:color w:val="000000"/>
          <w:sz w:val="24"/>
        </w:rPr>
      </w:pPr>
      <w:r>
        <w:rPr>
          <w:rFonts w:ascii="Calibri;sans-serif" w:hAnsi="Calibri;sans-serif"/>
          <w:b/>
          <w:color w:val="000000"/>
          <w:sz w:val="24"/>
        </w:rPr>
        <w:t>Executive Leadership Team Members</w:t>
      </w:r>
    </w:p>
    <w:p>
      <w:pPr>
        <w:pStyle w:val="TextBody"/>
        <w:bidi w:val="0"/>
        <w:spacing w:before="0" w:after="0"/>
        <w:jc w:val="right"/>
        <w:rPr/>
      </w:pPr>
      <w:r>
        <w:rPr/>
      </w:r>
    </w:p>
    <w:p>
      <w:pPr>
        <w:pStyle w:val="TextBody"/>
        <w:bidi w:val="0"/>
        <w:spacing w:lineRule="auto" w:line="240" w:before="0" w:after="240"/>
        <w:jc w:val="center"/>
        <w:rPr>
          <w:rFonts w:ascii="Calibri;sans-serif" w:hAnsi="Calibri;sans-serif"/>
          <w:b/>
          <w:color w:val="000000"/>
          <w:sz w:val="24"/>
        </w:rPr>
      </w:pPr>
      <w:r>
        <w:rPr>
          <w:rFonts w:ascii="Calibri;sans-serif" w:hAnsi="Calibri;sans-serif"/>
          <w:b/>
          <w:color w:val="000000"/>
          <w:sz w:val="24"/>
        </w:rPr>
        <w:t>Appendix A</w:t>
      </w:r>
    </w:p>
    <w:p>
      <w:pPr>
        <w:pStyle w:val="TextBody"/>
        <w:bidi w:val="0"/>
        <w:spacing w:lineRule="auto" w:line="240" w:before="0" w:after="240"/>
        <w:jc w:val="center"/>
        <w:rPr>
          <w:rFonts w:ascii="Calibri;sans-serif" w:hAnsi="Calibri;sans-serif"/>
          <w:b/>
          <w:color w:val="000000"/>
          <w:sz w:val="24"/>
        </w:rPr>
      </w:pPr>
      <w:r>
        <w:rPr>
          <w:rFonts w:ascii="Calibri;sans-serif" w:hAnsi="Calibri;sans-serif"/>
          <w:b/>
          <w:color w:val="000000"/>
          <w:sz w:val="24"/>
        </w:rPr>
        <w:t>Standard BioTools Inc. 2023 Change of Control and Severance Plan</w:t>
        <w:br/>
        <w:t>Participation Agreement</w:t>
      </w:r>
    </w:p>
    <w:p>
      <w:pPr>
        <w:pStyle w:val="TextBody"/>
        <w:bidi w:val="0"/>
        <w:spacing w:lineRule="auto" w:line="240" w:before="0" w:after="240"/>
        <w:jc w:val="both"/>
        <w:rPr/>
      </w:pPr>
      <w:r>
        <w:rPr>
          <w:rFonts w:ascii="Calibri;sans-serif" w:hAnsi="Calibri;sans-serif"/>
          <w:b w:val="false"/>
          <w:color w:val="000000"/>
          <w:sz w:val="24"/>
        </w:rPr>
        <w:t>Standard BioTools Inc. (the “</w:t>
      </w:r>
      <w:r>
        <w:rPr>
          <w:rFonts w:ascii="Calibri;sans-serif" w:hAnsi="Calibri;sans-serif"/>
          <w:b/>
          <w:i/>
          <w:color w:val="000000"/>
          <w:sz w:val="24"/>
        </w:rPr>
        <w:t>Company</w:t>
      </w:r>
      <w:r>
        <w:rPr>
          <w:color w:val="000000"/>
        </w:rPr>
        <w:t>”</w:t>
      </w:r>
      <w:r>
        <w:rPr>
          <w:rFonts w:ascii="Calibri;sans-serif" w:hAnsi="Calibri;sans-serif"/>
          <w:b w:val="false"/>
          <w:color w:val="000000"/>
          <w:sz w:val="24"/>
        </w:rPr>
        <w:t>) is pleased to inform you that you have been selected to participate in the Company’s 2023 Change of Control and Severance Plan (the “</w:t>
      </w:r>
      <w:r>
        <w:rPr>
          <w:rFonts w:ascii="Calibri;sans-serif" w:hAnsi="Calibri;sans-serif"/>
          <w:b/>
          <w:i/>
          <w:color w:val="000000"/>
          <w:sz w:val="24"/>
        </w:rPr>
        <w:t>Plan</w:t>
      </w:r>
      <w:r>
        <w:rPr>
          <w:color w:val="000000"/>
        </w:rPr>
        <w:t>”</w:t>
      </w:r>
      <w:r>
        <w:rPr>
          <w:rFonts w:ascii="Calibri;sans-serif" w:hAnsi="Calibri;sans-serif"/>
          <w:b w:val="false"/>
          <w:color w:val="000000"/>
          <w:sz w:val="24"/>
        </w:rPr>
        <w:t>) as a Participant.</w: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In order to actually become a participant in the Plan, you must complete and sign this Participation Agreement.</w:t>
      </w:r>
    </w:p>
    <w:p>
      <w:pPr>
        <w:pStyle w:val="TextBody"/>
        <w:bidi w:val="0"/>
        <w:spacing w:lineRule="auto" w:line="240" w:before="0" w:after="240"/>
        <w:jc w:val="both"/>
        <w:rPr>
          <w:rFonts w:ascii="Calibri;sans-serif" w:hAnsi="Calibri;sans-serif"/>
          <w:b/>
          <w:color w:val="000000"/>
          <w:sz w:val="24"/>
        </w:rPr>
      </w:pPr>
      <w:r>
        <w:rPr>
          <w:rFonts w:ascii="Calibri;sans-serif" w:hAnsi="Calibri;sans-serif"/>
          <w:b/>
          <w:color w:val="000000"/>
          <w:sz w:val="24"/>
        </w:rPr>
        <w:t>Definition of “Good Reason”</w:t>
      </w:r>
    </w:p>
    <w:p>
      <w:pPr>
        <w:pStyle w:val="TextBody"/>
        <w:bidi w:val="0"/>
        <w:spacing w:lineRule="auto" w:line="240" w:before="0" w:after="240"/>
        <w:jc w:val="both"/>
        <w:rPr/>
      </w:pPr>
      <w:r>
        <w:rPr>
          <w:color w:val="000000"/>
        </w:rPr>
        <w:t>“</w:t>
      </w:r>
      <w:r>
        <w:rPr>
          <w:rFonts w:ascii="Calibri;sans-serif" w:hAnsi="Calibri;sans-serif"/>
          <w:b/>
          <w:i/>
          <w:color w:val="000000"/>
          <w:sz w:val="24"/>
        </w:rPr>
        <w:t>Good Reason</w:t>
      </w:r>
      <w:r>
        <w:rPr>
          <w:color w:val="000000"/>
        </w:rPr>
        <w:t xml:space="preserve">” </w:t>
      </w:r>
      <w:r>
        <w:rPr>
          <w:rFonts w:ascii="Calibri;sans-serif" w:hAnsi="Calibri;sans-serif"/>
          <w:b w:val="false"/>
          <w:color w:val="000000"/>
          <w:sz w:val="24"/>
        </w:rPr>
        <w:t>means the occurrence of one or more of the following events effected without your prior consent, provided you terminate your employment with the Company within one (1) year following the initial existence of the “Good Reason” condition (discussed below): (i) the assignment to you of any duties or the reduction of your then-current duties, either of which results in a material diminution in your then-current position or responsibilities with the Company including, without limitation, any negative change in reporting hierarchy involving you or the person to whom you directly report; (ii) a material reduction by the Company in your then- current base salary; (iii) a material change in the geographic location at which you must perform services (for purposes of this Participation Agreement, your relocation to a facility or a location less than 25 miles from your then-present location shall not be considered a material change in geographic location); or (iv) any material breach by the Company of any material provision of this Participation Agreement. You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w:t>
      </w:r>
    </w:p>
    <w:p>
      <w:pPr>
        <w:pStyle w:val="TextBody"/>
        <w:bidi w:val="0"/>
        <w:spacing w:lineRule="auto" w:line="240" w:before="0" w:after="240"/>
        <w:jc w:val="left"/>
        <w:rPr>
          <w:rFonts w:ascii="Calibri;sans-serif" w:hAnsi="Calibri;sans-serif"/>
          <w:b/>
          <w:color w:val="000000"/>
          <w:sz w:val="24"/>
        </w:rPr>
      </w:pPr>
      <w:r>
        <w:rPr>
          <w:rFonts w:ascii="Calibri;sans-serif" w:hAnsi="Calibri;sans-serif"/>
          <w:b/>
          <w:color w:val="000000"/>
          <w:sz w:val="24"/>
        </w:rPr>
        <w:t>Non-COC Involuntary Termination</w: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If, outside of the Change of Control Period, you incur a Non-COC Involuntary Termination, then subject to the terms and conditions of the Plan, you will receive:</w:t>
      </w:r>
    </w:p>
    <w:p>
      <w:pPr>
        <w:pStyle w:val="TextBody"/>
        <w:bidi w:val="0"/>
        <w:spacing w:lineRule="auto" w:line="240" w:before="0" w:after="240"/>
        <w:jc w:val="both"/>
        <w:rPr/>
      </w:pPr>
      <w:r>
        <w:rPr>
          <w:rFonts w:ascii="Calibri;sans-serif" w:hAnsi="Calibri;sans-serif"/>
          <w:b/>
          <w:color w:val="000000"/>
          <w:sz w:val="24"/>
        </w:rPr>
        <w:t>1.</w:t>
      </w:r>
      <w:r>
        <w:rPr>
          <w:rFonts w:ascii="Calibri;sans-serif" w:hAnsi="Calibri;sans-serif"/>
          <w:b/>
          <w:color w:val="000000"/>
          <w:sz w:val="24"/>
        </w:rPr>
        <w:t>Cash Severance Benefits</w:t>
      </w:r>
      <w:r>
        <w:rPr>
          <w:rFonts w:ascii="Calibri;sans-serif" w:hAnsi="Calibri;sans-serif"/>
          <w:b w:val="false"/>
          <w:color w:val="000000"/>
          <w:sz w:val="24"/>
        </w:rPr>
        <w:t>. An aggregate amount equal to 75% of your annual base salary in effect as of the date of your Non-COC Involuntary Termination paid in equal installments over a period of nine (9) months following your termination date.</w:t>
      </w:r>
    </w:p>
    <w:p>
      <w:pPr>
        <w:pStyle w:val="TextBody"/>
        <w:bidi w:val="0"/>
        <w:spacing w:lineRule="auto" w:line="240" w:before="0" w:after="240"/>
        <w:jc w:val="both"/>
        <w:rPr/>
      </w:pPr>
      <w:r>
        <w:rPr>
          <w:rFonts w:ascii="Calibri;sans-serif" w:hAnsi="Calibri;sans-serif"/>
          <w:b/>
          <w:color w:val="000000"/>
          <w:sz w:val="24"/>
        </w:rPr>
        <w:t>2.</w:t>
      </w:r>
      <w:r>
        <w:rPr>
          <w:rFonts w:ascii="Calibri;sans-serif" w:hAnsi="Calibri;sans-serif"/>
          <w:b/>
          <w:color w:val="000000"/>
          <w:sz w:val="24"/>
        </w:rPr>
        <w:t>Continued Medical Benefits</w:t>
      </w:r>
      <w:r>
        <w:rPr>
          <w:rFonts w:ascii="Calibri;sans-serif" w:hAnsi="Calibri;sans-serif"/>
          <w:b w:val="false"/>
          <w:color w:val="000000"/>
          <w:sz w:val="24"/>
        </w:rPr>
        <w:t xml:space="preserve">. Payment by the Company of continued health coverage under COBRA for a period of nine (9) months following your termination of employment. Notwithstanding the foregoing, if you are not employed in the United States, the benefit under </w:t>
      </w: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STANDARD BIOTOOLS INC. 2023 CHANGE OF CONTROL</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6055"/>
                <wp:effectExtent l="0" t="0" r="0" b="0"/>
                <wp:wrapNone/>
                <wp:docPr id="45" name="Frame43"/>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A-1</w:t>
                      </w:r>
                    </w:p>
                  </w:txbxContent>
                </v:textbox>
                <w10:wrap type="none"/>
              </v:rect>
            </w:pict>
          </mc:Fallback>
        </mc:AlternateContent>
      </w: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AND SEVERANCE PLAN AND SUMMARY PLAN</w:t>
      </w: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DESCRIPTION – FORM OF ELT PARTICIPATION AGREEMENT</w: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this paragraph will be a regional equivalent to COBRA determined by the Administrator in its sole discretion.</w:t>
      </w:r>
    </w:p>
    <w:p>
      <w:pPr>
        <w:pStyle w:val="TextBody"/>
        <w:bidi w:val="0"/>
        <w:spacing w:lineRule="auto" w:line="240" w:before="0" w:after="240"/>
        <w:jc w:val="both"/>
        <w:rPr/>
      </w:pPr>
      <w:r>
        <w:rPr>
          <w:rFonts w:ascii="Calibri;sans-serif" w:hAnsi="Calibri;sans-serif"/>
          <w:b/>
          <w:color w:val="000000"/>
          <w:sz w:val="24"/>
        </w:rPr>
        <w:t>3.</w:t>
      </w:r>
      <w:r>
        <w:rPr>
          <w:rFonts w:ascii="Calibri;sans-serif" w:hAnsi="Calibri;sans-serif"/>
          <w:b/>
          <w:color w:val="000000"/>
          <w:sz w:val="24"/>
        </w:rPr>
        <w:t>Outplacement Services</w:t>
      </w:r>
      <w:r>
        <w:rPr>
          <w:rFonts w:ascii="Calibri;sans-serif" w:hAnsi="Calibri;sans-serif"/>
          <w:b w:val="false"/>
          <w:color w:val="000000"/>
          <w:sz w:val="24"/>
        </w:rPr>
        <w:t xml:space="preserve">. Outplacement services as described in Section 4.3 of the Plan. </w:t>
      </w:r>
    </w:p>
    <w:p>
      <w:pPr>
        <w:pStyle w:val="TextBody"/>
        <w:bidi w:val="0"/>
        <w:spacing w:lineRule="auto" w:line="240" w:before="0" w:after="240"/>
        <w:jc w:val="left"/>
        <w:rPr>
          <w:rFonts w:ascii="Calibri;sans-serif" w:hAnsi="Calibri;sans-serif"/>
          <w:b/>
          <w:color w:val="000000"/>
          <w:sz w:val="24"/>
        </w:rPr>
      </w:pPr>
      <w:r>
        <w:rPr>
          <w:rFonts w:ascii="Calibri;sans-serif" w:hAnsi="Calibri;sans-serif"/>
          <w:b/>
          <w:color w:val="000000"/>
          <w:sz w:val="24"/>
        </w:rPr>
        <w:t>COC Involuntary Termination</w: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If, during the Change of Control Period, you incur a COC Involuntary Termination, then subject to the terms and conditions of the Plan, you will receive:</w:t>
      </w:r>
    </w:p>
    <w:p>
      <w:pPr>
        <w:pStyle w:val="TextBody"/>
        <w:bidi w:val="0"/>
        <w:spacing w:lineRule="auto" w:line="240" w:before="0" w:after="240"/>
        <w:jc w:val="both"/>
        <w:rPr/>
      </w:pPr>
      <w:r>
        <w:rPr>
          <w:rFonts w:ascii="Calibri;sans-serif" w:hAnsi="Calibri;sans-serif"/>
          <w:b/>
          <w:color w:val="000000"/>
          <w:sz w:val="24"/>
        </w:rPr>
        <w:t>4.</w:t>
      </w:r>
      <w:r>
        <w:rPr>
          <w:rFonts w:ascii="Calibri;sans-serif" w:hAnsi="Calibri;sans-serif"/>
          <w:b/>
          <w:color w:val="000000"/>
          <w:sz w:val="24"/>
        </w:rPr>
        <w:t>Cash Severance Benefits</w:t>
      </w:r>
      <w:r>
        <w:rPr>
          <w:rFonts w:ascii="Calibri;sans-serif" w:hAnsi="Calibri;sans-serif"/>
          <w:b w:val="false"/>
          <w:color w:val="000000"/>
          <w:sz w:val="24"/>
        </w:rPr>
        <w:t>.</w:t>
      </w:r>
    </w:p>
    <w:p>
      <w:pPr>
        <w:pStyle w:val="TextBody"/>
        <w:bidi w:val="0"/>
        <w:spacing w:lineRule="auto" w:line="240" w:before="0" w:after="240"/>
        <w:ind w:left="0" w:right="0" w:hanging="446"/>
        <w:jc w:val="both"/>
        <w:rPr>
          <w:rFonts w:ascii="Calibri;sans-serif" w:hAnsi="Calibri;sans-serif"/>
          <w:b w:val="false"/>
          <w:color w:val="000000"/>
          <w:sz w:val="24"/>
        </w:rPr>
      </w:pPr>
      <w:r>
        <w:rPr>
          <w:rFonts w:ascii="Calibri;sans-serif" w:hAnsi="Calibri;sans-serif"/>
          <w:b w:val="false"/>
          <w:color w:val="000000"/>
          <w:sz w:val="24"/>
        </w:rPr>
        <w:t>a.A lump-sum payment equal to 150% of the sum of (x) your annual base salary (as in effect immediately prior to the Change of Control or your COC Involuntary Termination, whichever is greater), plus (y) the greater of (A) your annual target bonus (as in effect immediately prior to the Change of Control or your COC Involuntary Termination, whichever is greater) or (B) the average of the annual bonuses actually paid to you for the three (3) fiscal years preceding the year in which your COC Involuntary Termination occurs. For the avoidance of doubt, if you incurred a termination prior to a Change of Control that qualifies as a COC Involuntary Termination, then you will be entitled to a lump-sum payment of the amount calculated under the preceding sentence, less amounts already paid as cash Severance Benefits for a Non-COC Involuntary Termination.</w:t>
      </w:r>
    </w:p>
    <w:p>
      <w:pPr>
        <w:pStyle w:val="TextBody"/>
        <w:bidi w:val="0"/>
        <w:spacing w:lineRule="auto" w:line="240" w:before="0" w:after="240"/>
        <w:ind w:left="0" w:right="0" w:hanging="446"/>
        <w:jc w:val="both"/>
        <w:rPr>
          <w:rFonts w:ascii="Calibri;sans-serif" w:hAnsi="Calibri;sans-serif"/>
          <w:b w:val="false"/>
          <w:color w:val="000000"/>
          <w:sz w:val="24"/>
        </w:rPr>
      </w:pPr>
      <w:r>
        <w:rPr>
          <w:rFonts w:ascii="Calibri;sans-serif" w:hAnsi="Calibri;sans-serif"/>
          <w:b w:val="false"/>
          <w:color w:val="000000"/>
          <w:sz w:val="24"/>
        </w:rPr>
        <w:t>b.A lump sum amount equal to (i) your annual target bonus (as in effect immediately prior to the Change of Control or your COC Involuntary Termination, whichever is greater), multiplied by (ii) a fraction, the numerator of which is the number of days worked by you during the year in which the COC Involuntary Termination occurs and the denominator of which is 365.</w:t>
      </w:r>
    </w:p>
    <w:p>
      <w:pPr>
        <w:pStyle w:val="TextBody"/>
        <w:bidi w:val="0"/>
        <w:spacing w:lineRule="auto" w:line="240" w:before="0" w:after="240"/>
        <w:jc w:val="both"/>
        <w:rPr/>
      </w:pPr>
      <w:r>
        <w:rPr>
          <w:rFonts w:ascii="Calibri;sans-serif" w:hAnsi="Calibri;sans-serif"/>
          <w:b/>
          <w:color w:val="000000"/>
          <w:sz w:val="24"/>
        </w:rPr>
        <w:t>5.</w:t>
      </w:r>
      <w:r>
        <w:rPr>
          <w:rFonts w:ascii="Calibri;sans-serif" w:hAnsi="Calibri;sans-serif"/>
          <w:b/>
          <w:color w:val="000000"/>
          <w:sz w:val="24"/>
        </w:rPr>
        <w:t>Continued Medical Benefits</w:t>
      </w:r>
      <w:r>
        <w:rPr>
          <w:rFonts w:ascii="Calibri;sans-serif" w:hAnsi="Calibri;sans-serif"/>
          <w:b w:val="false"/>
          <w:color w:val="000000"/>
          <w:sz w:val="24"/>
        </w:rPr>
        <w:t>. Payment by the Company of continued health coverage under COBRA for a period of 18 months following your termination of employment. Notwithstanding the foregoing, if you are not employed in the United States, the benefit under this paragraph will be a regional equivalent to COBRA determined by the Administrator in its sole discretion.</w:t>
      </w:r>
    </w:p>
    <w:p>
      <w:pPr>
        <w:pStyle w:val="TextBody"/>
        <w:bidi w:val="0"/>
        <w:spacing w:lineRule="auto" w:line="240" w:before="0" w:after="240"/>
        <w:jc w:val="both"/>
        <w:rPr/>
      </w:pPr>
      <w:r>
        <w:rPr>
          <w:rFonts w:ascii="Calibri;sans-serif" w:hAnsi="Calibri;sans-serif"/>
          <w:b/>
          <w:color w:val="000000"/>
          <w:sz w:val="24"/>
        </w:rPr>
        <w:t>6.</w:t>
      </w:r>
      <w:r>
        <w:rPr>
          <w:rFonts w:ascii="Calibri;sans-serif" w:hAnsi="Calibri;sans-serif"/>
          <w:b/>
          <w:color w:val="000000"/>
          <w:sz w:val="24"/>
        </w:rPr>
        <w:t>Equity Award Vesting Acceleration</w:t>
      </w:r>
      <w:r>
        <w:rPr>
          <w:rFonts w:ascii="Calibri;sans-serif" w:hAnsi="Calibri;sans-serif"/>
          <w:b w:val="false"/>
          <w:color w:val="000000"/>
          <w:sz w:val="24"/>
        </w:rPr>
        <w:t xml:space="preserve">. 100% of your then-outstanding and unvested Equity Awards will become vested in full. If, however, an outstanding Equity Award is to vest and/or the amount of the award to vest is to be determined based on the achievement of performance criteria, then, unless expressly otherwise provided in the applicable Equity Award agreement, the Equity Award will vest as to 100% of the “Baseline Number of Restricted Stock Units” or “Baseline Number of Performance Units” (as defined in the Company’s grant agreements) or the equivalent measure of the number of units or shares that vest at 100% of target levels of achievement under the relevant Equity Award. Except otherwise provided in the applicable Equity Award agreement, shares owed upon such vesting (and exercise if applicable) of Equity Awards will issued to you as promptly as practicable and no more than 30 days after they become issuable (whether through the vesting acceleration alone or upon an exercise of options following such vesting acceleration). Notwithstanding the foregoing, to the extent that the payment or settlement of an Equity Award is subject to Section 409A, the Equity Award will be paid or settled in a manner that will meet the requirements of Section 409A such </w:t>
      </w: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STANDARD BIOTOOLS INC. 2023 CHANGE OF CONTROL</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6055"/>
                <wp:effectExtent l="0" t="0" r="0" b="0"/>
                <wp:wrapNone/>
                <wp:docPr id="46" name="Frame44"/>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A-2</w:t>
                      </w:r>
                    </w:p>
                  </w:txbxContent>
                </v:textbox>
                <w10:wrap type="none"/>
              </v:rect>
            </w:pict>
          </mc:Fallback>
        </mc:AlternateContent>
      </w: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AND SEVERANCE PLAN AND SUMMARY PLAN</w:t>
      </w: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DESCRIPTION – FORM OF ELT PARTICIPATION AGREEMENT</w: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that the payment or settlement will not be subject to the additional tax or interest applicable under Section 409A.</w:t>
      </w:r>
    </w:p>
    <w:p>
      <w:pPr>
        <w:pStyle w:val="TextBody"/>
        <w:bidi w:val="0"/>
        <w:spacing w:lineRule="auto" w:line="240" w:before="0" w:after="240"/>
        <w:jc w:val="both"/>
        <w:rPr/>
      </w:pPr>
      <w:r>
        <w:rPr>
          <w:rFonts w:ascii="Calibri;sans-serif" w:hAnsi="Calibri;sans-serif"/>
          <w:b/>
          <w:color w:val="000000"/>
          <w:sz w:val="24"/>
        </w:rPr>
        <w:t>7.</w:t>
      </w:r>
      <w:r>
        <w:rPr>
          <w:rFonts w:ascii="Calibri;sans-serif" w:hAnsi="Calibri;sans-serif"/>
          <w:b/>
          <w:color w:val="000000"/>
          <w:sz w:val="24"/>
        </w:rPr>
        <w:t>Outplacement Services</w:t>
      </w:r>
      <w:r>
        <w:rPr>
          <w:rFonts w:ascii="Calibri;sans-serif" w:hAnsi="Calibri;sans-serif"/>
          <w:b w:val="false"/>
          <w:color w:val="000000"/>
          <w:sz w:val="24"/>
        </w:rPr>
        <w:t xml:space="preserve">. Outplacement services as described in Section 5.4 of the Plan. </w:t>
      </w:r>
    </w:p>
    <w:p>
      <w:pPr>
        <w:pStyle w:val="TextBody"/>
        <w:bidi w:val="0"/>
        <w:spacing w:lineRule="auto" w:line="240" w:before="0" w:after="240"/>
        <w:jc w:val="left"/>
        <w:rPr>
          <w:rFonts w:ascii="Calibri;sans-serif" w:hAnsi="Calibri;sans-serif"/>
          <w:b/>
          <w:color w:val="000000"/>
          <w:sz w:val="24"/>
        </w:rPr>
      </w:pPr>
      <w:r>
        <w:rPr>
          <w:rFonts w:ascii="Calibri;sans-serif" w:hAnsi="Calibri;sans-serif"/>
          <w:b/>
          <w:color w:val="000000"/>
          <w:sz w:val="24"/>
        </w:rPr>
        <w:t>Additional Benefits</w: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In addition to the foregoing benefits, in addition to the Plan benefits described above, if, during the Change of Control Period, you incur a COC Involuntary Termination, then subject to the terms and conditions of the Plan, the Company will reimburse your reasonable attorneys’ fees incurred in connection with the review of the Release and any related separation agreements and documents, up to $5,000.</w:t>
      </w:r>
    </w:p>
    <w:p>
      <w:pPr>
        <w:pStyle w:val="TextBody"/>
        <w:bidi w:val="0"/>
        <w:spacing w:lineRule="auto" w:line="240" w:before="0" w:after="240"/>
        <w:jc w:val="left"/>
        <w:rPr>
          <w:rFonts w:ascii="Calibri;sans-serif" w:hAnsi="Calibri;sans-serif"/>
          <w:b/>
          <w:color w:val="000000"/>
          <w:sz w:val="24"/>
        </w:rPr>
      </w:pPr>
      <w:r>
        <w:rPr>
          <w:rFonts w:ascii="Calibri;sans-serif" w:hAnsi="Calibri;sans-serif"/>
          <w:b/>
          <w:color w:val="000000"/>
          <w:sz w:val="24"/>
        </w:rPr>
        <w:t>General Provisions</w: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For clarity, any severance payments provided for herein that are based on annual base salary (and any reduction to base salary constituting “Good Reason”) shall be calculated without giving effect to any temporary reduction in base salary imposed by the Company or agreed to by you in connection with any global pandemic or comparable global or U.S. emergency that threatens the Company’s economic position.</w: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In order to receive any Severance Benefits for which you otherwise become eligible under the Plan, you must sign and deliver to the Company the Release, which must have become effective and irrevocable within the requisite period set forth in the Plan.</w:t>
      </w:r>
    </w:p>
    <w:p>
      <w:pPr>
        <w:pStyle w:val="TextBody"/>
        <w:bidi w:val="0"/>
        <w:spacing w:lineRule="auto" w:line="240" w:before="0" w:after="240"/>
        <w:jc w:val="center"/>
        <w:rPr>
          <w:rFonts w:ascii="Calibri;sans-serif" w:hAnsi="Calibri;sans-serif"/>
          <w:b w:val="false"/>
          <w:i/>
          <w:color w:val="000000"/>
          <w:sz w:val="24"/>
        </w:rPr>
      </w:pPr>
      <w:r>
        <w:rPr>
          <w:rFonts w:ascii="Calibri;sans-serif" w:hAnsi="Calibri;sans-serif"/>
          <w:b w:val="false"/>
          <w:i/>
          <w:color w:val="000000"/>
          <w:sz w:val="24"/>
        </w:rPr>
        <w:t>[Remainder of This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STANDARD BIOTOOLS INC. 2023 CHANGE OF CONTROL</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6055"/>
                <wp:effectExtent l="0" t="0" r="0" b="0"/>
                <wp:wrapNone/>
                <wp:docPr id="47" name="Frame45"/>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A-3</w:t>
                      </w:r>
                    </w:p>
                  </w:txbxContent>
                </v:textbox>
                <w10:wrap type="none"/>
              </v:rect>
            </w:pict>
          </mc:Fallback>
        </mc:AlternateContent>
      </w: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AND SEVERANCE PLAN AND SUMMARY PLAN</w:t>
      </w:r>
    </w:p>
    <w:p>
      <w:pPr>
        <w:pStyle w:val="TextBody"/>
        <w:bidi w:val="0"/>
        <w:spacing w:lineRule="auto" w:line="240" w:before="0" w:after="0"/>
        <w:jc w:val="left"/>
        <w:rPr>
          <w:rFonts w:ascii="Calibri;sans-serif" w:hAnsi="Calibri;sans-serif"/>
          <w:b/>
          <w:color w:val="000000"/>
          <w:sz w:val="20"/>
        </w:rPr>
      </w:pPr>
      <w:r>
        <w:rPr>
          <w:rFonts w:ascii="Calibri;sans-serif" w:hAnsi="Calibri;sans-serif"/>
          <w:b/>
          <w:color w:val="000000"/>
          <w:sz w:val="20"/>
        </w:rPr>
        <w:t>DESCRIPTION – FORM OF ELT PARTICIPATION AGREEMENT</w:t>
      </w:r>
    </w:p>
    <w:p>
      <w:pPr>
        <w:pStyle w:val="TextBody"/>
        <w:bidi w:val="0"/>
        <w:spacing w:before="0" w:after="0"/>
        <w:jc w:val="left"/>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By your signature below, you and the Company agree that your participation in the Plan is governed by this Participation Agreement and the provisions of the Plan. Your signature below confirms that: (1) you have received a copy of the 2023 Change of Control and Severance Plan and Summary Plan Description; (2) you have carefully read this Participation Agreement and the 2023 Change of Control and Severance Plan and Summary Plan Description; (3) decisions and determinations by the Administrator under the Plan will be final and binding on you and your successors; and (4) participation in the Plan and this Participation Agreement replaces in its entirety any severance and/or change of control provisions set forth in any offer letter, employment agreement and/or Equity Award agreement, including, but not limited to, the Prior Plan.</w:t>
      </w:r>
    </w:p>
    <w:p>
      <w:pPr>
        <w:pStyle w:val="TextBody"/>
        <w:bidi w:val="0"/>
        <w:spacing w:before="0" w:after="2"/>
        <w:jc w:val="both"/>
        <w:rPr/>
      </w:pPr>
      <w:r>
        <w:rPr/>
      </w:r>
    </w:p>
    <w:tbl>
      <w:tblPr>
        <w:tblW w:w="5846" w:type="dxa"/>
        <w:jc w:val="left"/>
        <w:tblInd w:w="0" w:type="dxa"/>
        <w:tblLayout w:type="fixed"/>
        <w:tblCellMar>
          <w:top w:w="28" w:type="dxa"/>
          <w:left w:w="28" w:type="dxa"/>
          <w:bottom w:w="28" w:type="dxa"/>
          <w:right w:w="28" w:type="dxa"/>
        </w:tblCellMar>
      </w:tblPr>
      <w:tblGrid>
        <w:gridCol w:w="1359"/>
        <w:gridCol w:w="1193"/>
        <w:gridCol w:w="1198"/>
        <w:gridCol w:w="109"/>
        <w:gridCol w:w="109"/>
        <w:gridCol w:w="109"/>
        <w:gridCol w:w="517"/>
        <w:gridCol w:w="517"/>
        <w:gridCol w:w="735"/>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480"/>
              <w:jc w:val="both"/>
              <w:rPr>
                <w:rFonts w:ascii="Calibri;sans-serif" w:hAnsi="Calibri;sans-serif"/>
                <w:b/>
                <w:color w:val="000000"/>
                <w:sz w:val="24"/>
              </w:rPr>
            </w:pPr>
            <w:r>
              <w:rPr>
                <w:rFonts w:ascii="Calibri;sans-serif" w:hAnsi="Calibri;sans-serif"/>
                <w:b/>
                <w:color w:val="000000"/>
                <w:sz w:val="24"/>
              </w:rPr>
              <w:t>STANDARD BIOTOOLS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24"/>
              </w:rPr>
            </w:pPr>
            <w:r>
              <w:rPr>
                <w:rFonts w:ascii="Calibri;sans-serif" w:hAnsi="Calibri;sans-serif"/>
                <w:b/>
                <w:color w:val="000000"/>
                <w:sz w:val="24"/>
              </w:rPr>
              <w:t>PARTICIPANT</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4"/>
              </w:rPr>
            </w:pPr>
            <w:r>
              <w:rPr>
                <w:rFonts w:ascii="Calibri;sans-serif" w:hAnsi="Calibri;sans-serif"/>
                <w:b w:val="false"/>
                <w:color w:val="000000"/>
                <w:sz w:val="24"/>
              </w:rPr>
              <w:t>/s/ Michael Egholm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Calibri;sans-serif" w:hAnsi="Calibri;sans-serif"/>
                <w:b w:val="false"/>
                <w:color w:val="000000"/>
                <w:sz w:val="24"/>
              </w:rPr>
            </w:pPr>
            <w:r>
              <w:rPr>
                <w:rFonts w:ascii="Calibri;sans-serif" w:hAnsi="Calibri;sans-serif"/>
                <w:b w:val="false"/>
                <w:color w:val="000000"/>
                <w:sz w:val="24"/>
              </w:rPr>
              <w:t>/s/ Jeremy Davis</w:t>
            </w:r>
          </w:p>
        </w:tc>
      </w:tr>
      <w:tr>
        <w:trPr/>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4"/>
              </w:rPr>
            </w:pPr>
            <w:r>
              <w:rPr>
                <w:rFonts w:ascii="Calibri;sans-serif" w:hAnsi="Calibri;sans-serif"/>
                <w:b w:val="false"/>
                <w:color w:val="000000"/>
                <w:sz w:val="24"/>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4"/>
              </w:rPr>
            </w:pPr>
            <w:r>
              <w:rPr>
                <w:rFonts w:ascii="Calibri;sans-serif" w:hAnsi="Calibri;sans-serif"/>
                <w:b w:val="false"/>
                <w:color w:val="000000"/>
                <w:sz w:val="24"/>
              </w:rPr>
              <w:t>Signature</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4"/>
              </w:rPr>
            </w:pPr>
            <w:r>
              <w:rPr>
                <w:rFonts w:ascii="Calibri;sans-serif" w:hAnsi="Calibri;sans-serif"/>
                <w:b w:val="false"/>
                <w:color w:val="000000"/>
                <w:sz w:val="24"/>
              </w:rPr>
              <w:t>Michael Egholm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4"/>
              </w:rPr>
            </w:pPr>
            <w:r>
              <w:rPr>
                <w:rFonts w:ascii="Calibri;sans-serif" w:hAnsi="Calibri;sans-serif"/>
                <w:b w:val="false"/>
                <w:color w:val="000000"/>
                <w:sz w:val="24"/>
              </w:rPr>
              <w:t>Jeremy Davis</w:t>
            </w:r>
          </w:p>
        </w:tc>
      </w:tr>
      <w:tr>
        <w:trPr/>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4"/>
              </w:rPr>
            </w:pPr>
            <w:r>
              <w:rPr>
                <w:rFonts w:ascii="Calibri;sans-serif" w:hAnsi="Calibri;sans-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4"/>
              </w:rPr>
            </w:pPr>
            <w:r>
              <w:rPr>
                <w:rFonts w:ascii="Calibri;sans-serif" w:hAnsi="Calibri;sans-serif"/>
                <w:b w:val="false"/>
                <w:color w:val="000000"/>
                <w:sz w:val="24"/>
              </w:rPr>
              <w:t>Name</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4"/>
              </w:rPr>
            </w:pPr>
            <w:r>
              <w:rPr>
                <w:rFonts w:ascii="Calibri;sans-serif" w:hAnsi="Calibri;sans-serif"/>
                <w:b w:val="false"/>
                <w:color w:val="000000"/>
                <w:sz w:val="24"/>
              </w:rPr>
              <w:t>Chief Executive Officer and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4"/>
              </w:rPr>
            </w:pPr>
            <w:r>
              <w:rPr>
                <w:rFonts w:ascii="Calibri;sans-serif" w:hAnsi="Calibri;sans-serif"/>
                <w:b w:val="false"/>
                <w:color w:val="000000"/>
                <w:sz w:val="24"/>
              </w:rPr>
              <w:t>June 28, 2023</w:t>
            </w:r>
          </w:p>
        </w:tc>
      </w:tr>
      <w:tr>
        <w:trPr/>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4"/>
              </w:rPr>
            </w:pPr>
            <w:r>
              <w:rPr>
                <w:rFonts w:ascii="Calibri;sans-serif" w:hAnsi="Calibri;sans-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4"/>
              </w:rPr>
            </w:pPr>
            <w:r>
              <w:rPr>
                <w:rFonts w:ascii="Calibri;sans-serif" w:hAnsi="Calibri;sans-serif"/>
                <w:b w:val="false"/>
                <w:color w:val="000000"/>
                <w:sz w:val="24"/>
              </w:rPr>
              <w:t>Date</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Attachment: Standard BioTools Inc. 2023 Change of Control and Severance Plan and Summary Plan Description</w:t>
      </w:r>
    </w:p>
    <w:p>
      <w:pPr>
        <w:pStyle w:val="TextBody"/>
        <w:bidi w:val="0"/>
        <w:spacing w:lineRule="auto" w:line="240"/>
        <w:jc w:val="center"/>
        <w:rPr>
          <w:rFonts w:ascii="Calibri;sans-serif" w:hAnsi="Calibri;sans-serif"/>
          <w:b w:val="false"/>
          <w:i/>
          <w:color w:val="000000"/>
          <w:sz w:val="24"/>
        </w:rPr>
      </w:pPr>
      <w:r>
        <w:rPr>
          <w:rFonts w:ascii="Calibri;sans-serif" w:hAnsi="Calibri;sans-serif"/>
          <w:b w:val="false"/>
          <w:i/>
          <w:color w:val="000000"/>
          <w:sz w:val="24"/>
        </w:rPr>
        <w:t>[Signature Page to the Participation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86055"/>
                <wp:effectExtent l="0" t="0" r="0" b="0"/>
                <wp:wrapNone/>
                <wp:docPr id="48" name="Frame46"/>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A-4</w:t>
                      </w:r>
                    </w:p>
                  </w:txbxContent>
                </v:textbox>
                <w10:wrap type="none"/>
              </v:rect>
            </w:pict>
          </mc:Fallback>
        </mc:AlternateContent>
      </w:r>
    </w:p>
    <w:p>
      <w:pPr>
        <w:pStyle w:val="TextBody"/>
        <w:bidi w:val="0"/>
        <w:spacing w:lineRule="auto" w:line="288" w:before="18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THE PRESIDENT AND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SECURITIES 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Michael Egholm, certify that: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Standard BioTools Inc.;</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720"/>
        <w:jc w:val="left"/>
        <w:rPr/>
      </w:pPr>
      <w:r>
        <w:rPr/>
      </w:r>
    </w:p>
    <w:tbl>
      <w:tblPr>
        <w:tblW w:w="6112"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34"/>
        <w:gridCol w:w="134"/>
        <w:gridCol w:w="136"/>
        <w:gridCol w:w="940"/>
        <w:gridCol w:w="940"/>
        <w:gridCol w:w="13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Egholm</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Egholm</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SECURITIES 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Jeffrey Black, certify that: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Standard BioTools Inc.;</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317"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34"/>
        <w:gridCol w:w="134"/>
        <w:gridCol w:w="136"/>
        <w:gridCol w:w="704"/>
        <w:gridCol w:w="704"/>
        <w:gridCol w:w="100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Black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Black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Michael Egholm, the Chief Executive Officer of Standard BioTools Inc. (the “Company”), certify for the purposes of 18 U.S.C. Section 1350, as adopted pursuant to Section 906 of the Sarbanes-Oxley Act of 2002, that, to the best of my knowledge,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quarter ended June 30, 2023 (the “Report”) fully complies with the requirements of Section 13(a) or 15(d) of the Securities Exchange Act of 1934, as amended; and</w:t>
      </w:r>
    </w:p>
    <w:p>
      <w:pPr>
        <w:pStyle w:val="TextBody"/>
        <w:bidi w:val="0"/>
        <w:spacing w:lineRule="auto" w:line="288" w:before="180" w:after="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45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40"/>
        <w:gridCol w:w="940"/>
        <w:gridCol w:w="13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Egholm</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Egholm</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0"/>
        <w:jc w:val="left"/>
        <w:rPr/>
      </w:pPr>
      <w:r>
        <w:rPr/>
      </w:r>
    </w:p>
    <w:p>
      <w:pPr>
        <w:pStyle w:val="TextBody"/>
        <w:bidi w:val="0"/>
        <w:spacing w:before="180" w:after="283"/>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Jeffrey Black, the Chief Financial Officer of Standard BioTools Inc. (the “Company”), certify for the purposes of 18 U.S.C. Section 1350, as adopted pursuant to Section 906 of the Sarbanes-Oxley Act of 2002, that, to the best of my knowledge,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quarter ended June 30, 2023 (the “Report”) fully complies with the requirements of Section 13(a) or 15(d) of the Securities Exchange Act of 1934, as amended; and</w:t>
      </w:r>
    </w:p>
    <w:p>
      <w:pPr>
        <w:pStyle w:val="TextBody"/>
        <w:bidi w:val="0"/>
        <w:spacing w:lineRule="auto" w:line="288" w:before="180" w:after="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66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04"/>
        <w:gridCol w:w="704"/>
        <w:gridCol w:w="100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Black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Black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162194/000119312511078412/dex31.htm" TargetMode="External"/><Relationship Id="rId4" Type="http://schemas.openxmlformats.org/officeDocument/2006/relationships/hyperlink" Target="http://www.sec.gov/Archives/edgar/data/1162194/000119312522093794/d300506dex48.htm" TargetMode="External"/><Relationship Id="rId5" Type="http://schemas.openxmlformats.org/officeDocument/2006/relationships/hyperlink" Target="http://www.sec.gov/Archives/edgar/data/1162194/000119312522093794/d300506dex43.htm" TargetMode="External"/><Relationship Id="rId6" Type="http://schemas.openxmlformats.org/officeDocument/2006/relationships/hyperlink" Target="http://www.sec.gov/Archives/edgar/data/1162194/000119312516774501/d294669dex31.htm" TargetMode="External"/><Relationship Id="rId7" Type="http://schemas.openxmlformats.org/officeDocument/2006/relationships/hyperlink" Target="http://www.sec.gov/Archives/edgar/data/1162194/000114420417039703/v471897_ex3-1.htm" TargetMode="External"/><Relationship Id="rId8" Type="http://schemas.openxmlformats.org/officeDocument/2006/relationships/hyperlink" Target="http://www.sec.gov/Archives/edgar/data/1162194/000119312522096290/d314141dex36.htm" TargetMode="External"/><Relationship Id="rId9" Type="http://schemas.openxmlformats.org/officeDocument/2006/relationships/hyperlink" Target="http://www.sec.gov/Archives/edgar/data/1162194/000119312522096290/d314141dex37.htm" TargetMode="External"/><Relationship Id="rId10" Type="http://schemas.openxmlformats.org/officeDocument/2006/relationships/hyperlink" Target="https://www.sec.gov/Archives/edgar/data/1162194/000116219423000024/exhibit101-sbi_firstdata.htm" TargetMode="External"/><Relationship Id="rId11" Type="http://schemas.openxmlformats.org/officeDocument/2006/relationships/hyperlink" Target="https://www.sec.gov/Archives/edgar/data/1162194/000095014223001458/eh230358911_ex1001.htm" TargetMode="External"/><Relationship Id="rId12" Type="http://schemas.openxmlformats.org/officeDocument/2006/relationships/hyperlink" Target="https://www.sec.gov/Archives/edgar/data/1162194/000095014223001458/eh230358911_ex1002.htm" TargetMode="External"/><Relationship Id="rId13" Type="http://schemas.openxmlformats.org/officeDocument/2006/relationships/hyperlink" Target="https://www.sec.gov/Archives/edgar/data/1162194/000095014223001458/eh230358911_ex1003.htm" TargetMode="External"/><Relationship Id="rId14" Type="http://schemas.openxmlformats.org/officeDocument/2006/relationships/hyperlink" Target="https://www.sec.gov/Archives/edgar/data/1162194/000116219423000033/exhibit101-standardbiotool.htm" TargetMode="External"/><Relationship Id="rId15" Type="http://schemas.openxmlformats.org/officeDocument/2006/relationships/hyperlink" Target="https://www.sec.gov/Archives/edgar/data/1162194/000116219423000053/formofpsuawardagreement.htm" TargetMode="External"/><Relationship Id="rId16" Type="http://schemas.openxmlformats.org/officeDocument/2006/relationships/hyperlink" Target="https://www.sec.gov/Archives/edgar/data/1162194/000116219423000053/a2023changeofcontrolandsev.htm" TargetMode="External"/><Relationship Id="rId17" Type="http://schemas.openxmlformats.org/officeDocument/2006/relationships/hyperlink" Target="https://www.sec.gov/Archives/edgar/data/1162194/000116219423000053/a2023severanceplanparticip.htm" TargetMode="External"/><Relationship Id="rId18" Type="http://schemas.openxmlformats.org/officeDocument/2006/relationships/hyperlink" Target="https://www.sec.gov/Archives/edgar/data/1162194/000116219423000053/a2023severanceplanparticip.htm" TargetMode="External"/><Relationship Id="rId19" Type="http://schemas.openxmlformats.org/officeDocument/2006/relationships/image" Target="media/image2.pn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20219</Words>
  <Characters>110417</Characters>
  <CharactersWithSpaces>129050</CharactersWithSpaces>
  <Paragraphs>2897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