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77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774430"/>
                    </a:xfrm>
                    <a:prstGeom prst="rect">
                      <a:avLst/>
                    </a:prstGeom>
                    <a:noFill/>
                  </pic:spPr>
                </pic:pic>
              </a:graphicData>
            </a:graphic>
          </wp:anchor>
        </w:drawing>
      </w:r>
    </w:p>
    <w:p>
      <w:pPr>
        <w:spacing w:after="0" w:line="50" w:lineRule="exact"/>
        <w:rPr>
          <w:sz w:val="24"/>
          <w:szCs w:val="24"/>
          <w:color w:val="auto"/>
        </w:rPr>
      </w:pPr>
    </w:p>
    <w:p>
      <w:pPr>
        <w:sectPr>
          <w:pgSz w:w="11900" w:h="16883"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88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04/28/2022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83"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83"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04/28/2022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27,600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2.4</w:t>
            </w:r>
            <w:r>
              <w:rPr>
                <w:rFonts w:ascii="Times New Roman" w:cs="Times New Roman" w:eastAsia="Times New Roman" w:hAnsi="Times New Roman"/>
                <w:sz w:val="11"/>
                <w:szCs w:val="11"/>
                <w:color w:val="008000"/>
                <w:w w:val="87"/>
              </w:rPr>
              <w:t>(1)(5)</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9,112,438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Borders>
              <w:bottom w:val="single" w:sz="8" w:color="2C2C2C"/>
            </w:tcBorders>
            <w:gridSpan w:val="5"/>
            <w:vMerge w:val="continue"/>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04/29/2022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247,400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34"/>
                <w:szCs w:val="34"/>
                <w:color w:val="000000"/>
                <w:w w:val="84"/>
                <w:vertAlign w:val="subscript"/>
              </w:rPr>
              <w:t>$</w:t>
            </w:r>
            <w:r>
              <w:rPr>
                <w:rFonts w:ascii="Times New Roman" w:cs="Times New Roman" w:eastAsia="Times New Roman" w:hAnsi="Times New Roman"/>
                <w:sz w:val="34"/>
                <w:szCs w:val="34"/>
                <w:color w:val="0000FF"/>
                <w:w w:val="84"/>
                <w:vertAlign w:val="subscript"/>
              </w:rPr>
              <w:t>2.66</w:t>
            </w:r>
            <w:r>
              <w:rPr>
                <w:rFonts w:ascii="Times New Roman" w:cs="Times New Roman" w:eastAsia="Times New Roman" w:hAnsi="Times New Roman"/>
                <w:sz w:val="11"/>
                <w:szCs w:val="11"/>
                <w:color w:val="008000"/>
                <w:w w:val="84"/>
              </w:rPr>
              <w:t>(3)(5)</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9,359,838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05/02/2022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34"/>
                <w:szCs w:val="34"/>
                <w:color w:val="000000"/>
                <w:w w:val="84"/>
                <w:vertAlign w:val="subscript"/>
              </w:rPr>
              <w:t>$</w:t>
            </w:r>
            <w:r>
              <w:rPr>
                <w:rFonts w:ascii="Times New Roman" w:cs="Times New Roman" w:eastAsia="Times New Roman" w:hAnsi="Times New Roman"/>
                <w:sz w:val="34"/>
                <w:szCs w:val="34"/>
                <w:color w:val="0000FF"/>
                <w:w w:val="84"/>
                <w:vertAlign w:val="subscript"/>
              </w:rPr>
              <w:t>2.81</w:t>
            </w:r>
            <w:r>
              <w:rPr>
                <w:rFonts w:ascii="Times New Roman" w:cs="Times New Roman" w:eastAsia="Times New Roman" w:hAnsi="Times New Roman"/>
                <w:sz w:val="11"/>
                <w:szCs w:val="11"/>
                <w:color w:val="008000"/>
                <w:w w:val="84"/>
              </w:rPr>
              <w:t>(4)(5)</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9,484,838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0" w:type="dxa"/>
            <w:vAlign w:val="bottom"/>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4"/>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Caligan Partners LP ("Caligan") and David Johnson (together with Caligan, the "Reporting Persons") on the transaction date for prices ranging from $2.37 to $2.44.</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David Johnson is a Partner of Caligan and a Managing Member of Caligan Partners GP LLC, the general partner of Caligan.</w:t>
      </w:r>
    </w:p>
    <w:p>
      <w:pPr>
        <w:sectPr>
          <w:pgSz w:w="11900" w:h="16883"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the Reporting Persons on the transaction date for prices ranging from $2.57 to $2.70.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the Reporting Persons on the transaction date for prices ranging from $ 2.71 to $2.89.</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hereby undertake to provide upon request of the staff of the Securities and Exchange Commission full information regarding the number of shares sold at each separate price.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3"/>
          <w:szCs w:val="13"/>
          <w:color w:val="008000"/>
        </w:rPr>
        <w:t>The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Caligan Partners LP, By: /s/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9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David Edward Johnson,</w:t>
            </w:r>
          </w:p>
        </w:tc>
        <w:tc>
          <w:tcPr>
            <w:tcW w:w="160" w:type="dxa"/>
            <w:vAlign w:val="bottom"/>
          </w:tcPr>
          <w:p>
            <w:pPr>
              <w:spacing w:after="0"/>
              <w:rPr>
                <w:sz w:val="16"/>
                <w:szCs w:val="16"/>
                <w:color w:val="auto"/>
              </w:rPr>
            </w:pP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05/02/2022</w:t>
            </w:r>
          </w:p>
        </w:tc>
      </w:tr>
      <w:tr>
        <w:trPr>
          <w:trHeight w:val="193"/>
        </w:trPr>
        <w:tc>
          <w:tcPr>
            <w:tcW w:w="16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Partner</w:t>
            </w:r>
          </w:p>
        </w:tc>
        <w:tc>
          <w:tcPr>
            <w:tcW w:w="4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05/02/2022</w:t>
            </w: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4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0"/>
      </w:cols>
      <w:pgMar w:left="500" w:top="12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2022-05-02T18:45:52Z</dcterms:created>
  <dcterms:modified xsi:type="dcterms:W3CDTF">2022-05-02T18:45:52Z</dcterms:modified>
</cp:coreProperties>
</file>