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Casdin Partners Master Fund,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STANDARD BIOTOOLS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11/24/2025</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8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11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11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8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40" w:type="dxa"/>
            <w:vAlign w:val="bottom"/>
            <w:tcBorders>
              <w:top w:val="single" w:sz="8" w:color="2C2C2C"/>
            </w:tcBorders>
          </w:tcPr>
          <w:p>
            <w:pPr>
              <w:spacing w:after="0"/>
              <w:rPr>
                <w:sz w:val="7"/>
                <w:szCs w:val="7"/>
                <w:color w:val="auto"/>
              </w:rPr>
            </w:pPr>
          </w:p>
        </w:tc>
        <w:tc>
          <w:tcPr>
            <w:tcW w:w="10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8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84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8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18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11/24/2025</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150,000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1.4325</w:t>
            </w:r>
            <w:r>
              <w:rPr>
                <w:rFonts w:ascii="Times New Roman" w:cs="Times New Roman" w:eastAsia="Times New Roman" w:hAnsi="Times New Roman"/>
                <w:sz w:val="22"/>
                <w:szCs w:val="22"/>
                <w:color w:val="008000"/>
                <w:vertAlign w:val="superscript"/>
              </w:rPr>
              <w:t>(1)</w:t>
            </w:r>
          </w:p>
        </w:tc>
        <w:tc>
          <w:tcPr>
            <w:tcW w:w="1060" w:type="dxa"/>
            <w:vAlign w:val="bottom"/>
            <w:vMerge w:val="restart"/>
          </w:tcPr>
          <w:p>
            <w:pPr>
              <w:jc w:val="center"/>
              <w:ind w:left="14"/>
              <w:spacing w:after="0"/>
              <w:rPr>
                <w:sz w:val="20"/>
                <w:szCs w:val="20"/>
                <w:color w:val="auto"/>
              </w:rPr>
            </w:pPr>
            <w:r>
              <w:rPr>
                <w:rFonts w:ascii="Times New Roman" w:cs="Times New Roman" w:eastAsia="Times New Roman" w:hAnsi="Times New Roman"/>
                <w:sz w:val="17"/>
                <w:szCs w:val="17"/>
                <w:color w:val="0000FF"/>
              </w:rPr>
              <w:t>64,200,000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1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800" w:type="dxa"/>
            <w:vAlign w:val="bottom"/>
            <w:tcBorders>
              <w:bottom w:val="single" w:sz="8" w:color="2C2C2C"/>
            </w:tcBorders>
            <w:vMerge w:val="continue"/>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8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18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11/25/2025</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7,550,000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1.3031</w:t>
            </w:r>
            <w:r>
              <w:rPr>
                <w:rFonts w:ascii="Times New Roman" w:cs="Times New Roman" w:eastAsia="Times New Roman" w:hAnsi="Times New Roman"/>
                <w:sz w:val="22"/>
                <w:szCs w:val="22"/>
                <w:color w:val="008000"/>
                <w:vertAlign w:val="superscript"/>
              </w:rPr>
              <w:t>(2)</w:t>
            </w:r>
          </w:p>
        </w:tc>
        <w:tc>
          <w:tcPr>
            <w:tcW w:w="1060" w:type="dxa"/>
            <w:vAlign w:val="bottom"/>
            <w:vMerge w:val="restart"/>
          </w:tcPr>
          <w:p>
            <w:pPr>
              <w:jc w:val="center"/>
              <w:ind w:left="14"/>
              <w:spacing w:after="0"/>
              <w:rPr>
                <w:sz w:val="20"/>
                <w:szCs w:val="20"/>
                <w:color w:val="auto"/>
              </w:rPr>
            </w:pPr>
            <w:r>
              <w:rPr>
                <w:rFonts w:ascii="Times New Roman" w:cs="Times New Roman" w:eastAsia="Times New Roman" w:hAnsi="Times New Roman"/>
                <w:sz w:val="17"/>
                <w:szCs w:val="17"/>
                <w:color w:val="0000FF"/>
              </w:rPr>
              <w:t>71,750,000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1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800" w:type="dxa"/>
            <w:vAlign w:val="bottom"/>
            <w:tcBorders>
              <w:bottom w:val="single" w:sz="8" w:color="2C2C2C"/>
            </w:tcBorders>
            <w:vMerge w:val="continue"/>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8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2,901,062</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(4)</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80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51" w:lineRule="exact"/>
        <w:rPr>
          <w:sz w:val="24"/>
          <w:szCs w:val="24"/>
          <w:color w:val="auto"/>
        </w:rPr>
      </w:pPr>
    </w:p>
    <w:p>
      <w:pPr>
        <w:sectPr>
          <w:pgSz w:w="11900" w:h="16838" w:orient="portrait"/>
          <w:cols w:equalWidth="0" w:num="1">
            <w:col w:w="11080"/>
          </w:cols>
          <w:pgMar w:left="460" w:top="219" w:right="359" w:bottom="0" w:gutter="0" w:footer="0" w:header="0"/>
          <w:type w:val="continuous"/>
        </w:sectPr>
      </w:pPr>
    </w:p>
    <w:p>
      <w:pPr>
        <w:spacing w:after="0" w:line="69"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$0.001 par value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$0.001 par value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20" w:lineRule="exact"/>
        <w:rPr>
          <w:sz w:val="24"/>
          <w:szCs w:val="24"/>
          <w:color w:val="auto"/>
        </w:rPr>
      </w:pPr>
      <w:r>
        <w:rPr>
          <w:sz w:val="24"/>
          <w:szCs w:val="24"/>
          <w:color w:val="auto"/>
        </w:rPr>
        <w:br w:type="column"/>
      </w:r>
    </w:p>
    <w:p>
      <w:pPr>
        <w:spacing w:after="0"/>
        <w:tabs>
          <w:tab w:leader="none" w:pos="1340" w:val="left"/>
          <w:tab w:leader="none" w:pos="1900" w:val="left"/>
        </w:tabs>
        <w:rPr>
          <w:sz w:val="20"/>
          <w:szCs w:val="20"/>
          <w:color w:val="auto"/>
        </w:rPr>
      </w:pPr>
      <w:r>
        <w:rPr>
          <w:rFonts w:ascii="Times New Roman" w:cs="Times New Roman" w:eastAsia="Times New Roman" w:hAnsi="Times New Roman"/>
          <w:sz w:val="17"/>
          <w:szCs w:val="17"/>
          <w:color w:val="0000FF"/>
        </w:rPr>
        <w:t>13,939,637</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24"/>
          <w:szCs w:val="24"/>
          <w:color w:val="0000FF"/>
          <w:vertAlign w:val="superscript"/>
        </w:rPr>
        <w:t>See</w:t>
      </w:r>
    </w:p>
    <w:p>
      <w:pPr>
        <w:ind w:left="19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(5)</w:t>
      </w:r>
    </w:p>
    <w:p>
      <w:pPr>
        <w:spacing w:after="0" w:line="28" w:lineRule="exact"/>
        <w:rPr>
          <w:sz w:val="24"/>
          <w:szCs w:val="24"/>
          <w:color w:val="auto"/>
        </w:rPr>
      </w:pPr>
    </w:p>
    <w:p>
      <w:pPr>
        <w:ind w:left="40"/>
        <w:spacing w:after="0"/>
        <w:tabs>
          <w:tab w:leader="none" w:pos="1340" w:val="left"/>
          <w:tab w:leader="none" w:pos="1900" w:val="left"/>
        </w:tabs>
        <w:rPr>
          <w:sz w:val="20"/>
          <w:szCs w:val="20"/>
          <w:color w:val="auto"/>
        </w:rPr>
      </w:pPr>
      <w:r>
        <w:rPr>
          <w:rFonts w:ascii="Times New Roman" w:cs="Times New Roman" w:eastAsia="Times New Roman" w:hAnsi="Times New Roman"/>
          <w:sz w:val="17"/>
          <w:szCs w:val="17"/>
          <w:color w:val="0000FF"/>
        </w:rPr>
        <w:t>2,744,219</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24"/>
          <w:szCs w:val="24"/>
          <w:color w:val="0000FF"/>
          <w:vertAlign w:val="superscript"/>
        </w:rPr>
        <w:t>See</w:t>
      </w:r>
    </w:p>
    <w:p>
      <w:pPr>
        <w:ind w:left="19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p>
      <w:pPr>
        <w:spacing w:after="0" w:line="123" w:lineRule="exact"/>
        <w:rPr>
          <w:sz w:val="24"/>
          <w:szCs w:val="24"/>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Casdin Partners Master Fund,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2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Casdin Partners GP,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6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4"/>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Casdin Capital,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6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180" w:type="dxa"/>
            <w:vAlign w:val="bottom"/>
            <w:gridSpan w:val="2"/>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Casdin Eli</w:t>
              </w:r>
            </w:hyperlink>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6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CASDIN PRIVATE GROWTH EQUITY</w:t>
        </w:r>
      </w:hyperlink>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FUND GP,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Casdin Private Growth Equity Fund II GP,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Casdin Private Growth Equity Fund 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54"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9979"/>
          </w:cols>
          <w:pgMar w:left="480" w:top="167" w:right="1440" w:bottom="0" w:gutter="0" w:footer="0" w:header="0"/>
        </w:sectPr>
      </w:pPr>
    </w:p>
    <w:bookmarkStart w:id="2" w:name="page3"/>
    <w:bookmarkEnd w:id="2"/>
    <w:p>
      <w:pPr>
        <w:ind w:left="8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Casdin Private Growth Equity Fund,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-134620</wp:posOffset>
            </wp:positionV>
            <wp:extent cx="2809240" cy="16205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1620520"/>
                    </a:xfrm>
                    <a:prstGeom prst="rect">
                      <a:avLst/>
                    </a:prstGeom>
                    <a:noFill/>
                  </pic:spPr>
                </pic:pic>
              </a:graphicData>
            </a:graphic>
          </wp:anchor>
        </w:drawing>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$1.4290 to $1.4396.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2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$1.30 to $1.3843.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5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Master Fund, L.P. (the "Master Fund") and may be deemed to be indirectly beneficially owned by (i) Casdin Capital, LLC ("Casdin"), the investment adviser to the Master Fund, (ii) Casdin Partners GP, LLC (the "GP"), the general partner of the Master Fund, and (iii) Eli Casdin, the managing member of Casdin and the GP.</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Eli Casdin.</w:t>
      </w:r>
    </w:p>
    <w:p>
      <w:pPr>
        <w:spacing w:after="0" w:line="50" w:lineRule="exact"/>
        <w:rPr>
          <w:rFonts w:ascii="Times New Roman" w:cs="Times New Roman" w:eastAsia="Times New Roman" w:hAnsi="Times New Roman"/>
          <w:sz w:val="13"/>
          <w:szCs w:val="13"/>
          <w:color w:val="008000"/>
        </w:rPr>
      </w:pPr>
    </w:p>
    <w:p>
      <w:pPr>
        <w:ind w:right="1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II, L.P. (the "Equity Fund II") and may be deemed to be indirectly beneficially owned by (i) Casdin, the investment adviser to the Equity Fund II, and (ii) Eli Casdin, the managing member of Casdin.</w:t>
      </w:r>
    </w:p>
    <w:p>
      <w:pPr>
        <w:spacing w:after="0" w:line="7" w:lineRule="exact"/>
        <w:rPr>
          <w:rFonts w:ascii="Times New Roman" w:cs="Times New Roman" w:eastAsia="Times New Roman" w:hAnsi="Times New Roman"/>
          <w:sz w:val="13"/>
          <w:szCs w:val="13"/>
          <w:color w:val="008000"/>
        </w:rPr>
      </w:pPr>
    </w:p>
    <w:p>
      <w:pPr>
        <w:ind w:right="20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L.P. (the "Equity Fund") and may be deemed to be indirectly beneficially owned by (i) Casdin, the investment adviser to the Equity Fund, and (ii) Eli Casdin, the managing member of Casdin.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008000"/>
        </w:rPr>
        <w:t>Eli Casdin has been deputized to represent the Reporting Persons on the board of directors of the Issuer. By virtue of Mr. Casdin's representation, for purposes of Section 16 of the Securities Exchange Act of 1934 (the "Exchange Act"), each of the Reporting Persons may be deemed directors by deputization of the Issuer. Each Reporting Person disclaims beneficial ownership in the securities reported on this Form 4 except to the extent of its pecuniary interest, if any, therein, and this report shall not be deemed to be an admission that such Reporting Person is the beneficial owner of such securities for purposes of Section 16 or for any other purpose.</w:t>
      </w:r>
    </w:p>
    <w:p>
      <w:pPr>
        <w:sectPr>
          <w:pgSz w:w="11900" w:h="16838" w:orient="portrait"/>
          <w:cols w:equalWidth="0" w:num="1">
            <w:col w:w="10900"/>
          </w:cols>
          <w:pgMar w:left="500" w:top="111" w:right="499" w:bottom="1440" w:gutter="0" w:footer="0" w:header="0"/>
        </w:sectPr>
      </w:pPr>
    </w:p>
    <w:p>
      <w:pPr>
        <w:spacing w:after="0" w:line="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7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66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06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12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84" w:lineRule="exact"/>
        <w:rPr>
          <w:sz w:val="20"/>
          <w:szCs w:val="20"/>
          <w:color w:val="auto"/>
        </w:rPr>
      </w:pPr>
    </w:p>
    <w:p>
      <w:pPr>
        <w:sectPr>
          <w:pgSz w:w="11900" w:h="16838" w:orient="portrait"/>
          <w:cols w:equalWidth="0" w:num="2">
            <w:col w:w="8620" w:space="120"/>
            <w:col w:w="2160"/>
          </w:cols>
          <w:pgMar w:left="500" w:top="111" w:right="499" w:bottom="1440" w:gutter="0" w:footer="0" w:header="0"/>
          <w:type w:val="continuous"/>
        </w:sectPr>
      </w:pPr>
    </w:p>
    <w:p>
      <w:pPr>
        <w:ind w:left="6540"/>
        <w:spacing w:after="0"/>
        <w:rPr>
          <w:sz w:val="20"/>
          <w:szCs w:val="20"/>
          <w:color w:val="auto"/>
        </w:rPr>
      </w:pPr>
      <w:r>
        <w:rPr>
          <w:rFonts w:ascii="Times New Roman" w:cs="Times New Roman" w:eastAsia="Times New Roman" w:hAnsi="Times New Roman"/>
          <w:sz w:val="17"/>
          <w:szCs w:val="17"/>
          <w:color w:val="0000FF"/>
        </w:rPr>
        <w:t>/s/ Eli Casdin,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093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5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GP,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61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GP II,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92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L.P., By: Casdin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Growth Equity Fund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General Partner,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1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L.P., By: Casdin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Growth Equity Fund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66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0000FF"/>
        </w:rPr>
        <w:t>11/26/2025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606" w:lineRule="exact"/>
        <w:rPr>
          <w:sz w:val="20"/>
          <w:szCs w:val="20"/>
          <w:color w:val="auto"/>
        </w:rPr>
      </w:pPr>
    </w:p>
    <w:p>
      <w:pPr>
        <w:sectPr>
          <w:pgSz w:w="11900" w:h="16838" w:orient="portrait"/>
          <w:cols w:equalWidth="0" w:num="2">
            <w:col w:w="8680" w:space="60"/>
            <w:col w:w="2160"/>
          </w:cols>
          <w:pgMar w:left="500" w:top="111" w:right="4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11"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8"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13" Type="http://schemas.openxmlformats.org/officeDocument/2006/relationships/hyperlink" Target="http://www.sec.gov/cgi-bin/browse-edgar?action=getcompany&amp;CIK=0001534265" TargetMode="External"/><Relationship Id="rId14"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534260" TargetMode="External"/><Relationship Id="rId16" Type="http://schemas.openxmlformats.org/officeDocument/2006/relationships/hyperlink" Target="http://www.sec.gov/cgi-bin/browse-edgar?action=getcompany&amp;CIK=0001534261" TargetMode="External"/><Relationship Id="rId17" Type="http://schemas.openxmlformats.org/officeDocument/2006/relationships/hyperlink" Target="http://www.sec.gov/cgi-bin/browse-edgar?action=getcompany&amp;CIK=0001534264" TargetMode="External"/><Relationship Id="rId19" Type="http://schemas.openxmlformats.org/officeDocument/2006/relationships/hyperlink" Target="http://www.sec.gov/cgi-bin/browse-edgar?action=getcompany&amp;CIK=0001864554" TargetMode="External"/><Relationship Id="rId20" Type="http://schemas.openxmlformats.org/officeDocument/2006/relationships/hyperlink" Target="http://www.sec.gov/cgi-bin/browse-edgar?action=getcompany&amp;CIK=0001919480" TargetMode="External"/><Relationship Id="rId21" Type="http://schemas.openxmlformats.org/officeDocument/2006/relationships/hyperlink" Target="http://www.sec.gov/cgi-bin/browse-edgar?action=getcompany&amp;CIK=0001891102" TargetMode="External"/><Relationship Id="rId22" Type="http://schemas.openxmlformats.org/officeDocument/2006/relationships/hyperlink" Target="http://www.sec.gov/cgi-bin/browse-edgar?action=getcompany&amp;CIK=00018230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2025-11-26T16:38:08Z</dcterms:created>
  <dcterms:modified xsi:type="dcterms:W3CDTF">2025-11-26T16:38:08Z</dcterms:modified>
</cp:coreProperties>
</file>