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16, 2023</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14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spacing w:after="0" w:line="222"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line="204"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jc w:val="center"/>
        <w:spacing w:after="0" w:line="222" w:lineRule="auto"/>
        <w:rPr>
          <w:sz w:val="20"/>
          <w:szCs w:val="20"/>
          <w:color w:val="auto"/>
        </w:rPr>
      </w:pPr>
      <w:r>
        <w:rPr>
          <w:rFonts w:ascii="Arial" w:cs="Arial" w:eastAsia="Arial" w:hAnsi="Arial"/>
          <w:sz w:val="25"/>
          <w:szCs w:val="25"/>
          <w:b w:val="1"/>
          <w:bCs w:val="1"/>
          <w:color w:val="auto"/>
        </w:rPr>
        <w:t>REGISTRATION STATEMENT</w:t>
      </w:r>
    </w:p>
    <w:p>
      <w:pPr>
        <w:jc w:val="center"/>
        <w:spacing w:after="0" w:line="204" w:lineRule="auto"/>
        <w:rPr>
          <w:sz w:val="20"/>
          <w:szCs w:val="20"/>
          <w:color w:val="auto"/>
        </w:rPr>
      </w:pPr>
      <w:r>
        <w:rPr>
          <w:rFonts w:ascii="Arial" w:cs="Arial" w:eastAsia="Arial" w:hAnsi="Arial"/>
          <w:sz w:val="18"/>
          <w:szCs w:val="18"/>
          <w:b w:val="1"/>
          <w:bCs w:val="1"/>
          <w:i w:val="1"/>
          <w:iCs w:val="1"/>
          <w:color w:val="auto"/>
        </w:rPr>
        <w:t>UNDER</w:t>
      </w:r>
    </w:p>
    <w:p>
      <w:pPr>
        <w:jc w:val="center"/>
        <w:spacing w:after="0" w:line="203"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STANDARD BIOTOOLS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859" w:right="339" w:bottom="1440" w:gutter="0" w:footer="0" w:header="0"/>
        </w:sectPr>
      </w:pPr>
    </w:p>
    <w:p>
      <w:pPr>
        <w:spacing w:after="0" w:line="246"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45" w:lineRule="exact"/>
        <w:rPr>
          <w:sz w:val="24"/>
          <w:szCs w:val="24"/>
          <w:color w:val="auto"/>
        </w:rPr>
      </w:pPr>
    </w:p>
    <w:p>
      <w:pPr>
        <w:sectPr>
          <w:pgSz w:w="11900" w:h="16838" w:orient="portrait"/>
          <w:cols w:equalWidth="0" w:num="2">
            <w:col w:w="7600" w:space="720"/>
            <w:col w:w="2920"/>
          </w:cols>
          <w:pgMar w:left="320" w:top="859" w:right="339" w:bottom="1440" w:gutter="0" w:footer="0" w:header="0"/>
          <w:type w:val="continuous"/>
        </w:sectPr>
      </w:pPr>
    </w:p>
    <w:p>
      <w:pPr>
        <w:spacing w:after="0" w:line="5"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4"/>
          <w:szCs w:val="14"/>
          <w:b w:val="1"/>
          <w:bCs w:val="1"/>
          <w:color w:val="auto"/>
        </w:rPr>
        <w:t>(I.R.S. Employer</w:t>
      </w:r>
    </w:p>
    <w:p>
      <w:pPr>
        <w:jc w:val="center"/>
        <w:ind w:right="17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320" w:space="720"/>
            <w:col w:w="3200"/>
          </w:cols>
          <w:pgMar w:left="320" w:top="859"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jc w:val="center"/>
        <w:spacing w:after="0" w:line="205" w:lineRule="auto"/>
        <w:rPr>
          <w:sz w:val="20"/>
          <w:szCs w:val="20"/>
          <w:color w:val="auto"/>
        </w:rPr>
      </w:pPr>
      <w:r>
        <w:rPr>
          <w:rFonts w:ascii="Arial" w:cs="Arial" w:eastAsia="Arial" w:hAnsi="Arial"/>
          <w:sz w:val="17"/>
          <w:szCs w:val="17"/>
          <w:b w:val="1"/>
          <w:bCs w:val="1"/>
          <w:color w:val="auto"/>
        </w:rPr>
        <w:t>South San Francisco, California 94080</w:t>
      </w: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240"/>
          </w:cols>
          <w:pgMar w:left="320" w:top="859" w:right="339" w:bottom="1440" w:gutter="0" w:footer="0" w:header="0"/>
          <w:type w:val="continuous"/>
        </w:sectPr>
      </w:pP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Standard BioTools Inc. Amended and Restated 2011 Equity Incentive Plan</w:t>
      </w:r>
    </w:p>
    <w:p>
      <w:pPr>
        <w:jc w:val="center"/>
        <w:ind w:right="-19"/>
        <w:spacing w:after="0"/>
        <w:rPr>
          <w:sz w:val="20"/>
          <w:szCs w:val="20"/>
          <w:color w:val="auto"/>
        </w:rPr>
      </w:pPr>
      <w:r>
        <w:rPr>
          <w:rFonts w:ascii="Arial" w:cs="Arial" w:eastAsia="Arial" w:hAnsi="Arial"/>
          <w:sz w:val="14"/>
          <w:szCs w:val="14"/>
          <w:b w:val="1"/>
          <w:bCs w:val="1"/>
          <w:color w:val="auto"/>
        </w:rPr>
        <w:t>(Full Title of Plan)</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Agnieszka Gallagher</w:t>
      </w:r>
    </w:p>
    <w:p>
      <w:pPr>
        <w:jc w:val="center"/>
        <w:ind w:right="-19"/>
        <w:spacing w:after="0" w:line="203" w:lineRule="auto"/>
        <w:rPr>
          <w:sz w:val="20"/>
          <w:szCs w:val="20"/>
          <w:color w:val="auto"/>
        </w:rPr>
      </w:pPr>
      <w:r>
        <w:rPr>
          <w:rFonts w:ascii="Arial" w:cs="Arial" w:eastAsia="Arial" w:hAnsi="Arial"/>
          <w:sz w:val="18"/>
          <w:szCs w:val="18"/>
          <w:b w:val="1"/>
          <w:bCs w:val="1"/>
          <w:color w:val="auto"/>
        </w:rPr>
        <w:t>Senior Vice President and Chief Legal Officer</w:t>
      </w:r>
    </w:p>
    <w:p>
      <w:pPr>
        <w:jc w:val="center"/>
        <w:ind w:right="-19"/>
        <w:spacing w:after="0" w:line="219" w:lineRule="auto"/>
        <w:rPr>
          <w:sz w:val="20"/>
          <w:szCs w:val="20"/>
          <w:color w:val="auto"/>
        </w:rPr>
      </w:pPr>
      <w:r>
        <w:rPr>
          <w:rFonts w:ascii="Arial" w:cs="Arial" w:eastAsia="Arial" w:hAnsi="Arial"/>
          <w:sz w:val="18"/>
          <w:szCs w:val="18"/>
          <w:b w:val="1"/>
          <w:bCs w:val="1"/>
          <w:color w:val="auto"/>
        </w:rPr>
        <w:t>2 Tower Place, Suite 2000</w:t>
      </w:r>
    </w:p>
    <w:p>
      <w:pPr>
        <w:jc w:val="center"/>
        <w:ind w:right="-19"/>
        <w:spacing w:after="0" w:line="204" w:lineRule="auto"/>
        <w:rPr>
          <w:sz w:val="20"/>
          <w:szCs w:val="20"/>
          <w:color w:val="auto"/>
        </w:rPr>
      </w:pPr>
      <w:r>
        <w:rPr>
          <w:rFonts w:ascii="Arial" w:cs="Arial" w:eastAsia="Arial" w:hAnsi="Arial"/>
          <w:sz w:val="18"/>
          <w:szCs w:val="18"/>
          <w:b w:val="1"/>
          <w:bCs w:val="1"/>
          <w:color w:val="auto"/>
        </w:rPr>
        <w:t>South San Francisco, CA 94080</w:t>
      </w:r>
    </w:p>
    <w:p>
      <w:pPr>
        <w:jc w:val="center"/>
        <w:ind w:right="40"/>
        <w:spacing w:after="0" w:line="193" w:lineRule="auto"/>
        <w:rPr>
          <w:sz w:val="20"/>
          <w:szCs w:val="20"/>
          <w:color w:val="auto"/>
        </w:rPr>
      </w:pPr>
      <w:r>
        <w:rPr>
          <w:rFonts w:ascii="Arial" w:cs="Arial" w:eastAsia="Arial" w:hAnsi="Arial"/>
          <w:sz w:val="18"/>
          <w:szCs w:val="18"/>
          <w:b w:val="1"/>
          <w:bCs w:val="1"/>
          <w:color w:val="auto"/>
        </w:rPr>
        <w:t>(650) 266-6000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Copy to:</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William C. Hicks, Esq.</w:t>
      </w:r>
    </w:p>
    <w:p>
      <w:pPr>
        <w:jc w:val="center"/>
        <w:ind w:right="-19"/>
        <w:spacing w:after="0" w:line="219" w:lineRule="auto"/>
        <w:rPr>
          <w:sz w:val="20"/>
          <w:szCs w:val="20"/>
          <w:color w:val="auto"/>
        </w:rPr>
      </w:pPr>
      <w:r>
        <w:rPr>
          <w:rFonts w:ascii="Arial" w:cs="Arial" w:eastAsia="Arial" w:hAnsi="Arial"/>
          <w:sz w:val="18"/>
          <w:szCs w:val="18"/>
          <w:b w:val="1"/>
          <w:bCs w:val="1"/>
          <w:color w:val="auto"/>
        </w:rPr>
        <w:t>John T. Rudy, Esq.</w:t>
      </w:r>
    </w:p>
    <w:p>
      <w:pPr>
        <w:jc w:val="center"/>
        <w:ind w:right="-19"/>
        <w:spacing w:after="0" w:line="203" w:lineRule="auto"/>
        <w:rPr>
          <w:sz w:val="20"/>
          <w:szCs w:val="20"/>
          <w:color w:val="auto"/>
        </w:rPr>
      </w:pPr>
      <w:r>
        <w:rPr>
          <w:rFonts w:ascii="Arial" w:cs="Arial" w:eastAsia="Arial" w:hAnsi="Arial"/>
          <w:sz w:val="18"/>
          <w:szCs w:val="18"/>
          <w:b w:val="1"/>
          <w:bCs w:val="1"/>
          <w:color w:val="auto"/>
        </w:rPr>
        <w:t>Mintz, Levin, Cohn, Ferris, Glovsky and Popeo, P.C.</w:t>
      </w:r>
    </w:p>
    <w:p>
      <w:pPr>
        <w:jc w:val="center"/>
        <w:ind w:right="-19"/>
        <w:spacing w:after="0" w:line="204" w:lineRule="auto"/>
        <w:rPr>
          <w:sz w:val="20"/>
          <w:szCs w:val="20"/>
          <w:color w:val="auto"/>
        </w:rPr>
      </w:pPr>
      <w:r>
        <w:rPr>
          <w:rFonts w:ascii="Arial" w:cs="Arial" w:eastAsia="Arial" w:hAnsi="Arial"/>
          <w:sz w:val="18"/>
          <w:szCs w:val="18"/>
          <w:b w:val="1"/>
          <w:bCs w:val="1"/>
          <w:color w:val="auto"/>
        </w:rPr>
        <w:t>One Financial Center</w:t>
      </w:r>
    </w:p>
    <w:p>
      <w:pPr>
        <w:jc w:val="center"/>
        <w:ind w:right="-19"/>
        <w:spacing w:after="0" w:line="219" w:lineRule="auto"/>
        <w:rPr>
          <w:sz w:val="20"/>
          <w:szCs w:val="20"/>
          <w:color w:val="auto"/>
        </w:rPr>
      </w:pPr>
      <w:r>
        <w:rPr>
          <w:rFonts w:ascii="Arial" w:cs="Arial" w:eastAsia="Arial" w:hAnsi="Arial"/>
          <w:sz w:val="18"/>
          <w:szCs w:val="18"/>
          <w:b w:val="1"/>
          <w:bCs w:val="1"/>
          <w:color w:val="auto"/>
        </w:rPr>
        <w:t>Boston, MA 02111</w:t>
      </w:r>
    </w:p>
    <w:p>
      <w:pPr>
        <w:ind w:left="5500" w:hanging="438"/>
        <w:spacing w:after="0" w:line="203" w:lineRule="auto"/>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542-6000</w:t>
      </w:r>
    </w:p>
    <w:p>
      <w:pPr>
        <w:ind w:left="4580"/>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w:t>
      </w:r>
    </w:p>
    <w:p>
      <w:pPr>
        <w:spacing w:after="0" w:line="61" w:lineRule="exact"/>
        <w:rPr>
          <w:sz w:val="24"/>
          <w:szCs w:val="24"/>
          <w:color w:val="auto"/>
        </w:rPr>
      </w:pPr>
    </w:p>
    <w:p>
      <w:pPr>
        <w:ind w:right="22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859" w:right="339" w:bottom="1440" w:gutter="0" w:footer="0" w:header="0"/>
          <w:type w:val="continuous"/>
        </w:sectPr>
      </w:pPr>
    </w:p>
    <w:p>
      <w:pPr>
        <w:spacing w:after="0" w:line="170" w:lineRule="exact"/>
        <w:rPr>
          <w:sz w:val="24"/>
          <w:szCs w:val="24"/>
          <w:color w:val="auto"/>
        </w:rPr>
      </w:pPr>
    </w:p>
    <w:p>
      <w:pPr>
        <w:ind w:left="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5880" w:space="720"/>
            <w:col w:w="4640"/>
          </w:cols>
          <w:pgMar w:left="320" w:top="859" w:right="339" w:bottom="1440" w:gutter="0" w:footer="0" w:header="0"/>
          <w:type w:val="continuous"/>
        </w:sectPr>
      </w:pPr>
    </w:p>
    <w:p>
      <w:pPr>
        <w:ind w:left="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880" w:space="720"/>
            <w:col w:w="4640"/>
          </w:cols>
          <w:pgMar w:left="320" w:top="859" w:right="339" w:bottom="1440" w:gutter="0" w:footer="0" w:header="0"/>
          <w:type w:val="continuous"/>
        </w:sectPr>
      </w:pPr>
    </w:p>
    <w:p>
      <w:pPr>
        <w:spacing w:after="0" w:line="140" w:lineRule="exact"/>
        <w:rPr>
          <w:sz w:val="24"/>
          <w:szCs w:val="24"/>
          <w:color w:val="auto"/>
        </w:rPr>
      </w:pPr>
    </w:p>
    <w:p>
      <w:pPr>
        <w:ind w:right="16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4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Registration Statement on Form S-8 (this “Registration Statement”) is being filed by Standard BioTools Inc. (f/k/a Fluidigm Corporation)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“Registrant”) for the purpose of registering an additional 4,700,000 shares of common stock, $0.001 par value per share, of the Registrant (the “Common Stock”) reserved for issuance under the Standard BioTools Inc. Amended and Restated 2011 Equity Incentive Plan (the “2011 Plan”) effective as of June 14, 2023. This registration statement registers additional securities of the same class as other securities for which a registration statement filed on Form S-</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8 (File No. 333-172206) relating to an employee benefit plan is effective. The information contained in the Registrant’s registration statements on Form S-8 filed with the Securities and Exchange Commission on February 11, 2011, March 26, 2012, March 12, 2013, February 21, 2014, February 26, 2015, March 3, 2016 (as amended on March 15, 2016), January 13, 2017, January 16, 2018, January 11, 2019, June 28, 2019, July 10, 2020 and May 28, 2021 (File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Nos. 333-172206, 333-180363, 333-187204, 333-194084, 333-202325, 333-209904, 333-215555, 333-222561, 333-229214, 333-232441, 333-239810, 333-256617) is hereby incorporated by reference pursuant to General Instruction E of Form S-8.</w:t>
      </w:r>
    </w:p>
    <w:p>
      <w:pPr>
        <w:sectPr>
          <w:pgSz w:w="11900" w:h="16838" w:orient="portrait"/>
          <w:cols w:equalWidth="0" w:num="1">
            <w:col w:w="11240"/>
          </w:cols>
          <w:pgMar w:left="320" w:top="75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00" w:type="dxa"/>
            <w:vAlign w:val="bottom"/>
            <w:gridSpan w:val="13"/>
          </w:tcPr>
          <w:p>
            <w:pPr>
              <w:ind w:left="2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740" w:type="dxa"/>
            <w:vAlign w:val="bottom"/>
          </w:tcPr>
          <w:p>
            <w:pPr>
              <w:ind w:left="380"/>
              <w:spacing w:after="0"/>
              <w:rPr>
                <w:sz w:val="20"/>
                <w:szCs w:val="20"/>
                <w:color w:val="auto"/>
              </w:rPr>
            </w:pPr>
            <w:r>
              <w:rPr>
                <w:rFonts w:ascii="Arial" w:cs="Arial" w:eastAsia="Arial" w:hAnsi="Arial"/>
                <w:sz w:val="14"/>
                <w:szCs w:val="14"/>
                <w:b w:val="1"/>
                <w:bCs w:val="1"/>
                <w:color w:val="auto"/>
              </w:rPr>
              <w:t>Incorporated by</w:t>
            </w: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rPr>
              <w:t>Date Filed</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40" w:type="dxa"/>
            <w:vAlign w:val="bottom"/>
          </w:tcPr>
          <w:p>
            <w:pPr>
              <w:ind w:left="400"/>
              <w:spacing w:after="0" w:line="145" w:lineRule="exact"/>
              <w:rPr>
                <w:sz w:val="20"/>
                <w:szCs w:val="20"/>
                <w:color w:val="auto"/>
              </w:rPr>
            </w:pPr>
            <w:r>
              <w:rPr>
                <w:rFonts w:ascii="Arial" w:cs="Arial" w:eastAsia="Arial" w:hAnsi="Arial"/>
                <w:sz w:val="14"/>
                <w:szCs w:val="14"/>
                <w:b w:val="1"/>
                <w:bCs w:val="1"/>
                <w:color w:val="auto"/>
              </w:rPr>
              <w:t>Reference From</w:t>
            </w:r>
          </w:p>
        </w:tc>
        <w:tc>
          <w:tcPr>
            <w:tcW w:w="1280" w:type="dxa"/>
            <w:vAlign w:val="bottom"/>
          </w:tcPr>
          <w:p>
            <w:pPr>
              <w:spacing w:after="0"/>
              <w:rPr>
                <w:sz w:val="12"/>
                <w:szCs w:val="12"/>
                <w:color w:val="auto"/>
              </w:rPr>
            </w:pPr>
          </w:p>
        </w:tc>
      </w:tr>
      <w:tr>
        <w:trPr>
          <w:trHeight w:val="186"/>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tcPr>
          <w:p>
            <w:pPr>
              <w:ind w:left="380"/>
              <w:spacing w:after="0"/>
              <w:rPr>
                <w:sz w:val="20"/>
                <w:szCs w:val="20"/>
                <w:color w:val="auto"/>
              </w:rPr>
            </w:pPr>
            <w:r>
              <w:rPr>
                <w:rFonts w:ascii="Arial" w:cs="Arial" w:eastAsia="Arial" w:hAnsi="Arial"/>
                <w:sz w:val="14"/>
                <w:szCs w:val="14"/>
                <w:b w:val="1"/>
                <w:bCs w:val="1"/>
                <w:color w:val="auto"/>
              </w:rPr>
              <w:t>Exhibit Number</w:t>
            </w:r>
          </w:p>
        </w:tc>
        <w:tc>
          <w:tcPr>
            <w:tcW w:w="1280" w:type="dxa"/>
            <w:vAlign w:val="bottom"/>
          </w:tcPr>
          <w:p>
            <w:pPr>
              <w:spacing w:after="0"/>
              <w:rPr>
                <w:sz w:val="16"/>
                <w:szCs w:val="16"/>
                <w:color w:val="auto"/>
              </w:rPr>
            </w:pPr>
          </w:p>
        </w:tc>
      </w:tr>
      <w:tr>
        <w:trPr>
          <w:trHeight w:val="205"/>
        </w:trPr>
        <w:tc>
          <w:tcPr>
            <w:tcW w:w="1160" w:type="dxa"/>
            <w:vAlign w:val="bottom"/>
          </w:tcPr>
          <w:p>
            <w:pPr>
              <w:spacing w:after="0" w:line="206" w:lineRule="exact"/>
              <w:rPr>
                <w:sz w:val="20"/>
                <w:szCs w:val="20"/>
                <w:color w:val="auto"/>
              </w:rPr>
            </w:pPr>
            <w:r>
              <w:rPr>
                <w:rFonts w:ascii="Arial" w:cs="Arial" w:eastAsia="Arial" w:hAnsi="Arial"/>
                <w:sz w:val="18"/>
                <w:szCs w:val="18"/>
                <w:color w:val="auto"/>
              </w:rPr>
              <w:t>4.1</w:t>
            </w:r>
          </w:p>
        </w:tc>
        <w:tc>
          <w:tcPr>
            <w:tcW w:w="5820" w:type="dxa"/>
            <w:vAlign w:val="bottom"/>
            <w:gridSpan w:val="16"/>
          </w:tcPr>
          <w:p>
            <w:pPr>
              <w:spacing w:after="0" w:line="206" w:lineRule="exact"/>
              <w:rPr>
                <w:rFonts w:ascii="Arial" w:cs="Arial" w:eastAsia="Arial" w:hAnsi="Arial"/>
                <w:sz w:val="18"/>
                <w:szCs w:val="18"/>
                <w:color w:val="0000FF"/>
              </w:rPr>
            </w:pPr>
            <w:hyperlink r:id="rId10">
              <w:r>
                <w:rPr>
                  <w:rFonts w:ascii="Arial" w:cs="Arial" w:eastAsia="Arial" w:hAnsi="Arial"/>
                  <w:sz w:val="18"/>
                  <w:szCs w:val="18"/>
                  <w:color w:val="0000FF"/>
                </w:rPr>
                <w:t>Specimen Common Stock Certificate of the Registrant.</w:t>
              </w:r>
            </w:hyperlink>
          </w:p>
        </w:tc>
        <w:tc>
          <w:tcPr>
            <w:tcW w:w="1140" w:type="dxa"/>
            <w:vAlign w:val="bottom"/>
          </w:tcPr>
          <w:p>
            <w:pPr>
              <w:jc w:val="center"/>
              <w:spacing w:after="0" w:line="206" w:lineRule="exact"/>
              <w:rPr>
                <w:sz w:val="20"/>
                <w:szCs w:val="20"/>
                <w:color w:val="auto"/>
              </w:rPr>
            </w:pPr>
            <w:r>
              <w:rPr>
                <w:rFonts w:ascii="Arial" w:cs="Arial" w:eastAsia="Arial" w:hAnsi="Arial"/>
                <w:sz w:val="18"/>
                <w:szCs w:val="18"/>
                <w:color w:val="auto"/>
                <w:w w:val="92"/>
              </w:rPr>
              <w:t>S-8</w:t>
            </w:r>
          </w:p>
        </w:tc>
        <w:tc>
          <w:tcPr>
            <w:tcW w:w="1740" w:type="dxa"/>
            <w:vAlign w:val="bottom"/>
          </w:tcPr>
          <w:p>
            <w:pPr>
              <w:jc w:val="center"/>
              <w:spacing w:after="0" w:line="206" w:lineRule="exact"/>
              <w:rPr>
                <w:sz w:val="20"/>
                <w:szCs w:val="20"/>
                <w:color w:val="auto"/>
              </w:rPr>
            </w:pPr>
            <w:r>
              <w:rPr>
                <w:rFonts w:ascii="Arial" w:cs="Arial" w:eastAsia="Arial" w:hAnsi="Arial"/>
                <w:sz w:val="18"/>
                <w:szCs w:val="18"/>
                <w:color w:val="auto"/>
                <w:w w:val="87"/>
              </w:rPr>
              <w:t>4.1</w:t>
            </w:r>
          </w:p>
        </w:tc>
        <w:tc>
          <w:tcPr>
            <w:tcW w:w="1280" w:type="dxa"/>
            <w:vAlign w:val="bottom"/>
          </w:tcPr>
          <w:p>
            <w:pPr>
              <w:jc w:val="right"/>
              <w:spacing w:after="0" w:line="206" w:lineRule="exact"/>
              <w:rPr>
                <w:sz w:val="20"/>
                <w:szCs w:val="20"/>
                <w:color w:val="auto"/>
              </w:rPr>
            </w:pPr>
            <w:r>
              <w:rPr>
                <w:rFonts w:ascii="Arial" w:cs="Arial" w:eastAsia="Arial" w:hAnsi="Arial"/>
                <w:sz w:val="18"/>
                <w:szCs w:val="18"/>
                <w:color w:val="auto"/>
              </w:rPr>
              <w:t>4/1/2022</w:t>
            </w: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5820" w:type="dxa"/>
            <w:vAlign w:val="bottom"/>
            <w:gridSpan w:val="16"/>
          </w:tcPr>
          <w:p>
            <w:pPr>
              <w:spacing w:after="0"/>
              <w:rPr>
                <w:rFonts w:ascii="Arial" w:cs="Arial" w:eastAsia="Arial" w:hAnsi="Arial"/>
                <w:sz w:val="18"/>
                <w:szCs w:val="18"/>
                <w:color w:val="0000FF"/>
              </w:rPr>
            </w:pPr>
            <w:hyperlink r:id="rId11">
              <w:r>
                <w:rPr>
                  <w:rFonts w:ascii="Arial" w:cs="Arial" w:eastAsia="Arial" w:hAnsi="Arial"/>
                  <w:sz w:val="18"/>
                  <w:szCs w:val="18"/>
                  <w:color w:val="0000FF"/>
                </w:rPr>
                <w:t>Eighth Amended and Restated Certificate of Incorporation of the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right"/>
              <w:spacing w:after="0"/>
              <w:rPr>
                <w:sz w:val="20"/>
                <w:szCs w:val="20"/>
                <w:color w:val="auto"/>
              </w:rPr>
            </w:pPr>
            <w:r>
              <w:rPr>
                <w:rFonts w:ascii="Arial" w:cs="Arial" w:eastAsia="Arial" w:hAnsi="Arial"/>
                <w:sz w:val="18"/>
                <w:szCs w:val="18"/>
                <w:color w:val="auto"/>
              </w:rPr>
              <w:t>3/28/2011</w:t>
            </w:r>
          </w:p>
        </w:tc>
      </w:tr>
      <w:tr>
        <w:trPr>
          <w:trHeight w:val="169"/>
        </w:trPr>
        <w:tc>
          <w:tcPr>
            <w:tcW w:w="1160" w:type="dxa"/>
            <w:vAlign w:val="bottom"/>
          </w:tcPr>
          <w:p>
            <w:pPr>
              <w:spacing w:after="0"/>
              <w:rPr>
                <w:sz w:val="14"/>
                <w:szCs w:val="14"/>
                <w:color w:val="auto"/>
              </w:rPr>
            </w:pPr>
          </w:p>
        </w:tc>
        <w:tc>
          <w:tcPr>
            <w:tcW w:w="466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1">
              <w:r>
                <w:rPr>
                  <w:rFonts w:ascii="Arial" w:cs="Arial" w:eastAsia="Arial" w:hAnsi="Arial"/>
                  <w:sz w:val="18"/>
                  <w:szCs w:val="18"/>
                  <w:color w:val="0000FF"/>
                </w:rPr>
                <w:t>Registrant filed on February 15, 2011.</w:t>
              </w:r>
            </w:hyperlink>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5820" w:type="dxa"/>
            <w:vAlign w:val="bottom"/>
            <w:gridSpan w:val="16"/>
          </w:tcPr>
          <w:p>
            <w:pPr>
              <w:spacing w:after="0"/>
              <w:rPr>
                <w:rFonts w:ascii="Arial" w:cs="Arial" w:eastAsia="Arial" w:hAnsi="Arial"/>
                <w:sz w:val="18"/>
                <w:szCs w:val="18"/>
                <w:color w:val="0000FF"/>
                <w:w w:val="98"/>
              </w:rPr>
            </w:pPr>
            <w:hyperlink r:id="rId12">
              <w:r>
                <w:rPr>
                  <w:rFonts w:ascii="Arial" w:cs="Arial" w:eastAsia="Arial" w:hAnsi="Arial"/>
                  <w:sz w:val="18"/>
                  <w:szCs w:val="18"/>
                  <w:color w:val="0000FF"/>
                  <w:w w:val="98"/>
                </w:rPr>
                <w:t>Certificate of Amendment to the Eighth Amended and Restated Certificate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80" w:type="dxa"/>
            <w:vAlign w:val="bottom"/>
          </w:tcPr>
          <w:p>
            <w:pPr>
              <w:jc w:val="right"/>
              <w:spacing w:after="0"/>
              <w:rPr>
                <w:sz w:val="20"/>
                <w:szCs w:val="20"/>
                <w:color w:val="auto"/>
              </w:rPr>
            </w:pPr>
            <w:r>
              <w:rPr>
                <w:rFonts w:ascii="Arial" w:cs="Arial" w:eastAsia="Arial" w:hAnsi="Arial"/>
                <w:sz w:val="18"/>
                <w:szCs w:val="18"/>
                <w:color w:val="auto"/>
              </w:rPr>
              <w:t>4/1/2022</w:t>
            </w:r>
          </w:p>
        </w:tc>
      </w:tr>
      <w:tr>
        <w:trPr>
          <w:trHeight w:val="155"/>
        </w:trPr>
        <w:tc>
          <w:tcPr>
            <w:tcW w:w="1160" w:type="dxa"/>
            <w:vAlign w:val="bottom"/>
          </w:tcPr>
          <w:p>
            <w:pPr>
              <w:spacing w:after="0"/>
              <w:rPr>
                <w:sz w:val="13"/>
                <w:szCs w:val="13"/>
                <w:color w:val="auto"/>
              </w:rPr>
            </w:pPr>
          </w:p>
        </w:tc>
        <w:tc>
          <w:tcPr>
            <w:tcW w:w="53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
              <w:r>
                <w:rPr>
                  <w:rFonts w:ascii="Arial" w:cs="Arial" w:eastAsia="Arial" w:hAnsi="Arial"/>
                  <w:sz w:val="18"/>
                  <w:szCs w:val="18"/>
                  <w:color w:val="0000FF"/>
                </w:rPr>
                <w:t>of Incorporation</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5820" w:type="dxa"/>
            <w:vAlign w:val="bottom"/>
            <w:gridSpan w:val="16"/>
          </w:tcPr>
          <w:p>
            <w:pPr>
              <w:spacing w:after="0"/>
              <w:rPr>
                <w:rFonts w:ascii="Arial" w:cs="Arial" w:eastAsia="Arial" w:hAnsi="Arial"/>
                <w:sz w:val="18"/>
                <w:szCs w:val="18"/>
                <w:color w:val="0000FF"/>
                <w:w w:val="97"/>
              </w:rPr>
            </w:pPr>
            <w:hyperlink r:id="rId13">
              <w:r>
                <w:rPr>
                  <w:rFonts w:ascii="Arial" w:cs="Arial" w:eastAsia="Arial" w:hAnsi="Arial"/>
                  <w:sz w:val="18"/>
                  <w:szCs w:val="18"/>
                  <w:color w:val="0000FF"/>
                  <w:w w:val="97"/>
                </w:rPr>
                <w:t>Certificate of Designation of Rights, Preferences and Privileges of Series A</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right"/>
              <w:spacing w:after="0"/>
              <w:rPr>
                <w:sz w:val="20"/>
                <w:szCs w:val="20"/>
                <w:color w:val="auto"/>
              </w:rPr>
            </w:pPr>
            <w:r>
              <w:rPr>
                <w:rFonts w:ascii="Arial" w:cs="Arial" w:eastAsia="Arial" w:hAnsi="Arial"/>
                <w:sz w:val="18"/>
                <w:szCs w:val="18"/>
                <w:color w:val="auto"/>
              </w:rPr>
              <w:t>11/22/2016</w:t>
            </w:r>
          </w:p>
        </w:tc>
      </w:tr>
      <w:tr>
        <w:trPr>
          <w:trHeight w:val="156"/>
        </w:trPr>
        <w:tc>
          <w:tcPr>
            <w:tcW w:w="1160" w:type="dxa"/>
            <w:vAlign w:val="bottom"/>
          </w:tcPr>
          <w:p>
            <w:pPr>
              <w:spacing w:after="0"/>
              <w:rPr>
                <w:sz w:val="13"/>
                <w:szCs w:val="13"/>
                <w:color w:val="auto"/>
              </w:rPr>
            </w:pPr>
          </w:p>
        </w:tc>
        <w:tc>
          <w:tcPr>
            <w:tcW w:w="54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
              <w:r>
                <w:rPr>
                  <w:rFonts w:ascii="Arial" w:cs="Arial" w:eastAsia="Arial" w:hAnsi="Arial"/>
                  <w:sz w:val="18"/>
                  <w:szCs w:val="18"/>
                  <w:color w:val="0000FF"/>
                </w:rPr>
                <w:t>Participating Preferred Stock.</w:t>
              </w:r>
            </w:hyperlink>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5820" w:type="dxa"/>
            <w:vAlign w:val="bottom"/>
            <w:gridSpan w:val="16"/>
          </w:tcPr>
          <w:p>
            <w:pPr>
              <w:spacing w:after="0"/>
              <w:rPr>
                <w:rFonts w:ascii="Arial" w:cs="Arial" w:eastAsia="Arial" w:hAnsi="Arial"/>
                <w:sz w:val="18"/>
                <w:szCs w:val="18"/>
                <w:color w:val="0000FF"/>
              </w:rPr>
            </w:pPr>
            <w:hyperlink r:id="rId14">
              <w:r>
                <w:rPr>
                  <w:rFonts w:ascii="Arial" w:cs="Arial" w:eastAsia="Arial" w:hAnsi="Arial"/>
                  <w:sz w:val="18"/>
                  <w:szCs w:val="18"/>
                  <w:color w:val="0000FF"/>
                </w:rPr>
                <w:t>Certificate of Elimination of Series A Participating Preferred Stock of the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right"/>
              <w:spacing w:after="0"/>
              <w:rPr>
                <w:sz w:val="20"/>
                <w:szCs w:val="20"/>
                <w:color w:val="auto"/>
              </w:rPr>
            </w:pPr>
            <w:r>
              <w:rPr>
                <w:rFonts w:ascii="Arial" w:cs="Arial" w:eastAsia="Arial" w:hAnsi="Arial"/>
                <w:sz w:val="18"/>
                <w:szCs w:val="18"/>
                <w:color w:val="auto"/>
              </w:rPr>
              <w:t>8/2/2017</w:t>
            </w:r>
          </w:p>
        </w:tc>
      </w:tr>
      <w:tr>
        <w:trPr>
          <w:trHeight w:val="169"/>
        </w:trPr>
        <w:tc>
          <w:tcPr>
            <w:tcW w:w="1160" w:type="dxa"/>
            <w:vAlign w:val="bottom"/>
          </w:tcPr>
          <w:p>
            <w:pPr>
              <w:spacing w:after="0"/>
              <w:rPr>
                <w:sz w:val="14"/>
                <w:szCs w:val="14"/>
                <w:color w:val="auto"/>
              </w:rPr>
            </w:pPr>
          </w:p>
        </w:tc>
        <w:tc>
          <w:tcPr>
            <w:tcW w:w="52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4">
              <w:r>
                <w:rPr>
                  <w:rFonts w:ascii="Arial" w:cs="Arial" w:eastAsia="Arial" w:hAnsi="Arial"/>
                  <w:sz w:val="18"/>
                  <w:szCs w:val="18"/>
                  <w:color w:val="0000FF"/>
                </w:rPr>
                <w:t>Registrant</w:t>
              </w:r>
              <w:r>
                <w:rPr>
                  <w:rFonts w:ascii="Arial" w:cs="Arial" w:eastAsia="Arial" w:hAnsi="Arial"/>
                  <w:sz w:val="18"/>
                  <w:szCs w:val="18"/>
                  <w:color w:val="000000"/>
                </w:rPr>
                <w: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5820" w:type="dxa"/>
            <w:vAlign w:val="bottom"/>
            <w:gridSpan w:val="16"/>
          </w:tcPr>
          <w:p>
            <w:pPr>
              <w:spacing w:after="0"/>
              <w:rPr>
                <w:rFonts w:ascii="Arial" w:cs="Arial" w:eastAsia="Arial" w:hAnsi="Arial"/>
                <w:sz w:val="18"/>
                <w:szCs w:val="18"/>
                <w:color w:val="0000FF"/>
                <w:w w:val="98"/>
              </w:rPr>
            </w:pPr>
            <w:hyperlink r:id="rId15">
              <w:r>
                <w:rPr>
                  <w:rFonts w:ascii="Arial" w:cs="Arial" w:eastAsia="Arial" w:hAnsi="Arial"/>
                  <w:sz w:val="18"/>
                  <w:szCs w:val="18"/>
                  <w:color w:val="0000FF"/>
                  <w:w w:val="98"/>
                </w:rPr>
                <w:t>Certificate of Designations of Rights, Preferences and Privileges of Series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80" w:type="dxa"/>
            <w:vAlign w:val="bottom"/>
          </w:tcPr>
          <w:p>
            <w:pPr>
              <w:jc w:val="right"/>
              <w:spacing w:after="0"/>
              <w:rPr>
                <w:sz w:val="20"/>
                <w:szCs w:val="20"/>
                <w:color w:val="auto"/>
              </w:rPr>
            </w:pPr>
            <w:r>
              <w:rPr>
                <w:rFonts w:ascii="Arial" w:cs="Arial" w:eastAsia="Arial" w:hAnsi="Arial"/>
                <w:sz w:val="18"/>
                <w:szCs w:val="18"/>
                <w:color w:val="auto"/>
              </w:rPr>
              <w:t>4/5/2022</w:t>
            </w:r>
          </w:p>
        </w:tc>
      </w:tr>
      <w:tr>
        <w:trPr>
          <w:trHeight w:val="156"/>
        </w:trPr>
        <w:tc>
          <w:tcPr>
            <w:tcW w:w="1160" w:type="dxa"/>
            <w:vAlign w:val="bottom"/>
          </w:tcPr>
          <w:p>
            <w:pPr>
              <w:spacing w:after="0"/>
              <w:rPr>
                <w:sz w:val="13"/>
                <w:szCs w:val="13"/>
                <w:color w:val="auto"/>
              </w:rPr>
            </w:pPr>
          </w:p>
        </w:tc>
        <w:tc>
          <w:tcPr>
            <w:tcW w:w="2380" w:type="dxa"/>
            <w:vAlign w:val="bottom"/>
            <w:tcBorders>
              <w:bottom w:val="single" w:sz="8" w:color="0000FF"/>
            </w:tcBorders>
            <w:gridSpan w:val="4"/>
          </w:tcPr>
          <w:p>
            <w:pPr>
              <w:spacing w:after="0" w:line="156" w:lineRule="exact"/>
              <w:rPr>
                <w:rFonts w:ascii="Arial" w:cs="Arial" w:eastAsia="Arial" w:hAnsi="Arial"/>
                <w:sz w:val="18"/>
                <w:szCs w:val="18"/>
                <w:color w:val="0000FF"/>
                <w:highlight w:val="white"/>
                <w:w w:val="91"/>
              </w:rPr>
            </w:pPr>
            <w:hyperlink r:id="rId15">
              <w:r>
                <w:rPr>
                  <w:rFonts w:ascii="Arial" w:cs="Arial" w:eastAsia="Arial" w:hAnsi="Arial"/>
                  <w:sz w:val="18"/>
                  <w:szCs w:val="18"/>
                  <w:color w:val="0000FF"/>
                  <w:highlight w:val="white"/>
                  <w:w w:val="91"/>
                </w:rPr>
                <w:t>B-1 Convertible Preferred Stock.</w:t>
              </w:r>
            </w:hyperlink>
          </w:p>
        </w:tc>
        <w:tc>
          <w:tcPr>
            <w:tcW w:w="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gridSpan w:val="2"/>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11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5820" w:type="dxa"/>
            <w:vAlign w:val="bottom"/>
            <w:gridSpan w:val="16"/>
          </w:tcPr>
          <w:p>
            <w:pPr>
              <w:spacing w:after="0"/>
              <w:rPr>
                <w:rFonts w:ascii="Arial" w:cs="Arial" w:eastAsia="Arial" w:hAnsi="Arial"/>
                <w:sz w:val="18"/>
                <w:szCs w:val="18"/>
                <w:color w:val="0000FF"/>
                <w:w w:val="98"/>
              </w:rPr>
            </w:pPr>
            <w:hyperlink r:id="rId16">
              <w:r>
                <w:rPr>
                  <w:rFonts w:ascii="Arial" w:cs="Arial" w:eastAsia="Arial" w:hAnsi="Arial"/>
                  <w:sz w:val="18"/>
                  <w:szCs w:val="18"/>
                  <w:color w:val="0000FF"/>
                  <w:w w:val="98"/>
                </w:rPr>
                <w:t>Certificate of Designations of Rights, Preferences and Privileges of Series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80" w:type="dxa"/>
            <w:vAlign w:val="bottom"/>
          </w:tcPr>
          <w:p>
            <w:pPr>
              <w:jc w:val="right"/>
              <w:spacing w:after="0"/>
              <w:rPr>
                <w:sz w:val="20"/>
                <w:szCs w:val="20"/>
                <w:color w:val="auto"/>
              </w:rPr>
            </w:pPr>
            <w:r>
              <w:rPr>
                <w:rFonts w:ascii="Arial" w:cs="Arial" w:eastAsia="Arial" w:hAnsi="Arial"/>
                <w:sz w:val="18"/>
                <w:szCs w:val="18"/>
                <w:color w:val="auto"/>
              </w:rPr>
              <w:t>4/5/2022</w:t>
            </w:r>
          </w:p>
        </w:tc>
      </w:tr>
      <w:tr>
        <w:trPr>
          <w:trHeight w:val="156"/>
        </w:trPr>
        <w:tc>
          <w:tcPr>
            <w:tcW w:w="116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B-2 Convertible Preferred Stock.</w:t>
              </w:r>
            </w:hyperlink>
          </w:p>
        </w:tc>
        <w:tc>
          <w:tcPr>
            <w:tcW w:w="2940" w:type="dxa"/>
            <w:vAlign w:val="bottom"/>
            <w:tcBorders>
              <w:top w:val="single" w:sz="8" w:color="0000FF"/>
            </w:tcBorders>
            <w:gridSpan w:val="8"/>
          </w:tcPr>
          <w:p>
            <w:pPr>
              <w:spacing w:after="0"/>
              <w:rPr>
                <w:sz w:val="13"/>
                <w:szCs w:val="13"/>
                <w:color w:val="auto"/>
              </w:rPr>
            </w:pPr>
          </w:p>
        </w:tc>
        <w:tc>
          <w:tcPr>
            <w:tcW w:w="48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4160" w:type="dxa"/>
            <w:vAlign w:val="bottom"/>
            <w:tcBorders>
              <w:bottom w:val="single" w:sz="8" w:color="0000FF"/>
            </w:tcBorders>
            <w:gridSpan w:val="9"/>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Standard BioTools Inc.</w:t>
              </w:r>
            </w:hyperlink>
          </w:p>
        </w:tc>
        <w:tc>
          <w:tcPr>
            <w:tcW w:w="166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80" w:type="dxa"/>
            <w:vAlign w:val="bottom"/>
          </w:tcPr>
          <w:p>
            <w:pPr>
              <w:jc w:val="right"/>
              <w:spacing w:after="0"/>
              <w:rPr>
                <w:sz w:val="20"/>
                <w:szCs w:val="20"/>
                <w:color w:val="auto"/>
              </w:rPr>
            </w:pPr>
            <w:r>
              <w:rPr>
                <w:rFonts w:ascii="Arial" w:cs="Arial" w:eastAsia="Arial" w:hAnsi="Arial"/>
                <w:sz w:val="18"/>
                <w:szCs w:val="18"/>
                <w:color w:val="auto"/>
              </w:rPr>
              <w:t>4/1/2022</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3720" w:type="dxa"/>
            <w:vAlign w:val="bottom"/>
            <w:tcBorders>
              <w:bottom w:val="single" w:sz="8" w:color="auto"/>
            </w:tcBorders>
            <w:gridSpan w:val="7"/>
          </w:tcPr>
          <w:p>
            <w:pPr>
              <w:spacing w:after="0"/>
              <w:rPr>
                <w:rFonts w:ascii="Arial" w:cs="Arial" w:eastAsia="Arial" w:hAnsi="Arial"/>
                <w:sz w:val="18"/>
                <w:szCs w:val="18"/>
                <w:color w:val="auto"/>
                <w:w w:val="89"/>
              </w:rPr>
            </w:pPr>
            <w:hyperlink r:id="rId18">
              <w:r>
                <w:rPr>
                  <w:rFonts w:ascii="Arial" w:cs="Arial" w:eastAsia="Arial" w:hAnsi="Arial"/>
                  <w:sz w:val="18"/>
                  <w:szCs w:val="18"/>
                  <w:color w:val="auto"/>
                  <w:w w:val="89"/>
                </w:rPr>
                <w:t>Amended and Restated 2011 Equity Incentive Plan.</w:t>
              </w:r>
            </w:hyperlink>
          </w:p>
        </w:tc>
        <w:tc>
          <w:tcPr>
            <w:tcW w:w="2100" w:type="dxa"/>
            <w:vAlign w:val="bottom"/>
            <w:gridSpan w:val="9"/>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80" w:type="dxa"/>
            <w:vAlign w:val="bottom"/>
          </w:tcPr>
          <w:p>
            <w:pPr>
              <w:jc w:val="right"/>
              <w:spacing w:after="0"/>
              <w:rPr>
                <w:sz w:val="20"/>
                <w:szCs w:val="20"/>
                <w:color w:val="auto"/>
              </w:rPr>
            </w:pPr>
            <w:r>
              <w:rPr>
                <w:rFonts w:ascii="Arial" w:cs="Arial" w:eastAsia="Arial" w:hAnsi="Arial"/>
                <w:sz w:val="18"/>
                <w:szCs w:val="18"/>
                <w:color w:val="auto"/>
              </w:rPr>
              <w:t>6/16/2023</w:t>
            </w: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5820" w:type="dxa"/>
            <w:vAlign w:val="bottom"/>
            <w:gridSpan w:val="16"/>
          </w:tcPr>
          <w:p>
            <w:pPr>
              <w:spacing w:after="0"/>
              <w:rPr>
                <w:sz w:val="20"/>
                <w:szCs w:val="20"/>
                <w:color w:val="auto"/>
              </w:rPr>
            </w:pPr>
            <w:r>
              <w:rPr>
                <w:rFonts w:ascii="Arial" w:cs="Arial" w:eastAsia="Arial" w:hAnsi="Arial"/>
                <w:sz w:val="18"/>
                <w:szCs w:val="18"/>
                <w:color w:val="auto"/>
              </w:rPr>
              <w:t>Opinion of Mintz, Levin, Cohn, Ferris, Glovsky and Popeo, P.C.</w:t>
            </w:r>
          </w:p>
        </w:tc>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76"/>
        </w:trPr>
        <w:tc>
          <w:tcPr>
            <w:tcW w:w="116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5820" w:type="dxa"/>
            <w:vAlign w:val="bottom"/>
            <w:gridSpan w:val="16"/>
          </w:tcPr>
          <w:p>
            <w:pPr>
              <w:spacing w:after="0" w:line="176" w:lineRule="exact"/>
              <w:rPr>
                <w:sz w:val="20"/>
                <w:szCs w:val="20"/>
                <w:color w:val="auto"/>
              </w:rPr>
            </w:pPr>
            <w:r>
              <w:rPr>
                <w:rFonts w:ascii="Arial" w:cs="Arial" w:eastAsia="Arial" w:hAnsi="Arial"/>
                <w:sz w:val="18"/>
                <w:szCs w:val="18"/>
                <w:color w:val="auto"/>
                <w:w w:val="98"/>
              </w:rPr>
              <w:t>Consent of PricewaterhouseCoopers LLP, Independent Registered Public</w:t>
            </w:r>
          </w:p>
        </w:tc>
        <w:tc>
          <w:tcPr>
            <w:tcW w:w="1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1160" w:type="dxa"/>
            <w:vAlign w:val="bottom"/>
          </w:tcPr>
          <w:p>
            <w:pPr>
              <w:spacing w:after="0"/>
              <w:rPr>
                <w:sz w:val="20"/>
                <w:szCs w:val="20"/>
                <w:color w:val="auto"/>
              </w:rPr>
            </w:pPr>
          </w:p>
        </w:tc>
        <w:tc>
          <w:tcPr>
            <w:tcW w:w="5820" w:type="dxa"/>
            <w:vAlign w:val="bottom"/>
            <w:gridSpan w:val="16"/>
          </w:tcPr>
          <w:p>
            <w:pPr>
              <w:spacing w:after="0"/>
              <w:rPr>
                <w:sz w:val="20"/>
                <w:szCs w:val="20"/>
                <w:color w:val="auto"/>
              </w:rPr>
            </w:pPr>
            <w:r>
              <w:rPr>
                <w:rFonts w:ascii="Arial" w:cs="Arial" w:eastAsia="Arial" w:hAnsi="Arial"/>
                <w:sz w:val="18"/>
                <w:szCs w:val="18"/>
                <w:color w:val="auto"/>
              </w:rPr>
              <w:t>Accounting Firm.</w:t>
            </w: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8"/>
        </w:trPr>
        <w:tc>
          <w:tcPr>
            <w:tcW w:w="1160" w:type="dxa"/>
            <w:vAlign w:val="bottom"/>
          </w:tcPr>
          <w:p>
            <w:pPr>
              <w:spacing w:after="0" w:line="189" w:lineRule="exact"/>
              <w:rPr>
                <w:sz w:val="20"/>
                <w:szCs w:val="20"/>
                <w:color w:val="auto"/>
              </w:rPr>
            </w:pPr>
            <w:r>
              <w:rPr>
                <w:rFonts w:ascii="Arial" w:cs="Arial" w:eastAsia="Arial" w:hAnsi="Arial"/>
                <w:sz w:val="18"/>
                <w:szCs w:val="18"/>
                <w:color w:val="auto"/>
              </w:rPr>
              <w:t>23.2*</w:t>
            </w:r>
          </w:p>
        </w:tc>
        <w:tc>
          <w:tcPr>
            <w:tcW w:w="5820" w:type="dxa"/>
            <w:vAlign w:val="bottom"/>
            <w:gridSpan w:val="16"/>
          </w:tcPr>
          <w:p>
            <w:pPr>
              <w:spacing w:after="0" w:line="189" w:lineRule="exact"/>
              <w:rPr>
                <w:sz w:val="20"/>
                <w:szCs w:val="20"/>
                <w:color w:val="auto"/>
              </w:rPr>
            </w:pPr>
            <w:r>
              <w:rPr>
                <w:rFonts w:ascii="Arial" w:cs="Arial" w:eastAsia="Arial" w:hAnsi="Arial"/>
                <w:sz w:val="18"/>
                <w:szCs w:val="18"/>
                <w:color w:val="auto"/>
                <w:w w:val="97"/>
              </w:rPr>
              <w:t>Consent of Mintz, Levin, Cohn, Ferris, Glovsky and Popeo, P.C. (contained</w:t>
            </w:r>
          </w:p>
        </w:tc>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9"/>
        </w:trPr>
        <w:tc>
          <w:tcPr>
            <w:tcW w:w="1160" w:type="dxa"/>
            <w:vAlign w:val="bottom"/>
          </w:tcPr>
          <w:p>
            <w:pPr>
              <w:spacing w:after="0"/>
              <w:rPr>
                <w:sz w:val="19"/>
                <w:szCs w:val="19"/>
                <w:color w:val="auto"/>
              </w:rPr>
            </w:pPr>
          </w:p>
        </w:tc>
        <w:tc>
          <w:tcPr>
            <w:tcW w:w="5820" w:type="dxa"/>
            <w:vAlign w:val="bottom"/>
            <w:gridSpan w:val="16"/>
          </w:tcPr>
          <w:p>
            <w:pPr>
              <w:spacing w:after="0"/>
              <w:rPr>
                <w:sz w:val="20"/>
                <w:szCs w:val="20"/>
                <w:color w:val="auto"/>
              </w:rPr>
            </w:pPr>
            <w:r>
              <w:rPr>
                <w:rFonts w:ascii="Arial" w:cs="Arial" w:eastAsia="Arial" w:hAnsi="Arial"/>
                <w:sz w:val="18"/>
                <w:szCs w:val="18"/>
                <w:color w:val="auto"/>
              </w:rPr>
              <w:t>in Exhibit 5.1 hereto).</w:t>
            </w: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5820" w:type="dxa"/>
            <w:vAlign w:val="bottom"/>
            <w:gridSpan w:val="16"/>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5820" w:type="dxa"/>
            <w:vAlign w:val="bottom"/>
            <w:gridSpan w:val="16"/>
          </w:tcPr>
          <w:p>
            <w:pPr>
              <w:spacing w:after="0"/>
              <w:rPr>
                <w:sz w:val="20"/>
                <w:szCs w:val="20"/>
                <w:color w:val="auto"/>
              </w:rPr>
            </w:pPr>
            <w:r>
              <w:rPr>
                <w:rFonts w:ascii="Arial" w:cs="Arial" w:eastAsia="Arial" w:hAnsi="Arial"/>
                <w:sz w:val="18"/>
                <w:szCs w:val="18"/>
                <w:color w:val="auto"/>
              </w:rPr>
              <w:t>Filing Fee Table.</w:t>
            </w:r>
          </w:p>
        </w:tc>
        <w:tc>
          <w:tcPr>
            <w:tcW w:w="1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p>
    <w:p>
      <w:pPr>
        <w:spacing w:after="0" w:line="20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14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II-1</w:t>
      </w:r>
    </w:p>
    <w:p>
      <w:pPr>
        <w:sectPr>
          <w:pgSz w:w="11900" w:h="16838" w:orient="portrait"/>
          <w:cols w:equalWidth="0" w:num="1">
            <w:col w:w="11220"/>
          </w:cols>
          <w:pgMar w:left="320" w:top="756" w:right="35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w:t>
      </w:r>
    </w:p>
    <w:p>
      <w:pPr>
        <w:spacing w:after="0" w:line="10" w:lineRule="exact"/>
        <w:rPr>
          <w:sz w:val="20"/>
          <w:szCs w:val="20"/>
          <w:color w:val="auto"/>
        </w:rPr>
      </w:pPr>
    </w:p>
    <w:p>
      <w:pPr>
        <w:ind w:right="660"/>
        <w:spacing w:after="0" w:line="226" w:lineRule="auto"/>
        <w:rPr>
          <w:sz w:val="20"/>
          <w:szCs w:val="20"/>
          <w:color w:val="auto"/>
        </w:rPr>
      </w:pPr>
      <w:r>
        <w:rPr>
          <w:rFonts w:ascii="Arial" w:cs="Arial" w:eastAsia="Arial" w:hAnsi="Arial"/>
          <w:sz w:val="18"/>
          <w:szCs w:val="18"/>
          <w:color w:val="auto"/>
        </w:rPr>
        <w:t>requirements for filing on Form S-8 and has duly caused this Registration Statement to be signed on its behalf by the undersigned, thereunto duly authorized, in the City of South San Francisco, State of California on June 16, 2023.</w:t>
      </w:r>
    </w:p>
    <w:p>
      <w:pPr>
        <w:spacing w:after="0" w:line="4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STANDARD BIOTOOLS INC.</w:t>
      </w:r>
    </w:p>
    <w:p>
      <w:pPr>
        <w:spacing w:after="0" w:line="29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-635</wp:posOffset>
            </wp:positionV>
            <wp:extent cx="1332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5200"/>
        <w:spacing w:after="0" w:line="228" w:lineRule="auto"/>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Egholm, Ph.D.</w:t>
      </w:r>
    </w:p>
    <w:p>
      <w:pPr>
        <w:ind w:left="5200"/>
        <w:spacing w:after="0"/>
        <w:tabs>
          <w:tab w:leader="none" w:pos="5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8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KNOW ALL PERSONS BY THESE PRESENTS</w:t>
      </w:r>
      <w:r>
        <w:rPr>
          <w:rFonts w:ascii="Arial" w:cs="Arial" w:eastAsia="Arial" w:hAnsi="Arial"/>
          <w:sz w:val="16"/>
          <w:szCs w:val="16"/>
          <w:color w:val="auto"/>
        </w:rPr>
        <w:t>, that each person whose signature appears below hereby constitutes and appoints each of Michael Egholm,</w:t>
      </w:r>
      <w:r>
        <w:rPr>
          <w:rFonts w:ascii="Arial" w:cs="Arial" w:eastAsia="Arial" w:hAnsi="Arial"/>
          <w:sz w:val="16"/>
          <w:szCs w:val="16"/>
          <w:i w:val="1"/>
          <w:iCs w:val="1"/>
          <w:color w:val="auto"/>
        </w:rPr>
        <w:t xml:space="preserve"> </w:t>
      </w:r>
      <w:r>
        <w:rPr>
          <w:rFonts w:ascii="Arial" w:cs="Arial" w:eastAsia="Arial" w:hAnsi="Arial"/>
          <w:sz w:val="16"/>
          <w:szCs w:val="16"/>
          <w:color w:val="auto"/>
        </w:rPr>
        <w:t>Ph.D., Jeffrey G. Black and Agnieszka Gallagher as his or her true and lawful attorney-in-fact and agent, each acting alone, with full power of substitution</w:t>
      </w:r>
    </w:p>
    <w:p>
      <w:pPr>
        <w:jc w:val="both"/>
        <w:spacing w:after="0" w:line="234" w:lineRule="auto"/>
        <w:rPr>
          <w:sz w:val="20"/>
          <w:szCs w:val="20"/>
          <w:color w:val="auto"/>
        </w:rPr>
      </w:pPr>
      <w:r>
        <w:rPr>
          <w:rFonts w:ascii="Arial" w:cs="Arial" w:eastAsia="Arial" w:hAnsi="Arial"/>
          <w:sz w:val="16"/>
          <w:szCs w:val="16"/>
          <w:color w:val="auto"/>
        </w:rPr>
        <w:t>and resubstitution, for him or her and in his or her name, place and stead, in any and all capacities, to sign any or all amendments (including post-effective amendments) to this Registration Statement on Form S-8, and to file the same, with all exhibits thereto, and other documents in connection therewith, with the Securities and Exchange Commission, granting unto said attorneys-in-fact, proxy and agents, each acting alone, full power and authority to do and</w:t>
      </w:r>
    </w:p>
    <w:p>
      <w:pPr>
        <w:spacing w:after="0" w:line="2" w:lineRule="exact"/>
        <w:rPr>
          <w:sz w:val="20"/>
          <w:szCs w:val="20"/>
          <w:color w:val="auto"/>
        </w:rPr>
      </w:pPr>
    </w:p>
    <w:p>
      <w:pPr>
        <w:ind w:right="320"/>
        <w:spacing w:after="0" w:line="218" w:lineRule="auto"/>
        <w:rPr>
          <w:sz w:val="20"/>
          <w:szCs w:val="20"/>
          <w:color w:val="auto"/>
        </w:rPr>
      </w:pPr>
      <w:r>
        <w:rPr>
          <w:rFonts w:ascii="Arial" w:cs="Arial" w:eastAsia="Arial" w:hAnsi="Arial"/>
          <w:sz w:val="18"/>
          <w:szCs w:val="18"/>
          <w:color w:val="auto"/>
        </w:rPr>
        <w:t>perform each and every act and thing requisite and necessary to be done in in connection therewith, as fully for all intents and purposes as he might or could do in person, hereby ratifying and confirming all that said attorneys-in-fact, proxy and agents, each action alone, or his or her substitute or substitutes, may lawfully do or cause to be done by virtue hereof.</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June 16, 2023.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6480" w:type="dxa"/>
            <w:vAlign w:val="bottom"/>
          </w:tcPr>
          <w:p>
            <w:pPr>
              <w:ind w:left="3380"/>
              <w:spacing w:after="0"/>
              <w:rPr>
                <w:sz w:val="20"/>
                <w:szCs w:val="20"/>
                <w:color w:val="auto"/>
              </w:rPr>
            </w:pPr>
            <w:r>
              <w:rPr>
                <w:rFonts w:ascii="Arial" w:cs="Arial" w:eastAsia="Arial" w:hAnsi="Arial"/>
                <w:sz w:val="18"/>
                <w:szCs w:val="18"/>
                <w:b w:val="1"/>
                <w:bCs w:val="1"/>
                <w:color w:val="auto"/>
              </w:rPr>
              <w:t>Title</w:t>
            </w:r>
          </w:p>
        </w:tc>
        <w:tc>
          <w:tcPr>
            <w:tcW w:w="1800" w:type="dxa"/>
            <w:vAlign w:val="bottom"/>
          </w:tcPr>
          <w:p>
            <w:pPr>
              <w:jc w:val="center"/>
              <w:ind w:left="670"/>
              <w:spacing w:after="0"/>
              <w:rPr>
                <w:sz w:val="20"/>
                <w:szCs w:val="20"/>
                <w:color w:val="auto"/>
              </w:rPr>
            </w:pPr>
            <w:r>
              <w:rPr>
                <w:rFonts w:ascii="Arial" w:cs="Arial" w:eastAsia="Arial" w:hAnsi="Arial"/>
                <w:sz w:val="18"/>
                <w:szCs w:val="18"/>
                <w:b w:val="1"/>
                <w:bCs w:val="1"/>
                <w:color w:val="auto"/>
                <w:w w:val="92"/>
              </w:rPr>
              <w:t>Date</w:t>
            </w:r>
          </w:p>
        </w:tc>
      </w:tr>
      <w:tr>
        <w:trPr>
          <w:trHeight w:val="45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Egholm, Ph.D.</w:t>
            </w:r>
          </w:p>
        </w:tc>
        <w:tc>
          <w:tcPr>
            <w:tcW w:w="6480" w:type="dxa"/>
            <w:vAlign w:val="bottom"/>
          </w:tcPr>
          <w:p>
            <w:pPr>
              <w:ind w:left="120"/>
              <w:spacing w:after="0"/>
              <w:rPr>
                <w:sz w:val="20"/>
                <w:szCs w:val="20"/>
                <w:color w:val="auto"/>
              </w:rPr>
            </w:pPr>
            <w:r>
              <w:rPr>
                <w:rFonts w:ascii="Arial" w:cs="Arial" w:eastAsia="Arial" w:hAnsi="Arial"/>
                <w:sz w:val="18"/>
                <w:szCs w:val="18"/>
                <w:color w:val="auto"/>
              </w:rPr>
              <w:t>President and Chief Executive Officer (Principal Executive Officer); 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Egholm, Ph.D.</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4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G. Black</w:t>
            </w:r>
          </w:p>
        </w:tc>
        <w:tc>
          <w:tcPr>
            <w:tcW w:w="648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3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Jeffrey G. Black</w:t>
            </w:r>
          </w:p>
        </w:tc>
        <w:tc>
          <w:tcPr>
            <w:tcW w:w="64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Carlos V. Paya, M.D., Ph.D.</w:t>
            </w:r>
          </w:p>
        </w:tc>
        <w:tc>
          <w:tcPr>
            <w:tcW w:w="648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Carlos V. Paya, M.D., Ph.D.</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5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R. Witney, Ph.D.</w:t>
            </w:r>
          </w:p>
        </w:tc>
        <w:tc>
          <w:tcPr>
            <w:tcW w:w="6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Frank R. Witney, Ph.D.</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4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Fenel M. Eloi</w:t>
            </w:r>
          </w:p>
        </w:tc>
        <w:tc>
          <w:tcPr>
            <w:tcW w:w="6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3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4"/>
              </w:rPr>
              <w:t>Fenel M. Eloi</w:t>
            </w:r>
          </w:p>
        </w:tc>
        <w:tc>
          <w:tcPr>
            <w:tcW w:w="64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M. Clague</w:t>
            </w:r>
          </w:p>
        </w:tc>
        <w:tc>
          <w:tcPr>
            <w:tcW w:w="6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4"/>
              </w:rPr>
              <w:t>Laura M. Clague</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5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Eli Casdin</w:t>
            </w:r>
          </w:p>
        </w:tc>
        <w:tc>
          <w:tcPr>
            <w:tcW w:w="6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Eli Casdin</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4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D. Madaus, Ph.D.</w:t>
            </w:r>
          </w:p>
        </w:tc>
        <w:tc>
          <w:tcPr>
            <w:tcW w:w="6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ind w:left="690"/>
              <w:spacing w:after="0"/>
              <w:rPr>
                <w:sz w:val="20"/>
                <w:szCs w:val="20"/>
                <w:color w:val="auto"/>
              </w:rPr>
            </w:pPr>
            <w:r>
              <w:rPr>
                <w:rFonts w:ascii="Arial" w:cs="Arial" w:eastAsia="Arial" w:hAnsi="Arial"/>
                <w:sz w:val="18"/>
                <w:szCs w:val="18"/>
                <w:color w:val="auto"/>
                <w:w w:val="89"/>
              </w:rPr>
              <w:t>June 16, 2023</w:t>
            </w:r>
          </w:p>
        </w:tc>
      </w:tr>
      <w:tr>
        <w:trPr>
          <w:trHeight w:val="22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5"/>
              </w:rPr>
              <w:t>Martin D. Madaus, Ph.D.</w:t>
            </w:r>
          </w:p>
        </w:tc>
        <w:tc>
          <w:tcPr>
            <w:tcW w:w="648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756" w:right="439" w:bottom="1440" w:gutter="0" w:footer="0" w:header="0"/>
        </w:sectPr>
      </w:pPr>
    </w:p>
    <w:bookmarkStart w:id="4" w:name="page5"/>
    <w:bookmarkEnd w:id="4"/>
    <w:p>
      <w:pPr>
        <w:ind w:left="10352"/>
        <w:spacing w:after="0"/>
        <w:rPr>
          <w:sz w:val="20"/>
          <w:szCs w:val="20"/>
          <w:color w:val="auto"/>
        </w:rPr>
      </w:pPr>
      <w:r>
        <w:rPr>
          <w:rFonts w:ascii="Arial" w:cs="Arial" w:eastAsia="Arial" w:hAnsi="Arial"/>
          <w:sz w:val="16"/>
          <w:szCs w:val="16"/>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Calculation of Filing Fee Tables</w:t>
      </w:r>
    </w:p>
    <w:p>
      <w:pPr>
        <w:spacing w:after="0" w:line="21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Form S-8</w:t>
      </w:r>
    </w:p>
    <w:p>
      <w:pPr>
        <w:spacing w:after="0" w:line="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(Form Type)</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Standard BioTools Inc.</w:t>
      </w:r>
    </w:p>
    <w:p>
      <w:pPr>
        <w:jc w:val="center"/>
        <w:ind w:left="6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Table 1: Newly Registered Securities</w:t>
      </w:r>
    </w:p>
    <w:p>
      <w:pPr>
        <w:spacing w:after="0" w:line="260"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1220" w:type="dxa"/>
            <w:vAlign w:val="bottom"/>
            <w:tcBorders>
              <w:top w:val="single" w:sz="8" w:color="auto"/>
              <w:left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Proposed</w:t>
            </w:r>
          </w:p>
        </w:tc>
        <w:tc>
          <w:tcPr>
            <w:tcW w:w="126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260" w:type="dxa"/>
            <w:vAlign w:val="bottom"/>
            <w:tcBorders>
              <w:right w:val="single" w:sz="8" w:color="auto"/>
            </w:tcBorders>
            <w:vMerge w:val="restart"/>
          </w:tcPr>
          <w:p>
            <w:pPr>
              <w:jc w:val="center"/>
              <w:ind w:left="197"/>
              <w:spacing w:after="0"/>
              <w:rPr>
                <w:sz w:val="20"/>
                <w:szCs w:val="20"/>
                <w:color w:val="auto"/>
              </w:rPr>
            </w:pPr>
            <w:r>
              <w:rPr>
                <w:rFonts w:ascii="Arial" w:cs="Arial" w:eastAsia="Arial" w:hAnsi="Arial"/>
                <w:sz w:val="13"/>
                <w:szCs w:val="13"/>
                <w:color w:val="auto"/>
                <w:w w:val="89"/>
              </w:rPr>
              <w:t>Security</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0"/>
              </w:rPr>
              <w:t>Fee</w:t>
            </w:r>
          </w:p>
        </w:tc>
        <w:tc>
          <w:tcPr>
            <w:tcW w:w="10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2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3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21"/>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Security</w:t>
            </w:r>
          </w:p>
        </w:tc>
        <w:tc>
          <w:tcPr>
            <w:tcW w:w="126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3"/>
                <w:szCs w:val="13"/>
                <w:color w:val="auto"/>
                <w:w w:val="89"/>
              </w:rPr>
              <w:t>Amount</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w w:val="95"/>
              </w:rPr>
              <w:t>Offering</w:t>
            </w:r>
          </w:p>
        </w:tc>
        <w:tc>
          <w:tcPr>
            <w:tcW w:w="12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w w:val="86"/>
              </w:rPr>
              <w:t>Aggregate</w:t>
            </w:r>
          </w:p>
        </w:tc>
        <w:tc>
          <w:tcPr>
            <w:tcW w:w="13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3"/>
                <w:szCs w:val="13"/>
                <w:color w:val="auto"/>
                <w:w w:val="80"/>
              </w:rPr>
              <w:t>Fee</w:t>
            </w: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20" w:type="dxa"/>
            <w:vAlign w:val="bottom"/>
            <w:tcBorders>
              <w:left w:val="single" w:sz="8" w:color="auto"/>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jc w:val="center"/>
              <w:ind w:left="177"/>
              <w:spacing w:after="0" w:line="134" w:lineRule="exact"/>
              <w:rPr>
                <w:sz w:val="20"/>
                <w:szCs w:val="20"/>
                <w:color w:val="auto"/>
              </w:rPr>
            </w:pPr>
            <w:r>
              <w:rPr>
                <w:rFonts w:ascii="Arial" w:cs="Arial" w:eastAsia="Arial" w:hAnsi="Arial"/>
                <w:sz w:val="13"/>
                <w:szCs w:val="13"/>
                <w:color w:val="auto"/>
                <w:w w:val="86"/>
              </w:rPr>
              <w:t>Class</w:t>
            </w:r>
          </w:p>
        </w:tc>
        <w:tc>
          <w:tcPr>
            <w:tcW w:w="14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90"/>
              </w:rPr>
              <w:t>Calculation</w:t>
            </w:r>
          </w:p>
        </w:tc>
        <w:tc>
          <w:tcPr>
            <w:tcW w:w="108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tcPr>
          <w:p>
            <w:pPr>
              <w:jc w:val="center"/>
              <w:ind w:left="13"/>
              <w:spacing w:after="0" w:line="134" w:lineRule="exact"/>
              <w:rPr>
                <w:sz w:val="20"/>
                <w:szCs w:val="20"/>
                <w:color w:val="auto"/>
              </w:rPr>
            </w:pPr>
            <w:r>
              <w:rPr>
                <w:rFonts w:ascii="Arial" w:cs="Arial" w:eastAsia="Arial" w:hAnsi="Arial"/>
                <w:sz w:val="13"/>
                <w:szCs w:val="13"/>
                <w:color w:val="auto"/>
                <w:w w:val="85"/>
              </w:rPr>
              <w:t>Price Per</w:t>
            </w:r>
          </w:p>
        </w:tc>
        <w:tc>
          <w:tcPr>
            <w:tcW w:w="12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95"/>
              </w:rPr>
              <w:t>Offering</w:t>
            </w:r>
          </w:p>
        </w:tc>
        <w:tc>
          <w:tcPr>
            <w:tcW w:w="130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jc w:val="center"/>
              <w:ind w:left="20"/>
              <w:spacing w:after="0" w:line="134"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260" w:type="dxa"/>
            <w:vAlign w:val="bottom"/>
            <w:tcBorders>
              <w:right w:val="single" w:sz="8" w:color="auto"/>
            </w:tcBorders>
          </w:tcPr>
          <w:p>
            <w:pPr>
              <w:jc w:val="center"/>
              <w:ind w:left="177"/>
              <w:spacing w:after="0"/>
              <w:rPr>
                <w:sz w:val="20"/>
                <w:szCs w:val="20"/>
                <w:color w:val="auto"/>
              </w:rPr>
            </w:pPr>
            <w:r>
              <w:rPr>
                <w:rFonts w:ascii="Arial" w:cs="Arial" w:eastAsia="Arial" w:hAnsi="Arial"/>
                <w:sz w:val="13"/>
                <w:szCs w:val="13"/>
                <w:color w:val="auto"/>
                <w:w w:val="97"/>
              </w:rPr>
              <w:t>Title</w:t>
            </w:r>
          </w:p>
        </w:tc>
        <w:tc>
          <w:tcPr>
            <w:tcW w:w="1480" w:type="dxa"/>
            <w:vAlign w:val="bottom"/>
            <w:tcBorders>
              <w:right w:val="single" w:sz="8" w:color="auto"/>
            </w:tcBorders>
          </w:tcPr>
          <w:p>
            <w:pPr>
              <w:jc w:val="center"/>
              <w:ind w:left="10"/>
              <w:spacing w:after="0"/>
              <w:rPr>
                <w:sz w:val="20"/>
                <w:szCs w:val="20"/>
                <w:color w:val="auto"/>
              </w:rPr>
            </w:pPr>
            <w:r>
              <w:rPr>
                <w:rFonts w:ascii="Arial" w:cs="Arial" w:eastAsia="Arial" w:hAnsi="Arial"/>
                <w:sz w:val="13"/>
                <w:szCs w:val="13"/>
                <w:color w:val="auto"/>
                <w:w w:val="89"/>
              </w:rPr>
              <w:t>Rule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Unit</w:t>
            </w:r>
          </w:p>
        </w:tc>
        <w:tc>
          <w:tcPr>
            <w:tcW w:w="1260" w:type="dxa"/>
            <w:vAlign w:val="bottom"/>
            <w:tcBorders>
              <w:right w:val="single" w:sz="8" w:color="auto"/>
            </w:tcBorders>
          </w:tcPr>
          <w:p>
            <w:pPr>
              <w:jc w:val="center"/>
              <w:ind w:left="8"/>
              <w:spacing w:after="0"/>
              <w:rPr>
                <w:sz w:val="20"/>
                <w:szCs w:val="20"/>
                <w:color w:val="auto"/>
              </w:rPr>
            </w:pPr>
            <w:r>
              <w:rPr>
                <w:rFonts w:ascii="Arial" w:cs="Arial" w:eastAsia="Arial" w:hAnsi="Arial"/>
                <w:sz w:val="13"/>
                <w:szCs w:val="13"/>
                <w:color w:val="auto"/>
                <w:w w:val="87"/>
              </w:rPr>
              <w:t>Price</w:t>
            </w:r>
          </w:p>
        </w:tc>
        <w:tc>
          <w:tcPr>
            <w:tcW w:w="1300" w:type="dxa"/>
            <w:vAlign w:val="bottom"/>
            <w:tcBorders>
              <w:right w:val="single" w:sz="8" w:color="auto"/>
            </w:tcBorders>
          </w:tcPr>
          <w:p>
            <w:pPr>
              <w:jc w:val="center"/>
              <w:ind w:left="8"/>
              <w:spacing w:after="0"/>
              <w:rPr>
                <w:sz w:val="20"/>
                <w:szCs w:val="20"/>
                <w:color w:val="auto"/>
              </w:rPr>
            </w:pPr>
            <w:r>
              <w:rPr>
                <w:rFonts w:ascii="Arial" w:cs="Arial" w:eastAsia="Arial" w:hAnsi="Arial"/>
                <w:sz w:val="13"/>
                <w:szCs w:val="13"/>
                <w:color w:val="auto"/>
                <w:w w:val="79"/>
              </w:rPr>
              <w:t>Rate</w:t>
            </w:r>
          </w:p>
        </w:tc>
        <w:tc>
          <w:tcPr>
            <w:tcW w:w="1200" w:type="dxa"/>
            <w:vAlign w:val="bottom"/>
            <w:tcBorders>
              <w:right w:val="single" w:sz="8" w:color="auto"/>
            </w:tcBorders>
          </w:tcPr>
          <w:p>
            <w:pPr>
              <w:jc w:val="center"/>
              <w:ind w:left="20"/>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9"/>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2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ind w:left="320"/>
              <w:spacing w:after="0" w:line="182" w:lineRule="exact"/>
              <w:rPr>
                <w:sz w:val="20"/>
                <w:szCs w:val="20"/>
                <w:color w:val="auto"/>
              </w:rPr>
            </w:pPr>
            <w:r>
              <w:rPr>
                <w:rFonts w:ascii="Arial" w:cs="Arial" w:eastAsia="Arial" w:hAnsi="Arial"/>
                <w:sz w:val="18"/>
                <w:szCs w:val="18"/>
                <w:color w:val="auto"/>
              </w:rPr>
              <w:t>Common</w:t>
            </w:r>
          </w:p>
        </w:tc>
        <w:tc>
          <w:tcPr>
            <w:tcW w:w="14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20" w:type="dxa"/>
            <w:vAlign w:val="bottom"/>
            <w:tcBorders>
              <w:left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color w:val="auto"/>
              </w:rPr>
              <w:t>Equity</w:t>
            </w:r>
          </w:p>
        </w:tc>
        <w:tc>
          <w:tcPr>
            <w:tcW w:w="1260" w:type="dxa"/>
            <w:vAlign w:val="bottom"/>
            <w:tcBorders>
              <w:right w:val="single" w:sz="8" w:color="auto"/>
            </w:tcBorders>
          </w:tcPr>
          <w:p>
            <w:pPr>
              <w:ind w:left="320"/>
              <w:spacing w:after="0" w:line="189" w:lineRule="exact"/>
              <w:rPr>
                <w:sz w:val="20"/>
                <w:szCs w:val="20"/>
                <w:color w:val="auto"/>
              </w:rPr>
            </w:pPr>
            <w:r>
              <w:rPr>
                <w:rFonts w:ascii="Arial" w:cs="Arial" w:eastAsia="Arial" w:hAnsi="Arial"/>
                <w:sz w:val="18"/>
                <w:szCs w:val="18"/>
                <w:color w:val="auto"/>
              </w:rPr>
              <w:t>Stock,</w:t>
            </w:r>
          </w:p>
        </w:tc>
        <w:tc>
          <w:tcPr>
            <w:tcW w:w="1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3"/>
              </w:rPr>
              <w:t>457(c) and 457(h)</w:t>
            </w:r>
          </w:p>
        </w:tc>
        <w:tc>
          <w:tcPr>
            <w:tcW w:w="10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8"/>
                <w:szCs w:val="18"/>
                <w:color w:val="auto"/>
                <w:w w:val="90"/>
              </w:rPr>
              <w:t>4,700,000(1)</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$2.1675(2)</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$10,187,250.00</w:t>
            </w:r>
          </w:p>
        </w:tc>
        <w:tc>
          <w:tcPr>
            <w:tcW w:w="13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8"/>
                <w:szCs w:val="18"/>
                <w:color w:val="auto"/>
              </w:rPr>
              <w:t>$0.00011020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$1,122.64</w:t>
            </w: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right w:val="single" w:sz="8" w:color="auto"/>
            </w:tcBorders>
            <w:vMerge w:val="continue"/>
          </w:tcPr>
          <w:p>
            <w:pPr>
              <w:spacing w:after="0"/>
              <w:rPr>
                <w:sz w:val="15"/>
                <w:szCs w:val="15"/>
                <w:color w:val="auto"/>
              </w:rPr>
            </w:pPr>
          </w:p>
        </w:tc>
        <w:tc>
          <w:tcPr>
            <w:tcW w:w="1260" w:type="dxa"/>
            <w:vAlign w:val="bottom"/>
            <w:tcBorders>
              <w:right w:val="single" w:sz="8" w:color="auto"/>
            </w:tcBorders>
          </w:tcPr>
          <w:p>
            <w:pPr>
              <w:ind w:left="320"/>
              <w:spacing w:after="0" w:line="176" w:lineRule="exact"/>
              <w:rPr>
                <w:sz w:val="20"/>
                <w:szCs w:val="20"/>
                <w:color w:val="auto"/>
              </w:rPr>
            </w:pPr>
            <w:r>
              <w:rPr>
                <w:rFonts w:ascii="Arial" w:cs="Arial" w:eastAsia="Arial" w:hAnsi="Arial"/>
                <w:sz w:val="18"/>
                <w:szCs w:val="18"/>
                <w:color w:val="auto"/>
              </w:rPr>
              <w:t>$0.001 par</w:t>
            </w:r>
          </w:p>
        </w:tc>
        <w:tc>
          <w:tcPr>
            <w:tcW w:w="14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ind w:left="320"/>
              <w:spacing w:after="0" w:line="176" w:lineRule="exact"/>
              <w:rPr>
                <w:sz w:val="20"/>
                <w:szCs w:val="20"/>
                <w:color w:val="auto"/>
              </w:rPr>
            </w:pPr>
            <w:r>
              <w:rPr>
                <w:rFonts w:ascii="Arial" w:cs="Arial" w:eastAsia="Arial" w:hAnsi="Arial"/>
                <w:sz w:val="18"/>
                <w:szCs w:val="18"/>
                <w:color w:val="auto"/>
              </w:rPr>
              <w:t>value per</w:t>
            </w:r>
          </w:p>
        </w:tc>
        <w:tc>
          <w:tcPr>
            <w:tcW w:w="14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share</w:t>
            </w:r>
          </w:p>
        </w:tc>
        <w:tc>
          <w:tcPr>
            <w:tcW w:w="14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20" w:type="dxa"/>
            <w:vAlign w:val="bottom"/>
            <w:tcBorders>
              <w:left w:val="single" w:sz="8" w:color="auto"/>
            </w:tcBorders>
          </w:tcPr>
          <w:p>
            <w:pPr>
              <w:spacing w:after="0"/>
              <w:rPr>
                <w:sz w:val="22"/>
                <w:szCs w:val="22"/>
                <w:color w:val="auto"/>
              </w:rPr>
            </w:pPr>
          </w:p>
        </w:tc>
        <w:tc>
          <w:tcPr>
            <w:tcW w:w="274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Total Offering Amounts</w:t>
            </w:r>
          </w:p>
        </w:tc>
        <w:tc>
          <w:tcPr>
            <w:tcW w:w="108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$10,410,500.00</w:t>
            </w:r>
          </w:p>
        </w:tc>
        <w:tc>
          <w:tcPr>
            <w:tcW w:w="13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$1,122.64</w:t>
            </w: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27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 Fees Previously Paid</w:t>
            </w:r>
          </w:p>
        </w:tc>
        <w:tc>
          <w:tcPr>
            <w:tcW w:w="108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ind w:lef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tcBorders>
          </w:tcPr>
          <w:p>
            <w:pPr>
              <w:spacing w:after="0"/>
              <w:rPr>
                <w:sz w:val="21"/>
                <w:szCs w:val="21"/>
                <w:color w:val="auto"/>
              </w:rPr>
            </w:pPr>
          </w:p>
        </w:tc>
        <w:tc>
          <w:tcPr>
            <w:tcW w:w="274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Total Fee Offsets</w:t>
            </w:r>
          </w:p>
        </w:tc>
        <w:tc>
          <w:tcPr>
            <w:tcW w:w="108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jc w:val="center"/>
              <w:ind w:lef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27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tcBorders>
          </w:tcPr>
          <w:p>
            <w:pPr>
              <w:spacing w:after="0"/>
              <w:rPr>
                <w:sz w:val="21"/>
                <w:szCs w:val="21"/>
                <w:color w:val="auto"/>
              </w:rPr>
            </w:pPr>
          </w:p>
        </w:tc>
        <w:tc>
          <w:tcPr>
            <w:tcW w:w="274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Net Fee Due</w:t>
            </w:r>
          </w:p>
        </w:tc>
        <w:tc>
          <w:tcPr>
            <w:tcW w:w="108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$1,122.64</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52" w:hanging="652"/>
        <w:spacing w:after="0" w:line="216" w:lineRule="auto"/>
        <w:tabs>
          <w:tab w:leader="none" w:pos="45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 common stock, par value $0.001 per share (“Common Stock”) of Standard BioTools Inc. (the “Registrant”) stated above consists of additional shares of Common Stock available for issuance pursuant to the Standard BioTools Inc. Amended and Restated 2011 Equity Incentive Plan (the “</w:t>
      </w:r>
      <w:r>
        <w:rPr>
          <w:rFonts w:ascii="Arial" w:cs="Arial" w:eastAsia="Arial" w:hAnsi="Arial"/>
          <w:sz w:val="18"/>
          <w:szCs w:val="18"/>
          <w:u w:val="single" w:color="auto"/>
          <w:color w:val="auto"/>
        </w:rPr>
        <w:t>2011 Plan</w:t>
      </w:r>
      <w:r>
        <w:rPr>
          <w:rFonts w:ascii="Arial" w:cs="Arial" w:eastAsia="Arial" w:hAnsi="Arial"/>
          <w:sz w:val="18"/>
          <w:szCs w:val="18"/>
          <w:color w:val="auto"/>
        </w:rPr>
        <w:t>”). In addition, pursuant to Rule 416(a)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this Registration Statement shall also cover any additional shares of the Registrant’s common stock that become issuable under the 2011 Plan by reason of an event such as any stock split, stock dividend or similar adjustment effected without the Registrant’s receipt of consideration that </w:t>
      </w:r>
      <w:r>
        <w:rPr>
          <w:rFonts w:ascii="Arial" w:cs="Arial" w:eastAsia="Arial" w:hAnsi="Arial"/>
          <w:sz w:val="18"/>
          <w:szCs w:val="18"/>
          <w:color w:val="auto"/>
          <w:highlight w:val="white"/>
        </w:rPr>
        <w:t>increases the number of the outstanding shares of Common Stock.</w:t>
      </w:r>
    </w:p>
    <w:p>
      <w:pPr>
        <w:spacing w:after="0" w:line="70" w:lineRule="exact"/>
        <w:rPr>
          <w:rFonts w:ascii="Arial" w:cs="Arial" w:eastAsia="Arial" w:hAnsi="Arial"/>
          <w:sz w:val="18"/>
          <w:szCs w:val="18"/>
          <w:color w:val="auto"/>
        </w:rPr>
      </w:pPr>
    </w:p>
    <w:p>
      <w:pPr>
        <w:ind w:left="652" w:hanging="652"/>
        <w:spacing w:after="0" w:line="223" w:lineRule="auto"/>
        <w:tabs>
          <w:tab w:leader="none" w:pos="457"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457(c) and Rule 457(h) promulgated under the Securities Act. The offering price per share and the aggregate offering price for shares reserved for future grant or issuance under the 2011 Plan are based on the average of the high and the low price of Registrant’s Common Stock as reported on The Nasdaq Global Select Market as of a date (June 15, 2023)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-1121410</wp:posOffset>
            </wp:positionV>
            <wp:extent cx="672084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6720840" cy="471805"/>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sectPr>
      </w:pPr>
    </w:p>
    <w:bookmarkStart w:id="5" w:name="page6"/>
    <w:bookmarkEnd w:id="5"/>
    <w:p>
      <w:pPr>
        <w:ind w:left="7180"/>
        <w:spacing w:after="0"/>
        <w:rPr>
          <w:sz w:val="20"/>
          <w:szCs w:val="20"/>
          <w:color w:val="auto"/>
        </w:rPr>
      </w:pPr>
      <w:r>
        <w:rPr>
          <w:rFonts w:ascii="Arial" w:cs="Arial" w:eastAsia="Arial" w:hAnsi="Arial"/>
          <w:sz w:val="16"/>
          <w:szCs w:val="16"/>
          <w:color w:val="auto"/>
        </w:rPr>
        <w:t>One Financial Center</w:t>
      </w:r>
    </w:p>
    <w:p>
      <w:pPr>
        <w:ind w:left="7180"/>
        <w:spacing w:after="0" w:line="228" w:lineRule="auto"/>
        <w:rPr>
          <w:sz w:val="20"/>
          <w:szCs w:val="20"/>
          <w:color w:val="auto"/>
        </w:rPr>
      </w:pPr>
      <w:r>
        <w:rPr>
          <w:rFonts w:ascii="Arial" w:cs="Arial" w:eastAsia="Arial" w:hAnsi="Arial"/>
          <w:sz w:val="16"/>
          <w:szCs w:val="16"/>
          <w:color w:val="auto"/>
        </w:rPr>
        <w:t>Boston, MA 02111</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617 542 6000</w:t>
      </w:r>
    </w:p>
    <w:p>
      <w:pPr>
        <w:spacing w:after="0" w:line="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mintz.com</w:t>
      </w:r>
    </w:p>
    <w:p>
      <w:pPr>
        <w:spacing w:after="0" w:line="146" w:lineRule="exact"/>
        <w:rPr>
          <w:sz w:val="20"/>
          <w:szCs w:val="20"/>
          <w:color w:val="auto"/>
        </w:rPr>
      </w:pPr>
    </w:p>
    <w:p>
      <w:pPr>
        <w:ind w:left="3540"/>
        <w:spacing w:after="0"/>
        <w:rPr>
          <w:sz w:val="20"/>
          <w:szCs w:val="20"/>
          <w:color w:val="auto"/>
        </w:rPr>
      </w:pPr>
      <w:r>
        <w:rPr>
          <w:rFonts w:ascii="Arial" w:cs="Arial" w:eastAsia="Arial" w:hAnsi="Arial"/>
          <w:sz w:val="19"/>
          <w:szCs w:val="19"/>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June 16,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Standard BioTools Inc.</w:t>
      </w:r>
    </w:p>
    <w:p>
      <w:pPr>
        <w:spacing w:after="0" w:line="203" w:lineRule="auto"/>
        <w:rPr>
          <w:sz w:val="20"/>
          <w:szCs w:val="20"/>
          <w:color w:val="auto"/>
        </w:rPr>
      </w:pPr>
      <w:r>
        <w:rPr>
          <w:rFonts w:ascii="Arial" w:cs="Arial" w:eastAsia="Arial" w:hAnsi="Arial"/>
          <w:sz w:val="18"/>
          <w:szCs w:val="18"/>
          <w:color w:val="auto"/>
        </w:rPr>
        <w:t>2 Tower Place, Suite 2000</w:t>
      </w:r>
    </w:p>
    <w:p>
      <w:pPr>
        <w:spacing w:after="0"/>
        <w:rPr>
          <w:sz w:val="20"/>
          <w:szCs w:val="20"/>
          <w:color w:val="auto"/>
        </w:rPr>
      </w:pPr>
      <w:r>
        <w:rPr>
          <w:rFonts w:ascii="Arial" w:cs="Arial" w:eastAsia="Arial" w:hAnsi="Arial"/>
          <w:sz w:val="18"/>
          <w:szCs w:val="18"/>
          <w:color w:val="auto"/>
        </w:rPr>
        <w:t>South San Francisco, CA 94080</w:t>
      </w:r>
    </w:p>
    <w:p>
      <w:pPr>
        <w:spacing w:after="0" w:line="223"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8"/>
          <w:szCs w:val="18"/>
          <w:color w:val="auto"/>
        </w:rPr>
        <w:t>Re:</w:t>
        <w:tab/>
        <w:t>Registration Statement on Form S-8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We have acted as legal counsel to Standard BioTools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4,700,000 additional</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shares (the “Shares”) of the Company’s common stock, par value $0.001 per share, that may be issued pursuant to the Company’s Amended and Restated 2011 Equity Incentive Plan (the “2011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7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required consideration in accordance with the terms of the 2011 Plan.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w:t>
      </w:r>
    </w:p>
    <w:p>
      <w:pPr>
        <w:spacing w:after="0"/>
        <w:rPr>
          <w:sz w:val="20"/>
          <w:szCs w:val="20"/>
          <w:color w:val="auto"/>
        </w:rPr>
      </w:pPr>
      <w:r>
        <w:rPr>
          <w:rFonts w:ascii="Arial" w:cs="Arial" w:eastAsia="Arial" w:hAnsi="Arial"/>
          <w:sz w:val="18"/>
          <w:szCs w:val="18"/>
          <w:color w:val="auto"/>
        </w:rPr>
        <w:t>state or any foreign jurisdiction.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w:t>
      </w:r>
    </w:p>
    <w:p>
      <w:pPr>
        <w:spacing w:after="0"/>
        <w:rPr>
          <w:sz w:val="20"/>
          <w:szCs w:val="20"/>
          <w:color w:val="auto"/>
        </w:rPr>
      </w:pPr>
      <w:r>
        <w:rPr>
          <w:rFonts w:ascii="Arial" w:cs="Arial" w:eastAsia="Arial" w:hAnsi="Arial"/>
          <w:sz w:val="18"/>
          <w:szCs w:val="18"/>
          <w:color w:val="auto"/>
        </w:rPr>
        <w:t>any of these sources of law or subsequent legal or factual developments which might affect any matters or opinions set forth herein.</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Based upon the foregoing, we are of the opinion that the Shares, when issued and delivered in accordance with the terms of the 2011 Plan, will be validly issued, fully paid and non-assessable.</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741680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tabs>
          <w:tab w:leader="none" w:pos="220" w:val="left"/>
          <w:tab w:leader="none" w:pos="220" w:val="left"/>
          <w:tab w:leader="none" w:pos="220" w:val="left"/>
          <w:tab w:leader="none" w:pos="220" w:val="left"/>
          <w:tab w:leader="none" w:pos="220" w:val="left"/>
          <w:tab w:leader="none" w:pos="26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TORONTO</w:t>
      </w:r>
      <w:r>
        <w:rPr>
          <w:sz w:val="20"/>
          <w:szCs w:val="20"/>
          <w:color w:val="auto"/>
        </w:rPr>
        <w:tab/>
      </w:r>
      <w:r>
        <w:rPr>
          <w:rFonts w:ascii="Arial" w:cs="Arial" w:eastAsia="Arial" w:hAnsi="Arial"/>
          <w:sz w:val="14"/>
          <w:szCs w:val="14"/>
          <w:color w:val="auto"/>
        </w:rPr>
        <w:t>WASHINGTON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1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MINTZ</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June 16, 2023</w:t>
      </w: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Mintz, Levin, Cohn, Ferris, Glovsky and Popeo, P.C.</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534924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7" w:name="page8"/>
    <w:bookmarkEnd w:id="7"/>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this Registration Statement on Form S-8 of Standard BioTools Inc. of our report dated March 14,</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2023 relating to the financial statements and the effectiveness of internal control over financial reporting, which appears in Standard BioTools Inc.’s Annual Report on Form 10-K for the year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June 16, 2023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617"/>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eg"/><Relationship Id="rId10" Type="http://schemas.openxmlformats.org/officeDocument/2006/relationships/hyperlink" Target="https://www.sec.gov/Archives/edgar/data/1162194/000119312522093794/d300506dex41.htm" TargetMode="External"/><Relationship Id="rId11" Type="http://schemas.openxmlformats.org/officeDocument/2006/relationships/hyperlink" Target="https://www.sec.gov/Archives/edgar/data/1162194/000119312511078412/dex31.htm" TargetMode="External"/><Relationship Id="rId12" Type="http://schemas.openxmlformats.org/officeDocument/2006/relationships/hyperlink" Target="https://www.sec.gov/Archives/edgar/data/1162194/000119312522093794/d300506dex43.htm" TargetMode="External"/><Relationship Id="rId13" Type="http://schemas.openxmlformats.org/officeDocument/2006/relationships/hyperlink" Target="https://www.sec.gov/Archives/edgar/data/1162194/000119312516774501/d294669dex31.htm" TargetMode="External"/><Relationship Id="rId14" Type="http://schemas.openxmlformats.org/officeDocument/2006/relationships/hyperlink" Target="https://www.sec.gov/Archives/edgar/data/1162194/000114420417039703/v471897_ex3-1.htm" TargetMode="External"/><Relationship Id="rId15" Type="http://schemas.openxmlformats.org/officeDocument/2006/relationships/hyperlink" Target="http://www.sec.gov/Archives/edgar/data/1162194/000119312522096290/d314141dex36.htm" TargetMode="External"/><Relationship Id="rId16" Type="http://schemas.openxmlformats.org/officeDocument/2006/relationships/hyperlink" Target="http://www.sec.gov/Archives/edgar/data/1162194/000119312522096290/d314141dex37.htm" TargetMode="External"/><Relationship Id="rId17" Type="http://schemas.openxmlformats.org/officeDocument/2006/relationships/hyperlink" Target="https://www.sec.gov/Archives/edgar/data/1162194/000119312522093794/d300506dex48.htm" TargetMode="External"/><Relationship Id="rId18" Type="http://schemas.openxmlformats.org/officeDocument/2006/relationships/hyperlink" Target="https://www.sec.gov/Archives/edgar/data/1162194/000116219423000033/exhibit101-standardbioto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2023-06-20T05:16:26Z</dcterms:created>
  <dcterms:modified xsi:type="dcterms:W3CDTF">2023-06-20T05:16:26Z</dcterms:modified>
</cp:coreProperties>
</file>