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November 2,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2, 2017, Fluidigm Corporation issued a press release reporting its financial results for the third quarter ended September 30, 2017.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25" w:lineRule="exact"/>
        <w:rPr>
          <w:sz w:val="20"/>
          <w:szCs w:val="20"/>
          <w:color w:val="auto"/>
        </w:rPr>
      </w:pPr>
    </w:p>
    <w:p>
      <w:pPr>
        <w:spacing w:after="0"/>
        <w:tabs>
          <w:tab w:leader="none" w:pos="1140" w:val="left"/>
        </w:tabs>
        <w:rPr>
          <w:rFonts w:ascii="Arial" w:cs="Arial" w:eastAsia="Arial" w:hAnsi="Arial"/>
          <w:sz w:val="18"/>
          <w:szCs w:val="18"/>
          <w:b w:val="1"/>
          <w:bCs w:val="1"/>
          <w:color w:val="0000EE"/>
        </w:rPr>
      </w:pPr>
      <w:hyperlink w:anchor="page5">
        <w:r>
          <w:rPr>
            <w:rFonts w:ascii="Arial" w:cs="Arial" w:eastAsia="Arial" w:hAnsi="Arial"/>
            <w:sz w:val="18"/>
            <w:szCs w:val="18"/>
            <w:b w:val="1"/>
            <w:bCs w:val="1"/>
            <w:u w:val="single" w:color="auto"/>
            <w:color w:val="0000EE"/>
          </w:rPr>
          <w:t>99.1</w:t>
        </w:r>
      </w:hyperlink>
      <w:r>
        <w:rPr>
          <w:rFonts w:ascii="Arial" w:cs="Arial" w:eastAsia="Arial" w:hAnsi="Arial"/>
          <w:sz w:val="18"/>
          <w:szCs w:val="18"/>
          <w:b w:val="1"/>
          <w:bCs w:val="1"/>
          <w:color w:val="0000EE"/>
        </w:rPr>
        <w:tab/>
      </w:r>
      <w:r>
        <w:rPr>
          <w:rFonts w:ascii="Arial" w:cs="Arial" w:eastAsia="Arial" w:hAnsi="Arial"/>
          <w:sz w:val="16"/>
          <w:szCs w:val="16"/>
          <w:b w:val="1"/>
          <w:bCs w:val="1"/>
          <w:color w:val="0000EE"/>
        </w:rPr>
        <w:t>Fluidigm Corporation Press Release dated November 2,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18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 2017</w:t>
            </w:r>
          </w:p>
        </w:tc>
        <w:tc>
          <w:tcPr>
            <w:tcW w:w="7760" w:type="dxa"/>
            <w:vAlign w:val="bottom"/>
            <w:gridSpan w:val="3"/>
          </w:tcPr>
          <w:p>
            <w:pPr>
              <w:ind w:left="1880"/>
              <w:spacing w:after="0"/>
              <w:rPr>
                <w:sz w:val="20"/>
                <w:szCs w:val="20"/>
                <w:color w:val="auto"/>
              </w:rPr>
            </w:pPr>
            <w:r>
              <w:rPr>
                <w:rFonts w:ascii="Arial" w:cs="Arial" w:eastAsia="Arial" w:hAnsi="Arial"/>
                <w:sz w:val="18"/>
                <w:szCs w:val="18"/>
                <w:color w:val="auto"/>
              </w:rPr>
              <w:t>By: /s/ Vikram Jog</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6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Fluidigm Corporation Press Release dated November 2, 2017</w:t>
      </w:r>
    </w:p>
    <w:p>
      <w:pPr>
        <w:sectPr>
          <w:pgSz w:w="11900" w:h="16838" w:orient="portrait"/>
          <w:cols w:equalWidth="0" w:num="1">
            <w:col w:w="10219"/>
          </w:cols>
          <w:pgMar w:left="240" w:top="337" w:right="1440" w:bottom="1440" w:gutter="0" w:footer="0" w:header="0"/>
        </w:sectPr>
      </w:pPr>
    </w:p>
    <w:bookmarkStart w:id="4" w:name="page5"/>
    <w:bookmarkEnd w:id="4"/>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Third Quarter Financial Results and Operational Progress</w:t>
      </w:r>
    </w:p>
    <w:p>
      <w:pPr>
        <w:spacing w:after="0" w:line="212"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SOUTH SAN FRANCISCO, Calif., Nov. 02, 2017 (GLOBE NEWSWIRE) -- Fluidigm Corporation (NASDAQ:FLDM) today announced financial results for the third quarter ended September 30, 2017.</w:t>
      </w:r>
    </w:p>
    <w:p>
      <w:pPr>
        <w:spacing w:after="0" w:line="17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Total revenue for the third quarter was $24.7 million, an increase of 12% from $22.2 million in the third quarter of 2016 and an increase of 3% from $23.9 million in the second quarter of 2017. GAAP net loss for the third quarter of 2017 was $15.9 million, compared with a GAAP net loss of $19.8 million for the third quarter of 2016. Non-GAAP net loss for the third quarter of 2017 was $8.6 million, compared with a $10.9 million non-GAAP net loss for the third quarter of 2016 (see accompanying table for reconciliation of GAAP and non-GAAP measures).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“Fluidigm made great strides in recent months in developing breakthrough innovation that empowers the global scientific community,” said Chris Linthwaite, President and CEO. “Our Hyperion™ Imaging System, launched last month, is a powerful new tool that expands our market leadership in high-parameter protein analysis. Using Imaging Mass Cytometry™, the Hyperion Imaging System provides a unique value proposition for medical and scientific researchers through a comprehensive visualization of tissue microenvironments with spatial context. These capabilities will benefit many fields of research including oncology, immunology and cancer immunotherapy.</w:t>
      </w:r>
    </w:p>
    <w:p>
      <w:pPr>
        <w:spacing w:after="0" w:line="188" w:lineRule="exact"/>
        <w:rPr>
          <w:sz w:val="20"/>
          <w:szCs w:val="20"/>
          <w:color w:val="auto"/>
        </w:rPr>
      </w:pPr>
    </w:p>
    <w:p>
      <w:pPr>
        <w:ind w:right="920"/>
        <w:spacing w:after="0" w:line="251" w:lineRule="auto"/>
        <w:rPr>
          <w:sz w:val="20"/>
          <w:szCs w:val="20"/>
          <w:color w:val="auto"/>
        </w:rPr>
      </w:pPr>
      <w:r>
        <w:rPr>
          <w:rFonts w:ascii="Arial" w:cs="Arial" w:eastAsia="Arial" w:hAnsi="Arial"/>
          <w:sz w:val="22"/>
          <w:szCs w:val="22"/>
          <w:color w:val="auto"/>
        </w:rPr>
        <w:t>“We believe this technology has the potential to revolutionize disease research, empowering future development of better diagnostics and more effective therapies,” added Linthwaite.</w:t>
      </w:r>
    </w:p>
    <w:p>
      <w:pPr>
        <w:spacing w:after="0" w:line="17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At a technical level, the Hyperion Imaging System sets a new standard in highly multiplexed protein detection, enabling researchers to simultaneously image four to 37 protein markers with minimal background and utilize up to a total of 135 channels to detect additional parameters.</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“In the area of new partnerships, we forged a distribution agreement with the University of Zurich to offer histoCAT™ software for Imaging Mass Cytometry,” Linthwaite said.</w:t>
      </w:r>
    </w:p>
    <w:p>
      <w:pPr>
        <w:spacing w:after="0" w:line="17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“As we move into the final months of the year, I am proud of the progress we’ve made as a team and as an organization,” he said. “We remain focused on delivering improving financial results.”</w:t>
      </w:r>
    </w:p>
    <w:p>
      <w:pPr>
        <w:spacing w:after="0" w:line="173"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Shifting to a financial perspective, Linthwaite commented, “In the third quarter, we delivered revenue within guidance and made progress on our strategic pillars of innovation and partnership; operational efficiency; and financial discipline.</w:t>
      </w:r>
    </w:p>
    <w:p>
      <w:pPr>
        <w:spacing w:after="0" w:line="17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“We posted sequential and year-over-year revenue growth in mass cytometry, driven by sales of both Helios™ and Imaging Mass Cytometry products. In our high-throughput genomics business, consumables revenue increased sequentially in the third quarter. On a geographic basis, revenue growth was strong in Europe and Asia as we placed new instruments and focused on consumables pull-through.”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2017 Performance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$24.7 million by category:</w:t>
      </w:r>
    </w:p>
    <w:p>
      <w:pPr>
        <w:spacing w:after="0" w:line="188" w:lineRule="exact"/>
        <w:rPr>
          <w:sz w:val="20"/>
          <w:szCs w:val="20"/>
          <w:color w:val="auto"/>
        </w:rPr>
      </w:pPr>
    </w:p>
    <w:p>
      <w:pPr>
        <w:ind w:left="540" w:right="600"/>
        <w:spacing w:after="0" w:line="276" w:lineRule="auto"/>
        <w:rPr>
          <w:sz w:val="20"/>
          <w:szCs w:val="20"/>
          <w:color w:val="auto"/>
        </w:rPr>
      </w:pPr>
      <w:r>
        <w:rPr>
          <w:rFonts w:ascii="Arial" w:cs="Arial" w:eastAsia="Arial" w:hAnsi="Arial"/>
          <w:sz w:val="19"/>
          <w:szCs w:val="19"/>
          <w:color w:val="auto"/>
        </w:rPr>
        <w:t>Instrument revenue increased 15% to $10.5 million from $9.2 million in the year ago period primarily due to increased revenue from mass cytometry instruments, partially offset by decreased revenue from genomics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60"/>
        <w:spacing w:after="0" w:line="230" w:lineRule="auto"/>
        <w:rPr>
          <w:sz w:val="20"/>
          <w:szCs w:val="20"/>
          <w:color w:val="auto"/>
        </w:rPr>
      </w:pPr>
      <w:r>
        <w:rPr>
          <w:rFonts w:ascii="Arial" w:cs="Arial" w:eastAsia="Arial" w:hAnsi="Arial"/>
          <w:sz w:val="22"/>
          <w:szCs w:val="22"/>
          <w:color w:val="auto"/>
        </w:rPr>
        <w:t>Consumables revenue increased 14% to $10.1 million from $8.8 million in the year ago period with growth across both mass cytometry reagents and high-throughput genomics products, partially offset by decreased revenue from single-cell genomics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Service revenue of $4.1 million was generally in line with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revenue of $20.6 million:</w:t>
      </w:r>
    </w:p>
    <w:p>
      <w:pPr>
        <w:spacing w:after="0" w:line="212" w:lineRule="exact"/>
        <w:rPr>
          <w:sz w:val="20"/>
          <w:szCs w:val="20"/>
          <w:color w:val="auto"/>
        </w:rPr>
      </w:pPr>
    </w:p>
    <w:p>
      <w:pPr>
        <w:ind w:left="540" w:right="20"/>
        <w:spacing w:after="0" w:line="239" w:lineRule="auto"/>
        <w:rPr>
          <w:sz w:val="20"/>
          <w:szCs w:val="20"/>
          <w:color w:val="auto"/>
        </w:rPr>
      </w:pPr>
      <w:r>
        <w:rPr>
          <w:rFonts w:ascii="Arial" w:cs="Arial" w:eastAsia="Arial" w:hAnsi="Arial"/>
          <w:sz w:val="22"/>
          <w:szCs w:val="22"/>
          <w:color w:val="auto"/>
        </w:rPr>
        <w:t>Genomics product revenue decreased 20% to $10.3 million from $12.9 million in the prior year period mainly due to reduced revenue from single-cell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56" w:lineRule="auto"/>
        <w:rPr>
          <w:sz w:val="20"/>
          <w:szCs w:val="20"/>
          <w:color w:val="auto"/>
        </w:rPr>
      </w:pPr>
      <w:r>
        <w:rPr>
          <w:rFonts w:ascii="Arial" w:cs="Arial" w:eastAsia="Arial" w:hAnsi="Arial"/>
          <w:sz w:val="21"/>
          <w:szCs w:val="21"/>
          <w:color w:val="auto"/>
        </w:rPr>
        <w:t>Mass cytometry product revenue increased more than 100% to $10.3 million from $5.1 million in the prior year period due to increased revenue from instruments and, to a lesser extent, increased revenue from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by geographic area: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Geographic Area</w:t>
            </w: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 by Geography</w:t>
            </w:r>
          </w:p>
        </w:tc>
        <w:tc>
          <w:tcPr>
            <w:tcW w:w="3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Year-over-Year Change</w:t>
            </w:r>
          </w:p>
        </w:tc>
        <w:tc>
          <w:tcPr>
            <w:tcW w:w="2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 of Total Revenue</w:t>
            </w:r>
          </w:p>
        </w:tc>
      </w:tr>
      <w:tr>
        <w:trPr>
          <w:trHeight w:val="256"/>
        </w:trPr>
        <w:tc>
          <w:tcPr>
            <w:tcW w:w="2240" w:type="dxa"/>
            <w:vAlign w:val="bottom"/>
          </w:tcPr>
          <w:p>
            <w:pPr>
              <w:ind w:left="20"/>
              <w:spacing w:after="0"/>
              <w:rPr>
                <w:sz w:val="20"/>
                <w:szCs w:val="20"/>
                <w:color w:val="auto"/>
              </w:rPr>
            </w:pPr>
            <w:r>
              <w:rPr>
                <w:rFonts w:ascii="Arial" w:cs="Arial" w:eastAsia="Arial" w:hAnsi="Arial"/>
                <w:sz w:val="22"/>
                <w:szCs w:val="22"/>
                <w:color w:val="auto"/>
              </w:rPr>
              <w:t>United States</w:t>
            </w:r>
          </w:p>
        </w:tc>
        <w:tc>
          <w:tcPr>
            <w:tcW w:w="3300" w:type="dxa"/>
            <w:vAlign w:val="bottom"/>
          </w:tcPr>
          <w:p>
            <w:pPr>
              <w:jc w:val="center"/>
              <w:spacing w:after="0"/>
              <w:rPr>
                <w:sz w:val="20"/>
                <w:szCs w:val="20"/>
                <w:color w:val="auto"/>
              </w:rPr>
            </w:pPr>
            <w:r>
              <w:rPr>
                <w:rFonts w:ascii="Arial" w:cs="Arial" w:eastAsia="Arial" w:hAnsi="Arial"/>
                <w:sz w:val="22"/>
                <w:szCs w:val="22"/>
                <w:color w:val="auto"/>
                <w:w w:val="93"/>
              </w:rPr>
              <w:t>$11.2 million</w:t>
            </w:r>
          </w:p>
        </w:tc>
        <w:tc>
          <w:tcPr>
            <w:tcW w:w="3140" w:type="dxa"/>
            <w:vAlign w:val="bottom"/>
          </w:tcPr>
          <w:p>
            <w:pPr>
              <w:jc w:val="right"/>
              <w:ind w:right="1132"/>
              <w:spacing w:after="0"/>
              <w:rPr>
                <w:sz w:val="20"/>
                <w:szCs w:val="20"/>
                <w:color w:val="auto"/>
              </w:rPr>
            </w:pPr>
            <w:r>
              <w:rPr>
                <w:rFonts w:ascii="Arial" w:cs="Arial" w:eastAsia="Arial" w:hAnsi="Arial"/>
                <w:sz w:val="22"/>
                <w:szCs w:val="22"/>
                <w:color w:val="auto"/>
              </w:rPr>
              <w:t>(11%)</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45%</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Europe</w:t>
            </w:r>
          </w:p>
        </w:tc>
        <w:tc>
          <w:tcPr>
            <w:tcW w:w="3300" w:type="dxa"/>
            <w:vAlign w:val="bottom"/>
          </w:tcPr>
          <w:p>
            <w:pPr>
              <w:jc w:val="center"/>
              <w:ind w:left="12"/>
              <w:spacing w:after="0"/>
              <w:rPr>
                <w:sz w:val="20"/>
                <w:szCs w:val="20"/>
                <w:color w:val="auto"/>
              </w:rPr>
            </w:pPr>
            <w:r>
              <w:rPr>
                <w:rFonts w:ascii="Arial" w:cs="Arial" w:eastAsia="Arial" w:hAnsi="Arial"/>
                <w:sz w:val="22"/>
                <w:szCs w:val="22"/>
                <w:color w:val="auto"/>
                <w:w w:val="95"/>
              </w:rPr>
              <w:t>$7.7 million</w:t>
            </w:r>
          </w:p>
        </w:tc>
        <w:tc>
          <w:tcPr>
            <w:tcW w:w="3140" w:type="dxa"/>
            <w:vAlign w:val="bottom"/>
          </w:tcPr>
          <w:p>
            <w:pPr>
              <w:jc w:val="right"/>
              <w:ind w:right="1192"/>
              <w:spacing w:after="0"/>
              <w:rPr>
                <w:sz w:val="20"/>
                <w:szCs w:val="20"/>
                <w:color w:val="auto"/>
              </w:rPr>
            </w:pPr>
            <w:r>
              <w:rPr>
                <w:rFonts w:ascii="Arial" w:cs="Arial" w:eastAsia="Arial" w:hAnsi="Arial"/>
                <w:sz w:val="22"/>
                <w:szCs w:val="22"/>
                <w:color w:val="auto"/>
              </w:rPr>
              <w:t>48%</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31%</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3300" w:type="dxa"/>
            <w:vAlign w:val="bottom"/>
          </w:tcPr>
          <w:p>
            <w:pPr>
              <w:jc w:val="center"/>
              <w:ind w:left="12"/>
              <w:spacing w:after="0"/>
              <w:rPr>
                <w:sz w:val="20"/>
                <w:szCs w:val="20"/>
                <w:color w:val="auto"/>
              </w:rPr>
            </w:pPr>
            <w:r>
              <w:rPr>
                <w:rFonts w:ascii="Arial" w:cs="Arial" w:eastAsia="Arial" w:hAnsi="Arial"/>
                <w:sz w:val="22"/>
                <w:szCs w:val="22"/>
                <w:color w:val="auto"/>
                <w:w w:val="95"/>
              </w:rPr>
              <w:t>$4.8 million</w:t>
            </w:r>
          </w:p>
        </w:tc>
        <w:tc>
          <w:tcPr>
            <w:tcW w:w="3140" w:type="dxa"/>
            <w:vAlign w:val="bottom"/>
          </w:tcPr>
          <w:p>
            <w:pPr>
              <w:jc w:val="right"/>
              <w:ind w:right="1192"/>
              <w:spacing w:after="0"/>
              <w:rPr>
                <w:sz w:val="20"/>
                <w:szCs w:val="20"/>
                <w:color w:val="auto"/>
              </w:rPr>
            </w:pPr>
            <w:r>
              <w:rPr>
                <w:rFonts w:ascii="Arial" w:cs="Arial" w:eastAsia="Arial" w:hAnsi="Arial"/>
                <w:sz w:val="22"/>
                <w:szCs w:val="22"/>
                <w:color w:val="auto"/>
              </w:rPr>
              <w:t>34%</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20%</w:t>
            </w:r>
          </w:p>
        </w:tc>
      </w:tr>
      <w:tr>
        <w:trPr>
          <w:trHeight w:val="27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330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color w:val="auto"/>
                <w:w w:val="95"/>
              </w:rPr>
              <w:t>$1.0 million</w:t>
            </w:r>
          </w:p>
        </w:tc>
        <w:tc>
          <w:tcPr>
            <w:tcW w:w="3140" w:type="dxa"/>
            <w:vAlign w:val="bottom"/>
            <w:tcBorders>
              <w:bottom w:val="single" w:sz="8" w:color="auto"/>
            </w:tcBorders>
          </w:tcPr>
          <w:p>
            <w:pPr>
              <w:jc w:val="right"/>
              <w:ind w:right="1192"/>
              <w:spacing w:after="0"/>
              <w:rPr>
                <w:sz w:val="20"/>
                <w:szCs w:val="20"/>
                <w:color w:val="auto"/>
              </w:rPr>
            </w:pPr>
            <w:r>
              <w:rPr>
                <w:rFonts w:ascii="Arial" w:cs="Arial" w:eastAsia="Arial" w:hAnsi="Arial"/>
                <w:sz w:val="22"/>
                <w:szCs w:val="22"/>
                <w:color w:val="auto"/>
              </w:rPr>
              <w:t>20%</w:t>
            </w:r>
          </w:p>
        </w:tc>
        <w:tc>
          <w:tcPr>
            <w:tcW w:w="2740" w:type="dxa"/>
            <w:vAlign w:val="bottom"/>
            <w:tcBorders>
              <w:bottom w:val="single" w:sz="8" w:color="auto"/>
            </w:tcBorders>
          </w:tcPr>
          <w:p>
            <w:pPr>
              <w:jc w:val="right"/>
              <w:ind w:right="992"/>
              <w:spacing w:after="0"/>
              <w:rPr>
                <w:sz w:val="20"/>
                <w:szCs w:val="20"/>
                <w:color w:val="auto"/>
              </w:rPr>
            </w:pPr>
            <w:r>
              <w:rPr>
                <w:rFonts w:ascii="Arial" w:cs="Arial" w:eastAsia="Arial" w:hAnsi="Arial"/>
                <w:sz w:val="22"/>
                <w:szCs w:val="22"/>
                <w:color w:val="auto"/>
              </w:rPr>
              <w:t>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margin:</w:t>
      </w:r>
    </w:p>
    <w:p>
      <w:pPr>
        <w:spacing w:after="0" w:line="14"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color w:val="auto"/>
        </w:rPr>
        <w:t>GAAP product margin was 44.5% in the third quarter of 2017 compared to 49.6% in the year ago period. Non-GAAP product margin was 62.1% in the third quarter of 2017 compared to 70.2% in the year ago period. Non-GAAP product margin excludes the</w:t>
      </w:r>
    </w:p>
    <w:p>
      <w:pPr>
        <w:sectPr>
          <w:pgSz w:w="11900" w:h="16928" w:orient="portrait"/>
          <w:cols w:equalWidth="0" w:num="1">
            <w:col w:w="11420"/>
          </w:cols>
          <w:pgMar w:left="240" w:top="112" w:right="239" w:bottom="0" w:gutter="0" w:footer="0" w:header="0"/>
        </w:sectPr>
      </w:pPr>
    </w:p>
    <w:bookmarkStart w:id="5" w:name="page6"/>
    <w:bookmarkEnd w:id="5"/>
    <w:p>
      <w:pPr>
        <w:spacing w:after="0" w:line="14" w:lineRule="exact"/>
        <w:rPr>
          <w:sz w:val="20"/>
          <w:szCs w:val="20"/>
          <w:color w:val="auto"/>
        </w:rPr>
      </w:pPr>
    </w:p>
    <w:p>
      <w:pPr>
        <w:ind w:right="680"/>
        <w:spacing w:after="0" w:line="274" w:lineRule="auto"/>
        <w:rPr>
          <w:sz w:val="20"/>
          <w:szCs w:val="20"/>
          <w:color w:val="auto"/>
        </w:rPr>
      </w:pPr>
      <w:r>
        <w:rPr>
          <w:rFonts w:ascii="Arial" w:cs="Arial" w:eastAsia="Arial" w:hAnsi="Arial"/>
          <w:sz w:val="21"/>
          <w:szCs w:val="21"/>
          <w:color w:val="auto"/>
        </w:rPr>
        <w:t>effects of amortization of developed technology, depreciation and amortization, and stock-based compensation expense (see accompanying table for the reconciliation of GAAP and non-GAAP product margins).</w:t>
      </w:r>
    </w:p>
    <w:p>
      <w:pPr>
        <w:spacing w:after="0" w:line="151"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year-over-year decreases in product margins were primarily due to increased genomics unit product costs from lower production volumes. The decrease in GAAP product margin was partially offset by fixed amortization of developed technology over higher revenues.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cash equivalents, and investments as of September 30, 2017:</w:t>
      </w:r>
    </w:p>
    <w:p>
      <w:pPr>
        <w:spacing w:after="0" w:line="14"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Cash, cash equivalents, and investments as of September 30, 2017, were $62.4 million, which included net proceeds of $28.8 million from our "at-the-market" equity offering completed in August 2017. Cash, cash equivalents, and investments were $42.0 million as of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Strategic Priorities and Other Business 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Foster Innovation and Partnerships</w:t>
      </w:r>
    </w:p>
    <w:p>
      <w:pPr>
        <w:spacing w:after="0" w:line="206" w:lineRule="exact"/>
        <w:rPr>
          <w:sz w:val="20"/>
          <w:szCs w:val="20"/>
          <w:color w:val="auto"/>
        </w:rPr>
      </w:pPr>
    </w:p>
    <w:p>
      <w:pPr>
        <w:ind w:left="540" w:right="320"/>
        <w:spacing w:after="0" w:line="252" w:lineRule="auto"/>
        <w:rPr>
          <w:sz w:val="20"/>
          <w:szCs w:val="20"/>
          <w:color w:val="auto"/>
        </w:rPr>
      </w:pPr>
      <w:r>
        <w:rPr>
          <w:rFonts w:ascii="Arial" w:cs="Arial" w:eastAsia="Arial" w:hAnsi="Arial"/>
          <w:sz w:val="21"/>
          <w:szCs w:val="21"/>
          <w:color w:val="auto"/>
        </w:rPr>
        <w:t>In October, we announced a distribution agreement with the University of Zurich to offer histoCAT software for multiparameter tissue analysis. When used with Imaging Mass Cytometry systems, histoCAT enables the identification of unique cellular social networks across a range of disease states. Under the agreement, Fluidigm obtained the rights to globally distribute histoCAT in conjunction with Imaging Mass Cytometry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-582295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spacing w:after="0" w:line="247" w:lineRule="auto"/>
        <w:rPr>
          <w:sz w:val="20"/>
          <w:szCs w:val="20"/>
          <w:color w:val="auto"/>
        </w:rPr>
      </w:pPr>
      <w:r>
        <w:rPr>
          <w:rFonts w:ascii="Arial" w:cs="Arial" w:eastAsia="Arial" w:hAnsi="Arial"/>
          <w:sz w:val="21"/>
          <w:szCs w:val="21"/>
          <w:color w:val="auto"/>
        </w:rPr>
        <w:t>Today we are announcing a Mass Cytometry Center of Excellence (MCCE) initiative to develop and share suspension mass cytometry expertise. Under this initiative, researchers will work with Fluidigm to expand and refine training in mass cytometry operation and techniques as well as develop new content that will be shared with Fluidigm. The initiative is part of a broader effort to foster a community with deep knowledge of advanced mass cytometry applications and accelerate the transition of newly published technologies into more widespread use. Fluidigm recently completed an agreement with a major academic research entity to be the first MCCE. Fluidigm plans to seek potential new MCCEs in 2018, and to explore extending the initiative to Imaging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-1043305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5" w:lineRule="exact"/>
        <w:rPr>
          <w:sz w:val="20"/>
          <w:szCs w:val="20"/>
          <w:color w:val="auto"/>
        </w:rPr>
      </w:pPr>
    </w:p>
    <w:p>
      <w:pPr>
        <w:jc w:val="both"/>
        <w:ind w:left="540" w:right="20"/>
        <w:spacing w:after="0" w:line="238" w:lineRule="auto"/>
        <w:rPr>
          <w:sz w:val="20"/>
          <w:szCs w:val="20"/>
          <w:color w:val="auto"/>
        </w:rPr>
      </w:pPr>
      <w:r>
        <w:rPr>
          <w:rFonts w:ascii="Arial" w:cs="Arial" w:eastAsia="Arial" w:hAnsi="Arial"/>
          <w:sz w:val="22"/>
          <w:szCs w:val="22"/>
          <w:color w:val="auto"/>
        </w:rPr>
        <w:t>Fluidigm and Baylor Genetics announced in August 2017 a licensing agreement to offer a next-generation sequencing library prep assay enabling efficient sequencing of the cystic fibrosis transmembrane conductance regulator (CFTR) gene. Under the agreement, Fluidigm obtained rights to commercialize a CFTR library prep assay developed by Baylor Genetics for research use with the Juno™ automated microfluidic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Increase Operational Efficiency and Reduce Costs</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Operating expenses for the third quarter were at the lower end of our guidance. In addition, the company continues to focus on value engineering, vendor negotiation, and other operational expense reduction programs. As noted previously, we expect to achieve more than $6 million in savings over four years from the exit or sublease of certain Fluidigm facilities. These savings are incremental to the approximately $8 million in savings before severance expenses we expected in 2017 as a result of steps taken to right-size the organization. For the first nine months of 2017, operating expenses decreased by $12.8 million or 13% on GAAP basis and $10 million or 11% on a non-GAAP basis compared to the year ago period.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Improve Financial Discipline and Manage Cash Balance</w:t>
      </w:r>
    </w:p>
    <w:p>
      <w:pPr>
        <w:spacing w:after="0" w:line="206"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As noted above, in August 2017, Fluidigm completed the sale of 9,090,909 shares of its common stock for aggregate net proceeds of approximately $28.8 million in an "at-the-market" (ATM) equity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160"/>
        <w:spacing w:after="0" w:line="297" w:lineRule="auto"/>
        <w:rPr>
          <w:sz w:val="20"/>
          <w:szCs w:val="20"/>
          <w:color w:val="auto"/>
        </w:rPr>
      </w:pPr>
      <w:r>
        <w:rPr>
          <w:rFonts w:ascii="Arial" w:cs="Arial" w:eastAsia="Arial" w:hAnsi="Arial"/>
          <w:sz w:val="19"/>
          <w:szCs w:val="19"/>
          <w:color w:val="auto"/>
        </w:rPr>
        <w:t>Our total cash outflow in the third quarter was $8.5 million, excluding net proceeds from our ATM offering, but including a $2 million, net payment related to a litigation settlement and our semi-annual interest payment on our convertible debt of approximately $2.8 million. We expect total cash outflow in the fourth quarter to decrease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2017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$25.5 million to $28.5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$26.5 million to $27.5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$23.5 million to $24.5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 of approximately $2.0 million and $1.1 million, respectively.</w:t>
      </w:r>
    </w:p>
    <w:p>
      <w:pPr>
        <w:ind w:left="540"/>
        <w:spacing w:after="0"/>
        <w:rPr>
          <w:sz w:val="20"/>
          <w:szCs w:val="20"/>
          <w:color w:val="auto"/>
        </w:rPr>
      </w:pPr>
      <w:r>
        <w:rPr>
          <w:rFonts w:ascii="Arial" w:cs="Arial" w:eastAsia="Arial" w:hAnsi="Arial"/>
          <w:sz w:val="22"/>
          <w:szCs w:val="22"/>
          <w:color w:val="auto"/>
        </w:rPr>
        <w:t>Total cash outflow of $2.0 million to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Information</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Fluidigm will host a conference call today, November 2, 2017, at 2:00 p.m. PT (5:00 p.m. ET). Individuals interested in listening to the conference call may do so by dialing (877) 556-5248 for domestic callers, or (720) 545-0029 for international callers. Please reference Conference ID 85402256. Interested parties may access the live teleconference in the Investor Relations section of the company’s website at: http://investors.fluidigm.com/events.cfm. The link will not be active until 1:45 p.m. PT (4:45 p.m. ET) on November 2, 2017.</w:t>
      </w:r>
    </w:p>
    <w:p>
      <w:pPr>
        <w:spacing w:after="0" w:line="181"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A telephone replay of the teleconference will be available 90 minutes after the end of the call at (855) 859-2056 (domestic toll-free), or (404) 537-3406 (international toll), Conference ID 85402256. The conference call will also be archived on the Fluidigm</w:t>
      </w:r>
    </w:p>
    <w:p>
      <w:pPr>
        <w:sectPr>
          <w:pgSz w:w="11900" w:h="16852" w:orient="portrait"/>
          <w:cols w:equalWidth="0" w:num="1">
            <w:col w:w="11400"/>
          </w:cols>
          <w:pgMar w:left="240" w:top="118" w:right="259" w:bottom="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Investors page at: http://investors.fluidigm.com/.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 and nine-month periods ended September 30, 2017, and September 30, 2016, as well as projected for the fourth quarter of 2017.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depreciation and amortization; loss on disposal of property and equipment; future changes relating to developed and acquired technologies; other intangible assets; and income taxes, among other items, certain of which are presented in the table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spacing w:after="0" w:line="244"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planned strategic initiatives and expected timing and benefits of such initiatives, expectations for the benefits of commercial agreements, the anticipated value of recently introduced products to customers and their benefits for various applications, cash flow expectations and cash management plans, and projected revenues, expenses, and cash flows for the fourth quarter of 2017.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risks relating to introductions of new capital equipment products driving volatility in revenue from period to period; the future financial performance of Fluidigm product lines, particularly with respect to legacy instruments that may have contributed significant revenue in prior periods;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Fluidigm’s Annual Report on Form 10-K for the year ended December 31, 2016, and in its other filings with the Securities and Exchange Commission, including Fluidigm’s Quarterly Report on Form 10-Q for the quarter ended June 30, 2017. These forward-looking statements speak only as of the date hereof. Fluidigm disclaims any obligation to update these forward-looking statements except as may be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Fluidigm, the Fluidigm logo, Helios, Hyperion, Imaging Mass Cytometry, and Juno are trademarks or registered trademarks of Fluidigm Corporation. All other trademarks are the sole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238" w:lineRule="auto"/>
        <w:rPr>
          <w:sz w:val="20"/>
          <w:szCs w:val="20"/>
          <w:color w:val="auto"/>
        </w:rPr>
      </w:pPr>
      <w:r>
        <w:rPr>
          <w:rFonts w:ascii="Arial" w:cs="Arial" w:eastAsia="Arial" w:hAnsi="Arial"/>
          <w:sz w:val="22"/>
          <w:szCs w:val="22"/>
          <w:color w:val="auto"/>
        </w:rPr>
        <w:t>Director, Corporate Development and Investor Relations</w:t>
      </w:r>
    </w:p>
    <w:p>
      <w:pPr>
        <w:spacing w:after="0" w:line="230" w:lineRule="auto"/>
        <w:rPr>
          <w:sz w:val="20"/>
          <w:szCs w:val="20"/>
          <w:color w:val="auto"/>
        </w:rPr>
      </w:pPr>
      <w:r>
        <w:rPr>
          <w:rFonts w:ascii="Arial" w:cs="Arial" w:eastAsia="Arial" w:hAnsi="Arial"/>
          <w:sz w:val="22"/>
          <w:szCs w:val="22"/>
          <w:color w:val="auto"/>
        </w:rPr>
        <w:t>650 243 6628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p>
      <w:pPr>
        <w:sectPr>
          <w:pgSz w:w="11900" w:h="16838" w:orient="portrait"/>
          <w:cols w:equalWidth="0" w:num="1">
            <w:col w:w="11420"/>
          </w:cols>
          <w:pgMar w:left="240" w:top="118" w:right="239" w:bottom="299"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(In thousands, except per share amounts)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4540" w:type="dxa"/>
            <w:vAlign w:val="bottom"/>
          </w:tcPr>
          <w:p>
            <w:pPr>
              <w:spacing w:after="0"/>
              <w:rPr>
                <w:sz w:val="24"/>
                <w:szCs w:val="24"/>
                <w:color w:val="auto"/>
              </w:rPr>
            </w:pPr>
          </w:p>
        </w:tc>
        <w:tc>
          <w:tcPr>
            <w:tcW w:w="6700" w:type="dxa"/>
            <w:vAlign w:val="bottom"/>
            <w:gridSpan w:val="11"/>
          </w:tcPr>
          <w:p>
            <w:pPr>
              <w:jc w:val="right"/>
              <w:spacing w:after="0"/>
              <w:rPr>
                <w:sz w:val="20"/>
                <w:szCs w:val="20"/>
                <w:color w:val="auto"/>
              </w:rPr>
            </w:pPr>
            <w:r>
              <w:rPr>
                <w:rFonts w:ascii="Arial" w:cs="Arial" w:eastAsia="Arial" w:hAnsi="Arial"/>
                <w:sz w:val="22"/>
                <w:szCs w:val="22"/>
                <w:b w:val="1"/>
                <w:bCs w:val="1"/>
                <w:color w:val="auto"/>
                <w:w w:val="89"/>
              </w:rPr>
              <w:t>Three Months Ended September 30, Nine Months Ended September 30,</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0"/>
                <w:szCs w:val="20"/>
                <w:color w:val="auto"/>
              </w:rPr>
            </w:pPr>
            <w:r>
              <w:rPr>
                <w:rFonts w:ascii="Arial" w:cs="Arial" w:eastAsia="Arial" w:hAnsi="Arial"/>
                <w:sz w:val="22"/>
                <w:szCs w:val="22"/>
                <w:color w:val="auto"/>
              </w:rPr>
              <w:t>Revenue:</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60"/>
              <w:spacing w:after="0"/>
              <w:rPr>
                <w:sz w:val="20"/>
                <w:szCs w:val="20"/>
                <w:color w:val="auto"/>
              </w:rPr>
            </w:pPr>
            <w:r>
              <w:rPr>
                <w:rFonts w:ascii="Arial" w:cs="Arial" w:eastAsia="Arial" w:hAnsi="Arial"/>
                <w:sz w:val="22"/>
                <w:szCs w:val="22"/>
                <w:color w:val="auto"/>
              </w:rPr>
              <w:t>Instruments</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10,518</w:t>
            </w:r>
          </w:p>
        </w:tc>
        <w:tc>
          <w:tcPr>
            <w:tcW w:w="120" w:type="dxa"/>
            <w:vAlign w:val="bottom"/>
          </w:tcPr>
          <w:p>
            <w:pPr>
              <w:spacing w:after="0"/>
              <w:rPr>
                <w:sz w:val="23"/>
                <w:szCs w:val="23"/>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9,172</w:t>
            </w:r>
          </w:p>
        </w:tc>
        <w:tc>
          <w:tcPr>
            <w:tcW w:w="80" w:type="dxa"/>
            <w:vAlign w:val="bottom"/>
          </w:tcPr>
          <w:p>
            <w:pPr>
              <w:spacing w:after="0"/>
              <w:rPr>
                <w:sz w:val="23"/>
                <w:szCs w:val="23"/>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31,183</w:t>
            </w:r>
          </w:p>
        </w:tc>
        <w:tc>
          <w:tcPr>
            <w:tcW w:w="12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36,181</w:t>
            </w:r>
          </w:p>
        </w:tc>
        <w:tc>
          <w:tcPr>
            <w:tcW w:w="0" w:type="dxa"/>
            <w:vAlign w:val="bottom"/>
          </w:tcPr>
          <w:p>
            <w:pPr>
              <w:spacing w:after="0"/>
              <w:rPr>
                <w:sz w:val="1"/>
                <w:szCs w:val="1"/>
                <w:color w:val="auto"/>
              </w:rPr>
            </w:pPr>
          </w:p>
        </w:tc>
      </w:tr>
      <w:tr>
        <w:trPr>
          <w:trHeight w:val="275"/>
        </w:trPr>
        <w:tc>
          <w:tcPr>
            <w:tcW w:w="4540" w:type="dxa"/>
            <w:vAlign w:val="bottom"/>
          </w:tcPr>
          <w:p>
            <w:pPr>
              <w:ind w:left="160"/>
              <w:spacing w:after="0"/>
              <w:rPr>
                <w:sz w:val="20"/>
                <w:szCs w:val="20"/>
                <w:color w:val="auto"/>
              </w:rPr>
            </w:pPr>
            <w:r>
              <w:rPr>
                <w:rFonts w:ascii="Arial" w:cs="Arial" w:eastAsia="Arial" w:hAnsi="Arial"/>
                <w:sz w:val="22"/>
                <w:szCs w:val="22"/>
                <w:color w:val="auto"/>
              </w:rPr>
              <w:t>Consumables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10,058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8,820</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30,200</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31,914</w:t>
            </w:r>
          </w:p>
        </w:tc>
        <w:tc>
          <w:tcPr>
            <w:tcW w:w="0" w:type="dxa"/>
            <w:vAlign w:val="bottom"/>
          </w:tcPr>
          <w:p>
            <w:pPr>
              <w:spacing w:after="0"/>
              <w:rPr>
                <w:sz w:val="1"/>
                <w:szCs w:val="1"/>
                <w:color w:val="auto"/>
              </w:rPr>
            </w:pPr>
          </w:p>
        </w:tc>
      </w:tr>
      <w:tr>
        <w:trPr>
          <w:trHeight w:val="259"/>
        </w:trPr>
        <w:tc>
          <w:tcPr>
            <w:tcW w:w="4540" w:type="dxa"/>
            <w:vAlign w:val="bottom"/>
          </w:tcPr>
          <w:p>
            <w:pPr>
              <w:ind w:left="120"/>
              <w:spacing w:after="0"/>
              <w:rPr>
                <w:sz w:val="20"/>
                <w:szCs w:val="20"/>
                <w:color w:val="auto"/>
              </w:rPr>
            </w:pPr>
            <w:r>
              <w:rPr>
                <w:rFonts w:ascii="Arial" w:cs="Arial" w:eastAsia="Arial" w:hAnsi="Arial"/>
                <w:sz w:val="22"/>
                <w:szCs w:val="22"/>
                <w:color w:val="auto"/>
              </w:rPr>
              <w:t>Product revenue</w:t>
            </w:r>
          </w:p>
        </w:tc>
        <w:tc>
          <w:tcPr>
            <w:tcW w:w="4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20,576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17,992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61,383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68,095</w:t>
            </w:r>
          </w:p>
        </w:tc>
        <w:tc>
          <w:tcPr>
            <w:tcW w:w="0" w:type="dxa"/>
            <w:vAlign w:val="bottom"/>
          </w:tcPr>
          <w:p>
            <w:pPr>
              <w:spacing w:after="0"/>
              <w:rPr>
                <w:sz w:val="1"/>
                <w:szCs w:val="1"/>
                <w:color w:val="auto"/>
              </w:rPr>
            </w:pPr>
          </w:p>
        </w:tc>
      </w:tr>
      <w:tr>
        <w:trPr>
          <w:trHeight w:val="270"/>
        </w:trPr>
        <w:tc>
          <w:tcPr>
            <w:tcW w:w="4540" w:type="dxa"/>
            <w:vAlign w:val="bottom"/>
          </w:tcPr>
          <w:p>
            <w:pPr>
              <w:ind w:left="120"/>
              <w:spacing w:after="0"/>
              <w:rPr>
                <w:sz w:val="20"/>
                <w:szCs w:val="20"/>
                <w:color w:val="auto"/>
              </w:rPr>
            </w:pPr>
            <w:r>
              <w:rPr>
                <w:rFonts w:ascii="Arial" w:cs="Arial" w:eastAsia="Arial" w:hAnsi="Arial"/>
                <w:sz w:val="22"/>
                <w:szCs w:val="22"/>
                <w:color w:val="auto"/>
              </w:rPr>
              <w:t>Service revenue</w:t>
            </w: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4,133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4,152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12,620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11,085</w:t>
            </w:r>
          </w:p>
        </w:tc>
        <w:tc>
          <w:tcPr>
            <w:tcW w:w="0" w:type="dxa"/>
            <w:vAlign w:val="bottom"/>
          </w:tcPr>
          <w:p>
            <w:pPr>
              <w:spacing w:after="0"/>
              <w:rPr>
                <w:sz w:val="1"/>
                <w:szCs w:val="1"/>
                <w:color w:val="auto"/>
              </w:rPr>
            </w:pPr>
          </w:p>
        </w:tc>
      </w:tr>
      <w:tr>
        <w:trPr>
          <w:trHeight w:val="275"/>
        </w:trPr>
        <w:tc>
          <w:tcPr>
            <w:tcW w:w="4540" w:type="dxa"/>
            <w:vAlign w:val="bottom"/>
          </w:tcPr>
          <w:p>
            <w:pPr>
              <w:ind w:left="120"/>
              <w:spacing w:after="0"/>
              <w:rPr>
                <w:sz w:val="20"/>
                <w:szCs w:val="20"/>
                <w:color w:val="auto"/>
              </w:rPr>
            </w:pPr>
            <w:r>
              <w:rPr>
                <w:rFonts w:ascii="Arial" w:cs="Arial" w:eastAsia="Arial" w:hAnsi="Arial"/>
                <w:sz w:val="22"/>
                <w:szCs w:val="22"/>
                <w:color w:val="auto"/>
              </w:rPr>
              <w:t>License revenue</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47</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190</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182</w:t>
            </w:r>
          </w:p>
        </w:tc>
        <w:tc>
          <w:tcPr>
            <w:tcW w:w="0" w:type="dxa"/>
            <w:vAlign w:val="bottom"/>
          </w:tcPr>
          <w:p>
            <w:pPr>
              <w:spacing w:after="0"/>
              <w:rPr>
                <w:sz w:val="1"/>
                <w:szCs w:val="1"/>
                <w:color w:val="auto"/>
              </w:rPr>
            </w:pPr>
          </w:p>
        </w:tc>
      </w:tr>
      <w:tr>
        <w:trPr>
          <w:trHeight w:val="259"/>
        </w:trPr>
        <w:tc>
          <w:tcPr>
            <w:tcW w:w="4540" w:type="dxa"/>
            <w:vAlign w:val="bottom"/>
          </w:tcPr>
          <w:p>
            <w:pPr>
              <w:spacing w:after="0"/>
              <w:rPr>
                <w:sz w:val="20"/>
                <w:szCs w:val="20"/>
                <w:color w:val="auto"/>
              </w:rPr>
            </w:pPr>
            <w:r>
              <w:rPr>
                <w:rFonts w:ascii="Arial" w:cs="Arial" w:eastAsia="Arial" w:hAnsi="Arial"/>
                <w:sz w:val="22"/>
                <w:szCs w:val="22"/>
                <w:color w:val="auto"/>
              </w:rPr>
              <w:t>Total revenue</w:t>
            </w:r>
          </w:p>
        </w:tc>
        <w:tc>
          <w:tcPr>
            <w:tcW w:w="4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24,747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22,191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74,193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79,362</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22"/>
                <w:szCs w:val="22"/>
                <w:color w:val="auto"/>
              </w:rPr>
              <w:t>Costs and expenses:</w:t>
            </w: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11,414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9,071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33,060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31,097</w:t>
            </w:r>
          </w:p>
        </w:tc>
        <w:tc>
          <w:tcPr>
            <w:tcW w:w="0" w:type="dxa"/>
            <w:vAlign w:val="bottom"/>
          </w:tcPr>
          <w:p>
            <w:pPr>
              <w:spacing w:after="0"/>
              <w:rPr>
                <w:sz w:val="1"/>
                <w:szCs w:val="1"/>
                <w:color w:val="auto"/>
              </w:rPr>
            </w:pPr>
          </w:p>
        </w:tc>
      </w:tr>
      <w:tr>
        <w:trPr>
          <w:trHeight w:val="270"/>
        </w:trPr>
        <w:tc>
          <w:tcPr>
            <w:tcW w:w="454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1,150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1,228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3,437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3,673</w:t>
            </w:r>
          </w:p>
        </w:tc>
        <w:tc>
          <w:tcPr>
            <w:tcW w:w="0" w:type="dxa"/>
            <w:vAlign w:val="bottom"/>
          </w:tcPr>
          <w:p>
            <w:pPr>
              <w:spacing w:after="0"/>
              <w:rPr>
                <w:sz w:val="1"/>
                <w:szCs w:val="1"/>
                <w:color w:val="auto"/>
              </w:rPr>
            </w:pPr>
          </w:p>
        </w:tc>
      </w:tr>
      <w:tr>
        <w:trPr>
          <w:trHeight w:val="270"/>
        </w:trPr>
        <w:tc>
          <w:tcPr>
            <w:tcW w:w="454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7,683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9,252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23,668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29,642</w:t>
            </w:r>
          </w:p>
        </w:tc>
        <w:tc>
          <w:tcPr>
            <w:tcW w:w="0" w:type="dxa"/>
            <w:vAlign w:val="bottom"/>
          </w:tcPr>
          <w:p>
            <w:pPr>
              <w:spacing w:after="0"/>
              <w:rPr>
                <w:sz w:val="1"/>
                <w:szCs w:val="1"/>
                <w:color w:val="auto"/>
              </w:rPr>
            </w:pPr>
          </w:p>
        </w:tc>
      </w:tr>
      <w:tr>
        <w:trPr>
          <w:trHeight w:val="275"/>
        </w:trPr>
        <w:tc>
          <w:tcPr>
            <w:tcW w:w="454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20,102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21,123</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63,653</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70,444</w:t>
            </w:r>
          </w:p>
        </w:tc>
        <w:tc>
          <w:tcPr>
            <w:tcW w:w="0" w:type="dxa"/>
            <w:vAlign w:val="bottom"/>
          </w:tcPr>
          <w:p>
            <w:pPr>
              <w:spacing w:after="0"/>
              <w:rPr>
                <w:sz w:val="1"/>
                <w:szCs w:val="1"/>
                <w:color w:val="auto"/>
              </w:rPr>
            </w:pPr>
          </w:p>
        </w:tc>
      </w:tr>
      <w:tr>
        <w:trPr>
          <w:trHeight w:val="267"/>
        </w:trPr>
        <w:tc>
          <w:tcPr>
            <w:tcW w:w="454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40,349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40,674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123,818</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134,856</w:t>
            </w: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0"/>
                <w:szCs w:val="20"/>
                <w:color w:val="auto"/>
              </w:rPr>
            </w:pPr>
            <w:r>
              <w:rPr>
                <w:rFonts w:ascii="Arial" w:cs="Arial" w:eastAsia="Arial" w:hAnsi="Arial"/>
                <w:sz w:val="22"/>
                <w:szCs w:val="22"/>
                <w:color w:val="auto"/>
              </w:rPr>
              <w:t>Loss from operations</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(15,602)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(18,483)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(49,625)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(55,494)</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22"/>
                <w:szCs w:val="22"/>
                <w:color w:val="auto"/>
              </w:rPr>
              <w:t>Interest expense</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(1,456)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(1,454)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(4,367)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(4,361)</w:t>
            </w:r>
          </w:p>
        </w:tc>
        <w:tc>
          <w:tcPr>
            <w:tcW w:w="0" w:type="dxa"/>
            <w:vAlign w:val="bottom"/>
          </w:tcPr>
          <w:p>
            <w:pPr>
              <w:spacing w:after="0"/>
              <w:rPr>
                <w:sz w:val="1"/>
                <w:szCs w:val="1"/>
                <w:color w:val="auto"/>
              </w:rPr>
            </w:pPr>
          </w:p>
        </w:tc>
      </w:tr>
      <w:tr>
        <w:trPr>
          <w:trHeight w:val="275"/>
        </w:trPr>
        <w:tc>
          <w:tcPr>
            <w:tcW w:w="454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571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(527)</w:t>
            </w:r>
          </w:p>
        </w:tc>
        <w:tc>
          <w:tcPr>
            <w:tcW w:w="0" w:type="dxa"/>
            <w:vAlign w:val="bottom"/>
          </w:tcPr>
          <w:p>
            <w:pPr>
              <w:spacing w:after="0"/>
              <w:rPr>
                <w:sz w:val="1"/>
                <w:szCs w:val="1"/>
                <w:color w:val="auto"/>
              </w:rPr>
            </w:pPr>
          </w:p>
        </w:tc>
      </w:tr>
      <w:tr>
        <w:trPr>
          <w:trHeight w:val="259"/>
        </w:trPr>
        <w:tc>
          <w:tcPr>
            <w:tcW w:w="454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(16,679)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(20,098)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(53,421)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(60,382)</w:t>
            </w:r>
          </w:p>
        </w:tc>
        <w:tc>
          <w:tcPr>
            <w:tcW w:w="0" w:type="dxa"/>
            <w:vAlign w:val="bottom"/>
          </w:tcPr>
          <w:p>
            <w:pPr>
              <w:spacing w:after="0"/>
              <w:rPr>
                <w:sz w:val="1"/>
                <w:szCs w:val="1"/>
                <w:color w:val="auto"/>
              </w:rPr>
            </w:pPr>
          </w:p>
        </w:tc>
      </w:tr>
      <w:tr>
        <w:trPr>
          <w:trHeight w:val="276"/>
        </w:trPr>
        <w:tc>
          <w:tcPr>
            <w:tcW w:w="4540" w:type="dxa"/>
            <w:vAlign w:val="bottom"/>
          </w:tcPr>
          <w:p>
            <w:pPr>
              <w:spacing w:after="0"/>
              <w:rPr>
                <w:sz w:val="20"/>
                <w:szCs w:val="20"/>
                <w:color w:val="auto"/>
              </w:rPr>
            </w:pPr>
            <w:r>
              <w:rPr>
                <w:rFonts w:ascii="Arial" w:cs="Arial" w:eastAsia="Arial" w:hAnsi="Arial"/>
                <w:sz w:val="22"/>
                <w:szCs w:val="22"/>
                <w:color w:val="auto"/>
              </w:rPr>
              <w:t>Benefit from income taxes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735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309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3,343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2,093</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Arial" w:cs="Arial" w:eastAsia="Arial" w:hAnsi="Arial"/>
                <w:sz w:val="22"/>
                <w:szCs w:val="22"/>
                <w:color w:val="auto"/>
              </w:rPr>
              <w:t>Net loss</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(15,944)</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(19,789)</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(50,078)</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(58,289)</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54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(0.46)</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(0.68)</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22"/>
                <w:szCs w:val="22"/>
                <w:color w:val="auto"/>
                <w:w w:val="90"/>
              </w:rPr>
              <w:t>Shares used in computing net loss per share, basic</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4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22"/>
                <w:szCs w:val="22"/>
                <w:color w:val="auto"/>
              </w:rPr>
              <w:t>34,513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22"/>
                <w:szCs w:val="22"/>
                <w:color w:val="auto"/>
              </w:rPr>
              <w:t>29,069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22"/>
                <w:szCs w:val="22"/>
                <w:color w:val="auto"/>
              </w:rPr>
              <w:t>31,051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22"/>
                <w:szCs w:val="22"/>
                <w:color w:val="auto"/>
              </w:rPr>
              <w:t>28,959</w:t>
            </w:r>
          </w:p>
        </w:tc>
        <w:tc>
          <w:tcPr>
            <w:tcW w:w="0" w:type="dxa"/>
            <w:vAlign w:val="bottom"/>
          </w:tcPr>
          <w:p>
            <w:pPr>
              <w:spacing w:after="0"/>
              <w:rPr>
                <w:sz w:val="1"/>
                <w:szCs w:val="1"/>
                <w:color w:val="auto"/>
              </w:rPr>
            </w:pPr>
          </w:p>
        </w:tc>
      </w:tr>
      <w:tr>
        <w:trPr>
          <w:trHeight w:val="251"/>
        </w:trPr>
        <w:tc>
          <w:tcPr>
            <w:tcW w:w="4540" w:type="dxa"/>
            <w:vAlign w:val="bottom"/>
          </w:tcPr>
          <w:p>
            <w:pPr>
              <w:spacing w:after="0" w:line="251" w:lineRule="exact"/>
              <w:rPr>
                <w:sz w:val="20"/>
                <w:szCs w:val="20"/>
                <w:color w:val="auto"/>
              </w:rPr>
            </w:pPr>
            <w:r>
              <w:rPr>
                <w:rFonts w:ascii="Arial" w:cs="Arial" w:eastAsia="Arial" w:hAnsi="Arial"/>
                <w:sz w:val="22"/>
                <w:szCs w:val="22"/>
                <w:color w:val="auto"/>
              </w:rPr>
              <w:t>and diluted</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b w:val="1"/>
                <w:bCs w:val="1"/>
                <w:color w:val="auto"/>
              </w:rPr>
              <w:t>September 30, 2017</w:t>
            </w:r>
          </w:p>
        </w:tc>
        <w:tc>
          <w:tcPr>
            <w:tcW w:w="2660" w:type="dxa"/>
            <w:vAlign w:val="bottom"/>
            <w:gridSpan w:val="2"/>
          </w:tcPr>
          <w:p>
            <w:pPr>
              <w:jc w:val="right"/>
              <w:ind w:right="212"/>
              <w:spacing w:after="0"/>
              <w:rPr>
                <w:sz w:val="20"/>
                <w:szCs w:val="20"/>
                <w:color w:val="auto"/>
              </w:rPr>
            </w:pPr>
            <w:r>
              <w:rPr>
                <w:rFonts w:ascii="Arial" w:cs="Arial" w:eastAsia="Arial" w:hAnsi="Arial"/>
                <w:sz w:val="22"/>
                <w:szCs w:val="22"/>
                <w:b w:val="1"/>
                <w:bCs w:val="1"/>
                <w:color w:val="auto"/>
                <w:w w:val="99"/>
              </w:rPr>
              <w:t xml:space="preserve">December 31, 2016 </w:t>
            </w:r>
            <w:r>
              <w:rPr>
                <w:rFonts w:ascii="Arial" w:cs="Arial" w:eastAsia="Arial" w:hAnsi="Arial"/>
                <w:sz w:val="36"/>
                <w:szCs w:val="36"/>
                <w:b w:val="1"/>
                <w:bCs w:val="1"/>
                <w:color w:val="auto"/>
                <w:w w:val="99"/>
                <w:vertAlign w:val="subscript"/>
              </w:rPr>
              <w:t>(1)</w:t>
            </w:r>
          </w:p>
        </w:tc>
        <w:tc>
          <w:tcPr>
            <w:tcW w:w="0" w:type="dxa"/>
            <w:vAlign w:val="bottom"/>
          </w:tcPr>
          <w:p>
            <w:pPr>
              <w:spacing w:after="0"/>
              <w:rPr>
                <w:sz w:val="1"/>
                <w:szCs w:val="1"/>
                <w:color w:val="auto"/>
              </w:rPr>
            </w:pPr>
          </w:p>
        </w:tc>
      </w:tr>
      <w:tr>
        <w:trPr>
          <w:trHeight w:val="278"/>
        </w:trPr>
        <w:tc>
          <w:tcPr>
            <w:tcW w:w="620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2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Current assets:</w:t>
            </w:r>
          </w:p>
        </w:tc>
        <w:tc>
          <w:tcPr>
            <w:tcW w:w="2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spacing w:after="0"/>
              <w:rPr>
                <w:sz w:val="20"/>
                <w:szCs w:val="20"/>
                <w:color w:val="auto"/>
              </w:rPr>
            </w:pPr>
            <w:r>
              <w:rPr>
                <w:rFonts w:ascii="Arial" w:cs="Arial" w:eastAsia="Arial" w:hAnsi="Arial"/>
                <w:sz w:val="22"/>
                <w:szCs w:val="22"/>
                <w:color w:val="auto"/>
              </w:rPr>
              <w:t>60,944</w:t>
            </w:r>
          </w:p>
        </w:tc>
        <w:tc>
          <w:tcPr>
            <w:tcW w:w="80" w:type="dxa"/>
            <w:vAlign w:val="bottom"/>
          </w:tcPr>
          <w:p>
            <w:pPr>
              <w:spacing w:after="0"/>
              <w:rPr>
                <w:sz w:val="23"/>
                <w:szCs w:val="23"/>
                <w:color w:val="auto"/>
              </w:rPr>
            </w:pPr>
          </w:p>
        </w:tc>
        <w:tc>
          <w:tcPr>
            <w:tcW w:w="1140" w:type="dxa"/>
            <w:vAlign w:val="bottom"/>
          </w:tcPr>
          <w:p>
            <w:pPr>
              <w:jc w:val="right"/>
              <w:ind w:right="712"/>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35,045</w:t>
            </w: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Short-term investments</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1,430</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24,385</w:t>
            </w: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13,732</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14,610</w:t>
            </w: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17,746</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20,114</w:t>
            </w:r>
          </w:p>
        </w:tc>
        <w:tc>
          <w:tcPr>
            <w:tcW w:w="0" w:type="dxa"/>
            <w:vAlign w:val="bottom"/>
          </w:tcPr>
          <w:p>
            <w:pPr>
              <w:spacing w:after="0"/>
              <w:rPr>
                <w:sz w:val="1"/>
                <w:szCs w:val="1"/>
                <w:color w:val="auto"/>
              </w:rPr>
            </w:pPr>
          </w:p>
        </w:tc>
      </w:tr>
      <w:tr>
        <w:trPr>
          <w:trHeight w:val="275"/>
        </w:trPr>
        <w:tc>
          <w:tcPr>
            <w:tcW w:w="620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2,314</w:t>
            </w:r>
          </w:p>
        </w:tc>
        <w:tc>
          <w:tcPr>
            <w:tcW w:w="8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w:t>
            </w:r>
          </w:p>
        </w:tc>
        <w:tc>
          <w:tcPr>
            <w:tcW w:w="0" w:type="dxa"/>
            <w:vAlign w:val="bottom"/>
          </w:tcPr>
          <w:p>
            <w:pPr>
              <w:spacing w:after="0"/>
              <w:rPr>
                <w:sz w:val="1"/>
                <w:szCs w:val="1"/>
                <w:color w:val="auto"/>
              </w:rPr>
            </w:pPr>
          </w:p>
        </w:tc>
      </w:tr>
      <w:tr>
        <w:trPr>
          <w:trHeight w:val="259"/>
        </w:trPr>
        <w:tc>
          <w:tcPr>
            <w:tcW w:w="6200" w:type="dxa"/>
            <w:vAlign w:val="bottom"/>
          </w:tcPr>
          <w:p>
            <w:pPr>
              <w:spacing w:after="0"/>
              <w:rPr>
                <w:sz w:val="20"/>
                <w:szCs w:val="20"/>
                <w:color w:val="auto"/>
              </w:rPr>
            </w:pPr>
            <w:r>
              <w:rPr>
                <w:rFonts w:ascii="Arial" w:cs="Arial" w:eastAsia="Arial" w:hAnsi="Arial"/>
                <w:sz w:val="22"/>
                <w:szCs w:val="22"/>
                <w:color w:val="auto"/>
              </w:rPr>
              <w:t>Total current assets</w:t>
            </w:r>
          </w:p>
        </w:tc>
        <w:tc>
          <w:tcPr>
            <w:tcW w:w="2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96,166</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96,671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13,335</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16,525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6,987</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9,291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71,400</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79,800</w:t>
            </w: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0"/>
                <w:szCs w:val="20"/>
                <w:color w:val="auto"/>
              </w:rPr>
            </w:pPr>
            <w:r>
              <w:rPr>
                <w:rFonts w:ascii="Arial" w:cs="Arial" w:eastAsia="Arial" w:hAnsi="Arial"/>
                <w:sz w:val="22"/>
                <w:szCs w:val="22"/>
                <w:color w:val="auto"/>
              </w:rPr>
              <w:t>Goodwill</w:t>
            </w: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0"/>
                <w:szCs w:val="20"/>
                <w:color w:val="auto"/>
              </w:rPr>
            </w:pPr>
            <w:r>
              <w:rPr>
                <w:rFonts w:ascii="Arial" w:cs="Arial" w:eastAsia="Arial" w:hAnsi="Arial"/>
                <w:sz w:val="22"/>
                <w:szCs w:val="22"/>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291,996</w:t>
            </w:r>
          </w:p>
        </w:tc>
        <w:tc>
          <w:tcPr>
            <w:tcW w:w="80" w:type="dxa"/>
            <w:vAlign w:val="bottom"/>
          </w:tcPr>
          <w:p>
            <w:pPr>
              <w:spacing w:after="0"/>
              <w:rPr>
                <w:sz w:val="23"/>
                <w:szCs w:val="23"/>
                <w:color w:val="auto"/>
              </w:rPr>
            </w:pPr>
          </w:p>
        </w:tc>
        <w:tc>
          <w:tcPr>
            <w:tcW w:w="114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Current liabilities:</w:t>
            </w:r>
          </w:p>
        </w:tc>
        <w:tc>
          <w:tcPr>
            <w:tcW w:w="2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spacing w:after="0"/>
              <w:rPr>
                <w:sz w:val="20"/>
                <w:szCs w:val="20"/>
                <w:color w:val="auto"/>
              </w:rPr>
            </w:pPr>
            <w:r>
              <w:rPr>
                <w:rFonts w:ascii="Arial" w:cs="Arial" w:eastAsia="Arial" w:hAnsi="Arial"/>
                <w:sz w:val="22"/>
                <w:szCs w:val="22"/>
                <w:color w:val="auto"/>
              </w:rPr>
              <w:t>4,721</w:t>
            </w:r>
          </w:p>
        </w:tc>
        <w:tc>
          <w:tcPr>
            <w:tcW w:w="80" w:type="dxa"/>
            <w:vAlign w:val="bottom"/>
          </w:tcPr>
          <w:p>
            <w:pPr>
              <w:spacing w:after="0"/>
              <w:rPr>
                <w:sz w:val="23"/>
                <w:szCs w:val="23"/>
                <w:color w:val="auto"/>
              </w:rPr>
            </w:pPr>
          </w:p>
        </w:tc>
        <w:tc>
          <w:tcPr>
            <w:tcW w:w="1140" w:type="dxa"/>
            <w:vAlign w:val="bottom"/>
          </w:tcPr>
          <w:p>
            <w:pPr>
              <w:jc w:val="right"/>
              <w:ind w:right="712"/>
              <w:spacing w:after="0"/>
              <w:rPr>
                <w:sz w:val="20"/>
                <w:szCs w:val="20"/>
                <w:color w:val="auto"/>
              </w:rPr>
            </w:pPr>
            <w:r>
              <w:rPr>
                <w:rFonts w:ascii="Arial" w:cs="Arial" w:eastAsia="Arial" w:hAnsi="Arial"/>
                <w:sz w:val="22"/>
                <w:szCs w:val="22"/>
                <w:color w:val="auto"/>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3,967</w:t>
            </w:r>
          </w:p>
        </w:tc>
        <w:tc>
          <w:tcPr>
            <w:tcW w:w="0" w:type="dxa"/>
            <w:vAlign w:val="bottom"/>
          </w:tcPr>
          <w:p>
            <w:pPr>
              <w:spacing w:after="0"/>
              <w:rPr>
                <w:sz w:val="1"/>
                <w:szCs w:val="1"/>
                <w:color w:val="auto"/>
              </w:rPr>
            </w:pPr>
          </w:p>
        </w:tc>
      </w:tr>
      <w:tr>
        <w:trPr>
          <w:trHeight w:val="270"/>
        </w:trPr>
        <w:tc>
          <w:tcPr>
            <w:tcW w:w="6200" w:type="dxa"/>
            <w:vAlign w:val="bottom"/>
          </w:tcPr>
          <w:p>
            <w:pPr>
              <w:ind w:left="100"/>
              <w:spacing w:after="0"/>
              <w:rPr>
                <w:sz w:val="20"/>
                <w:szCs w:val="20"/>
                <w:color w:val="auto"/>
              </w:rPr>
            </w:pPr>
            <w:r>
              <w:rPr>
                <w:rFonts w:ascii="Arial" w:cs="Arial" w:eastAsia="Arial" w:hAnsi="Arial"/>
                <w:sz w:val="22"/>
                <w:szCs w:val="22"/>
                <w:color w:val="auto"/>
              </w:rPr>
              <w:t>Accrued compensation and related benefits</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8,954</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3,996</w:t>
            </w:r>
          </w:p>
        </w:tc>
        <w:tc>
          <w:tcPr>
            <w:tcW w:w="0" w:type="dxa"/>
            <w:vAlign w:val="bottom"/>
          </w:tcPr>
          <w:p>
            <w:pPr>
              <w:spacing w:after="0"/>
              <w:rPr>
                <w:sz w:val="1"/>
                <w:szCs w:val="1"/>
                <w:color w:val="auto"/>
              </w:rPr>
            </w:pPr>
          </w:p>
        </w:tc>
      </w:tr>
      <w:tr>
        <w:trPr>
          <w:trHeight w:val="275"/>
        </w:trPr>
        <w:tc>
          <w:tcPr>
            <w:tcW w:w="6200" w:type="dxa"/>
            <w:vAlign w:val="bottom"/>
          </w:tcPr>
          <w:p>
            <w:pPr>
              <w:ind w:left="100"/>
              <w:spacing w:after="0"/>
              <w:rPr>
                <w:sz w:val="20"/>
                <w:szCs w:val="20"/>
                <w:color w:val="auto"/>
              </w:rPr>
            </w:pPr>
            <w:r>
              <w:rPr>
                <w:rFonts w:ascii="Arial" w:cs="Arial" w:eastAsia="Arial" w:hAnsi="Arial"/>
                <w:sz w:val="22"/>
                <w:szCs w:val="22"/>
                <w:color w:val="auto"/>
              </w:rPr>
              <w:t>Other accrued liabilities</w:t>
            </w:r>
          </w:p>
        </w:tc>
        <w:tc>
          <w:tcPr>
            <w:tcW w:w="28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8,332</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12,374</w:t>
            </w:r>
          </w:p>
        </w:tc>
        <w:tc>
          <w:tcPr>
            <w:tcW w:w="0" w:type="dxa"/>
            <w:vAlign w:val="bottom"/>
          </w:tcPr>
          <w:p>
            <w:pPr>
              <w:spacing w:after="0"/>
              <w:rPr>
                <w:sz w:val="1"/>
                <w:szCs w:val="1"/>
                <w:color w:val="auto"/>
              </w:rPr>
            </w:pPr>
          </w:p>
        </w:tc>
      </w:tr>
    </w:tbl>
    <w:p>
      <w:pPr>
        <w:sectPr>
          <w:pgSz w:w="11900" w:h="16838" w:orient="portrait"/>
          <w:cols w:equalWidth="0" w:num="1">
            <w:col w:w="11320"/>
          </w:cols>
          <w:pgMar w:left="260" w:top="111" w:right="3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00" w:type="dxa"/>
            <w:vAlign w:val="bottom"/>
          </w:tcPr>
          <w:p>
            <w:pPr>
              <w:ind w:left="100"/>
              <w:spacing w:after="0"/>
              <w:rPr>
                <w:sz w:val="20"/>
                <w:szCs w:val="20"/>
                <w:color w:val="auto"/>
              </w:rPr>
            </w:pPr>
            <w:r>
              <w:rPr>
                <w:rFonts w:ascii="Arial" w:cs="Arial" w:eastAsia="Arial" w:hAnsi="Arial"/>
                <w:sz w:val="22"/>
                <w:szCs w:val="22"/>
                <w:color w:val="auto"/>
              </w:rPr>
              <w:t>Deferred revenue, current portion</w:t>
            </w:r>
          </w:p>
        </w:tc>
        <w:tc>
          <w:tcPr>
            <w:tcW w:w="9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9,877</w:t>
            </w:r>
          </w:p>
        </w:tc>
        <w:tc>
          <w:tcPr>
            <w:tcW w:w="8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9,163</w:t>
            </w:r>
          </w:p>
        </w:tc>
      </w:tr>
      <w:tr>
        <w:trPr>
          <w:trHeight w:val="259"/>
        </w:trPr>
        <w:tc>
          <w:tcPr>
            <w:tcW w:w="620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9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31,884</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29,500</w:t>
            </w: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Convertible notes, net</w:t>
            </w:r>
          </w:p>
        </w:tc>
        <w:tc>
          <w:tcPr>
            <w:tcW w:w="9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195,166</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194,951</w:t>
            </w:r>
          </w:p>
        </w:tc>
      </w:tr>
      <w:tr>
        <w:trPr>
          <w:trHeight w:val="270"/>
        </w:trPr>
        <w:tc>
          <w:tcPr>
            <w:tcW w:w="620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9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15,916</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21,140</w:t>
            </w:r>
          </w:p>
        </w:tc>
      </w:tr>
      <w:tr>
        <w:trPr>
          <w:trHeight w:val="275"/>
        </w:trPr>
        <w:tc>
          <w:tcPr>
            <w:tcW w:w="62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9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9,960</w:t>
            </w:r>
          </w:p>
        </w:tc>
        <w:tc>
          <w:tcPr>
            <w:tcW w:w="8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7,571</w:t>
            </w:r>
          </w:p>
        </w:tc>
      </w:tr>
      <w:tr>
        <w:trPr>
          <w:trHeight w:val="259"/>
        </w:trPr>
        <w:tc>
          <w:tcPr>
            <w:tcW w:w="6200" w:type="dxa"/>
            <w:vAlign w:val="bottom"/>
          </w:tcPr>
          <w:p>
            <w:pPr>
              <w:spacing w:after="0"/>
              <w:rPr>
                <w:sz w:val="20"/>
                <w:szCs w:val="20"/>
                <w:color w:val="auto"/>
              </w:rPr>
            </w:pPr>
            <w:r>
              <w:rPr>
                <w:rFonts w:ascii="Arial" w:cs="Arial" w:eastAsia="Arial" w:hAnsi="Arial"/>
                <w:sz w:val="22"/>
                <w:szCs w:val="22"/>
                <w:color w:val="auto"/>
              </w:rPr>
              <w:t>Total liabilities</w:t>
            </w:r>
          </w:p>
        </w:tc>
        <w:tc>
          <w:tcPr>
            <w:tcW w:w="9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252,926</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253,162</w:t>
            </w:r>
          </w:p>
        </w:tc>
      </w:tr>
      <w:tr>
        <w:trPr>
          <w:trHeight w:val="276"/>
        </w:trPr>
        <w:tc>
          <w:tcPr>
            <w:tcW w:w="620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39,070</w:t>
            </w:r>
          </w:p>
        </w:tc>
        <w:tc>
          <w:tcPr>
            <w:tcW w:w="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53,233</w:t>
            </w:r>
          </w:p>
        </w:tc>
      </w:tr>
      <w:tr>
        <w:trPr>
          <w:trHeight w:val="265"/>
        </w:trPr>
        <w:tc>
          <w:tcPr>
            <w:tcW w:w="620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291,996</w:t>
            </w:r>
          </w:p>
        </w:tc>
        <w:tc>
          <w:tcPr>
            <w:tcW w:w="80" w:type="dxa"/>
            <w:vAlign w:val="bottom"/>
          </w:tcPr>
          <w:p>
            <w:pPr>
              <w:spacing w:after="0"/>
              <w:rPr>
                <w:sz w:val="23"/>
                <w:szCs w:val="23"/>
                <w:color w:val="auto"/>
              </w:rPr>
            </w:pPr>
          </w:p>
        </w:tc>
        <w:tc>
          <w:tcPr>
            <w:tcW w:w="114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r>
      <w:tr>
        <w:trPr>
          <w:trHeight w:val="21"/>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i w:val="1"/>
          <w:iCs w:val="1"/>
          <w:color w:val="auto"/>
        </w:rPr>
        <w:t>(In thousands)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22"/>
                <w:szCs w:val="22"/>
                <w:b w:val="1"/>
                <w:bCs w:val="1"/>
                <w:color w:val="auto"/>
                <w:w w:val="90"/>
              </w:rPr>
              <w:t>Nine Months Ended September 30,</w:t>
            </w:r>
          </w:p>
        </w:tc>
      </w:tr>
      <w:tr>
        <w:trPr>
          <w:trHeight w:val="265"/>
        </w:trPr>
        <w:tc>
          <w:tcPr>
            <w:tcW w:w="74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1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r>
      <w:tr>
        <w:trPr>
          <w:trHeight w:val="256"/>
        </w:trPr>
        <w:tc>
          <w:tcPr>
            <w:tcW w:w="74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Net loss</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(50,078)</w:t>
            </w:r>
          </w:p>
        </w:tc>
        <w:tc>
          <w:tcPr>
            <w:tcW w:w="140" w:type="dxa"/>
            <w:vAlign w:val="bottom"/>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(58,289)</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5,820</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4,972</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7,097</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11,033</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8,400</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8,400</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Other non-cash items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(535)</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592</w:t>
            </w:r>
          </w:p>
        </w:tc>
      </w:tr>
      <w:tr>
        <w:trPr>
          <w:trHeight w:val="275"/>
        </w:trPr>
        <w:tc>
          <w:tcPr>
            <w:tcW w:w="74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4,537</w:t>
            </w:r>
          </w:p>
        </w:tc>
        <w:tc>
          <w:tcPr>
            <w:tcW w:w="1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4,884</w:t>
            </w:r>
          </w:p>
        </w:tc>
      </w:tr>
      <w:tr>
        <w:trPr>
          <w:trHeight w:val="272"/>
        </w:trPr>
        <w:tc>
          <w:tcPr>
            <w:tcW w:w="74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(24,759)</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(28,408)</w:t>
            </w:r>
          </w:p>
        </w:tc>
      </w:tr>
      <w:tr>
        <w:trPr>
          <w:trHeight w:val="528"/>
        </w:trPr>
        <w:tc>
          <w:tcPr>
            <w:tcW w:w="74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(1,450)</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(38,564)</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24,375</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71,922</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Proceeds from sale of investment in Verinata</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2,330</w:t>
            </w:r>
          </w:p>
        </w:tc>
      </w:tr>
      <w:tr>
        <w:trPr>
          <w:trHeight w:val="275"/>
        </w:trPr>
        <w:tc>
          <w:tcPr>
            <w:tcW w:w="74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(1,388)</w:t>
            </w:r>
          </w:p>
        </w:tc>
        <w:tc>
          <w:tcPr>
            <w:tcW w:w="1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(4,371)</w:t>
            </w:r>
          </w:p>
        </w:tc>
      </w:tr>
      <w:tr>
        <w:trPr>
          <w:trHeight w:val="272"/>
        </w:trPr>
        <w:tc>
          <w:tcPr>
            <w:tcW w:w="7440" w:type="dxa"/>
            <w:vAlign w:val="bottom"/>
          </w:tcPr>
          <w:p>
            <w:pPr>
              <w:spacing w:after="0"/>
              <w:rPr>
                <w:sz w:val="20"/>
                <w:szCs w:val="20"/>
                <w:color w:val="auto"/>
              </w:rPr>
            </w:pPr>
            <w:r>
              <w:rPr>
                <w:rFonts w:ascii="Arial" w:cs="Arial" w:eastAsia="Arial" w:hAnsi="Arial"/>
                <w:sz w:val="22"/>
                <w:szCs w:val="22"/>
                <w:color w:val="auto"/>
              </w:rPr>
              <w:t>Net cash provided by investing activities</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21,537</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31,317</w:t>
            </w:r>
          </w:p>
        </w:tc>
      </w:tr>
      <w:tr>
        <w:trPr>
          <w:trHeight w:val="528"/>
        </w:trPr>
        <w:tc>
          <w:tcPr>
            <w:tcW w:w="74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Proceeds from issuance of common stock</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28,843</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152"/>
              <w:spacing w:after="0"/>
              <w:rPr>
                <w:sz w:val="20"/>
                <w:szCs w:val="20"/>
                <w:color w:val="auto"/>
              </w:rPr>
            </w:pPr>
            <w:r>
              <w:rPr>
                <w:rFonts w:ascii="Arial" w:cs="Arial" w:eastAsia="Arial" w:hAnsi="Arial"/>
                <w:sz w:val="22"/>
                <w:szCs w:val="22"/>
                <w:color w:val="auto"/>
              </w:rPr>
              <w:t>-</w:t>
            </w:r>
          </w:p>
        </w:tc>
      </w:tr>
      <w:tr>
        <w:trPr>
          <w:trHeight w:val="270"/>
        </w:trPr>
        <w:tc>
          <w:tcPr>
            <w:tcW w:w="7440" w:type="dxa"/>
            <w:vAlign w:val="bottom"/>
          </w:tcPr>
          <w:p>
            <w:pPr>
              <w:spacing w:after="0"/>
              <w:rPr>
                <w:sz w:val="20"/>
                <w:szCs w:val="20"/>
                <w:color w:val="auto"/>
              </w:rPr>
            </w:pPr>
            <w:r>
              <w:rPr>
                <w:rFonts w:ascii="Arial" w:cs="Arial" w:eastAsia="Arial" w:hAnsi="Arial"/>
                <w:sz w:val="22"/>
                <w:szCs w:val="22"/>
                <w:color w:val="auto"/>
              </w:rPr>
              <w:t>Proceeds from exercise of stock options</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63</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217</w:t>
            </w:r>
          </w:p>
        </w:tc>
      </w:tr>
      <w:tr>
        <w:trPr>
          <w:trHeight w:val="275"/>
        </w:trPr>
        <w:tc>
          <w:tcPr>
            <w:tcW w:w="7440" w:type="dxa"/>
            <w:vAlign w:val="bottom"/>
          </w:tcPr>
          <w:p>
            <w:pPr>
              <w:spacing w:after="0"/>
              <w:rPr>
                <w:sz w:val="20"/>
                <w:szCs w:val="20"/>
                <w:color w:val="auto"/>
              </w:rPr>
            </w:pPr>
            <w:r>
              <w:rPr>
                <w:rFonts w:ascii="Arial" w:cs="Arial" w:eastAsia="Arial" w:hAnsi="Arial"/>
                <w:sz w:val="22"/>
                <w:szCs w:val="22"/>
                <w:color w:val="auto"/>
              </w:rPr>
              <w:t>Payments for taxes related to net share settlement of equity awards</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w:t>
            </w:r>
          </w:p>
        </w:tc>
        <w:tc>
          <w:tcPr>
            <w:tcW w:w="1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(90)</w:t>
            </w:r>
          </w:p>
        </w:tc>
      </w:tr>
      <w:tr>
        <w:trPr>
          <w:trHeight w:val="272"/>
        </w:trPr>
        <w:tc>
          <w:tcPr>
            <w:tcW w:w="744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26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28,816</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127</w:t>
            </w:r>
          </w:p>
        </w:tc>
      </w:tr>
      <w:tr>
        <w:trPr>
          <w:trHeight w:val="532"/>
        </w:trPr>
        <w:tc>
          <w:tcPr>
            <w:tcW w:w="744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305</w:t>
            </w: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153</w:t>
            </w:r>
          </w:p>
        </w:tc>
      </w:tr>
      <w:tr>
        <w:trPr>
          <w:trHeight w:val="259"/>
        </w:trPr>
        <w:tc>
          <w:tcPr>
            <w:tcW w:w="7440" w:type="dxa"/>
            <w:vAlign w:val="bottom"/>
          </w:tcPr>
          <w:p>
            <w:pPr>
              <w:spacing w:after="0"/>
              <w:rPr>
                <w:sz w:val="20"/>
                <w:szCs w:val="20"/>
                <w:color w:val="auto"/>
              </w:rPr>
            </w:pPr>
            <w:r>
              <w:rPr>
                <w:rFonts w:ascii="Arial" w:cs="Arial" w:eastAsia="Arial" w:hAnsi="Arial"/>
                <w:sz w:val="22"/>
                <w:szCs w:val="22"/>
                <w:color w:val="auto"/>
              </w:rPr>
              <w:t>Net increase in cash and cash equivalents</w:t>
            </w:r>
          </w:p>
        </w:tc>
        <w:tc>
          <w:tcPr>
            <w:tcW w:w="260" w:type="dxa"/>
            <w:vAlign w:val="bottom"/>
          </w:tcPr>
          <w:p>
            <w:pPr>
              <w:spacing w:after="0"/>
              <w:rPr>
                <w:sz w:val="22"/>
                <w:szCs w:val="22"/>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25,899</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20" w:type="dxa"/>
            <w:vAlign w:val="bottom"/>
          </w:tcPr>
          <w:p>
            <w:pPr>
              <w:jc w:val="right"/>
              <w:ind w:right="92"/>
              <w:spacing w:after="0"/>
              <w:rPr>
                <w:sz w:val="20"/>
                <w:szCs w:val="20"/>
                <w:color w:val="auto"/>
              </w:rPr>
            </w:pPr>
            <w:r>
              <w:rPr>
                <w:rFonts w:ascii="Arial" w:cs="Arial" w:eastAsia="Arial" w:hAnsi="Arial"/>
                <w:sz w:val="22"/>
                <w:szCs w:val="22"/>
                <w:color w:val="auto"/>
              </w:rPr>
              <w:t>3,189</w:t>
            </w:r>
          </w:p>
        </w:tc>
      </w:tr>
      <w:tr>
        <w:trPr>
          <w:trHeight w:val="276"/>
        </w:trPr>
        <w:tc>
          <w:tcPr>
            <w:tcW w:w="744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35,045</w:t>
            </w: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29,117</w:t>
            </w:r>
          </w:p>
        </w:tc>
      </w:tr>
      <w:tr>
        <w:trPr>
          <w:trHeight w:val="265"/>
        </w:trPr>
        <w:tc>
          <w:tcPr>
            <w:tcW w:w="744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60,944</w:t>
            </w:r>
          </w:p>
        </w:tc>
        <w:tc>
          <w:tcPr>
            <w:tcW w:w="140" w:type="dxa"/>
            <w:vAlign w:val="bottom"/>
          </w:tcPr>
          <w:p>
            <w:pPr>
              <w:spacing w:after="0"/>
              <w:rPr>
                <w:sz w:val="23"/>
                <w:szCs w:val="23"/>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32,306</w:t>
            </w: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20" w:type="dxa"/>
            <w:vAlign w:val="bottom"/>
          </w:tcPr>
          <w:p>
            <w:pPr>
              <w:spacing w:after="0"/>
              <w:rPr>
                <w:sz w:val="24"/>
                <w:szCs w:val="24"/>
                <w:color w:val="auto"/>
              </w:rPr>
            </w:pPr>
          </w:p>
        </w:tc>
        <w:tc>
          <w:tcPr>
            <w:tcW w:w="3500" w:type="dxa"/>
            <w:vAlign w:val="bottom"/>
            <w:gridSpan w:val="6"/>
          </w:tcPr>
          <w:p>
            <w:pPr>
              <w:spacing w:after="0"/>
              <w:rPr>
                <w:sz w:val="20"/>
                <w:szCs w:val="20"/>
                <w:color w:val="auto"/>
              </w:rPr>
            </w:pPr>
            <w:r>
              <w:rPr>
                <w:rFonts w:ascii="Arial" w:cs="Arial" w:eastAsia="Arial" w:hAnsi="Arial"/>
                <w:sz w:val="22"/>
                <w:szCs w:val="22"/>
                <w:b w:val="1"/>
                <w:bCs w:val="1"/>
                <w:color w:val="auto"/>
                <w:w w:val="93"/>
              </w:rPr>
              <w:t>Three Months Ended September 30,</w:t>
            </w:r>
          </w:p>
        </w:tc>
        <w:tc>
          <w:tcPr>
            <w:tcW w:w="3300" w:type="dxa"/>
            <w:vAlign w:val="bottom"/>
            <w:gridSpan w:val="5"/>
          </w:tcPr>
          <w:p>
            <w:pPr>
              <w:jc w:val="right"/>
              <w:spacing w:after="0"/>
              <w:rPr>
                <w:sz w:val="20"/>
                <w:szCs w:val="20"/>
                <w:color w:val="auto"/>
              </w:rPr>
            </w:pPr>
            <w:r>
              <w:rPr>
                <w:rFonts w:ascii="Arial" w:cs="Arial" w:eastAsia="Arial" w:hAnsi="Arial"/>
                <w:sz w:val="22"/>
                <w:szCs w:val="22"/>
                <w:b w:val="1"/>
                <w:bCs w:val="1"/>
                <w:color w:val="auto"/>
                <w:w w:val="88"/>
              </w:rPr>
              <w:t>Nine Months Ended September 30,</w:t>
            </w:r>
          </w:p>
        </w:tc>
      </w:tr>
      <w:tr>
        <w:trPr>
          <w:trHeight w:val="265"/>
        </w:trPr>
        <w:tc>
          <w:tcPr>
            <w:tcW w:w="45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2016</w:t>
            </w:r>
          </w:p>
        </w:tc>
      </w:tr>
      <w:tr>
        <w:trPr>
          <w:trHeight w:val="526"/>
        </w:trPr>
        <w:tc>
          <w:tcPr>
            <w:tcW w:w="4520" w:type="dxa"/>
            <w:vAlign w:val="bottom"/>
          </w:tcPr>
          <w:p>
            <w:pPr>
              <w:spacing w:after="0"/>
              <w:rPr>
                <w:sz w:val="20"/>
                <w:szCs w:val="20"/>
                <w:color w:val="auto"/>
              </w:rPr>
            </w:pPr>
            <w:r>
              <w:rPr>
                <w:rFonts w:ascii="Arial" w:cs="Arial" w:eastAsia="Arial" w:hAnsi="Arial"/>
                <w:sz w:val="22"/>
                <w:szCs w:val="22"/>
                <w:color w:val="auto"/>
              </w:rPr>
              <w:t>Net loss (GAAP)</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12"/>
              <w:spacing w:after="0"/>
              <w:rPr>
                <w:sz w:val="20"/>
                <w:szCs w:val="20"/>
                <w:color w:val="auto"/>
              </w:rPr>
            </w:pPr>
            <w:r>
              <w:rPr>
                <w:rFonts w:ascii="Arial" w:cs="Arial" w:eastAsia="Arial" w:hAnsi="Arial"/>
                <w:sz w:val="22"/>
                <w:szCs w:val="22"/>
                <w:color w:val="auto"/>
              </w:rPr>
              <w:t>(15,944)</w:t>
            </w:r>
          </w:p>
        </w:tc>
        <w:tc>
          <w:tcPr>
            <w:tcW w:w="12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(19,789)</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(50,078)</w:t>
            </w:r>
          </w:p>
        </w:tc>
        <w:tc>
          <w:tcPr>
            <w:tcW w:w="12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12"/>
              <w:spacing w:after="0"/>
              <w:rPr>
                <w:sz w:val="20"/>
                <w:szCs w:val="20"/>
                <w:color w:val="auto"/>
              </w:rPr>
            </w:pPr>
            <w:r>
              <w:rPr>
                <w:rFonts w:ascii="Arial" w:cs="Arial" w:eastAsia="Arial" w:hAnsi="Arial"/>
                <w:sz w:val="22"/>
                <w:szCs w:val="22"/>
                <w:color w:val="auto"/>
              </w:rPr>
              <w:t>(58,289)</w:t>
            </w:r>
          </w:p>
        </w:tc>
      </w:tr>
      <w:tr>
        <w:trPr>
          <w:trHeight w:val="275"/>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2,322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3,586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7,097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11,033</w:t>
            </w:r>
          </w:p>
        </w:tc>
      </w:tr>
    </w:tbl>
    <w:p>
      <w:pPr>
        <w:sectPr>
          <w:pgSz w:w="11900" w:h="16838" w:orient="portrait"/>
          <w:cols w:equalWidth="0" w:num="1">
            <w:col w:w="11320"/>
          </w:cols>
          <w:pgMar w:left="260" w:top="118" w:right="3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5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46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8,400</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Interest expense (b)</w:t>
            </w:r>
          </w:p>
        </w:tc>
        <w:tc>
          <w:tcPr>
            <w:tcW w:w="46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Arial" w:cs="Arial" w:eastAsia="Arial" w:hAnsi="Arial"/>
                <w:sz w:val="22"/>
                <w:szCs w:val="22"/>
                <w:color w:val="auto"/>
              </w:rPr>
              <w:t>1,456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1,454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4,367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4,361</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60" w:type="dxa"/>
            <w:vAlign w:val="bottom"/>
          </w:tcPr>
          <w:p>
            <w:pPr>
              <w:spacing w:after="0"/>
              <w:rPr>
                <w:sz w:val="23"/>
                <w:szCs w:val="23"/>
                <w:color w:val="auto"/>
              </w:rPr>
            </w:pPr>
          </w:p>
        </w:tc>
        <w:tc>
          <w:tcPr>
            <w:tcW w:w="1160" w:type="dxa"/>
            <w:vAlign w:val="bottom"/>
          </w:tcPr>
          <w:p>
            <w:pPr>
              <w:jc w:val="right"/>
              <w:ind w:right="192"/>
              <w:spacing w:after="0"/>
              <w:rPr>
                <w:sz w:val="20"/>
                <w:szCs w:val="20"/>
                <w:color w:val="auto"/>
              </w:rPr>
            </w:pPr>
            <w:r>
              <w:rPr>
                <w:rFonts w:ascii="Arial" w:cs="Arial" w:eastAsia="Arial" w:hAnsi="Arial"/>
                <w:sz w:val="22"/>
                <w:szCs w:val="22"/>
                <w:color w:val="auto"/>
              </w:rPr>
              <w:t>1,658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1,605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5,578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color w:val="auto"/>
              </w:rPr>
              <w:t>4,621</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w w:val="95"/>
              </w:rPr>
              <w:t>Benefit from acquisition related income taxes (c)</w:t>
            </w:r>
          </w:p>
        </w:tc>
        <w:tc>
          <w:tcPr>
            <w:tcW w:w="46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(877)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(571)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(2,535)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(2,397)</w:t>
            </w:r>
          </w:p>
        </w:tc>
        <w:tc>
          <w:tcPr>
            <w:tcW w:w="0" w:type="dxa"/>
            <w:vAlign w:val="bottom"/>
          </w:tcPr>
          <w:p>
            <w:pPr>
              <w:spacing w:after="0"/>
              <w:rPr>
                <w:sz w:val="1"/>
                <w:szCs w:val="1"/>
                <w:color w:val="auto"/>
              </w:rPr>
            </w:pP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Net loss (Non-GAAP)</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(8,584)</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(10,915)</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(27,170)</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(32,259)</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22"/>
                <w:szCs w:val="22"/>
                <w:color w:val="auto"/>
                <w:w w:val="99"/>
              </w:rPr>
              <w:t>Shares used in net loss per share calculation -</w:t>
            </w: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52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22"/>
                <w:szCs w:val="22"/>
                <w:color w:val="auto"/>
              </w:rPr>
              <w:t>34,513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29,069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22"/>
                <w:szCs w:val="22"/>
                <w:color w:val="auto"/>
              </w:rPr>
              <w:t>31,051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jc w:val="right"/>
              <w:ind w:right="192"/>
              <w:spacing w:after="0"/>
              <w:rPr>
                <w:sz w:val="20"/>
                <w:szCs w:val="20"/>
                <w:color w:val="auto"/>
              </w:rPr>
            </w:pPr>
            <w:r>
              <w:rPr>
                <w:rFonts w:ascii="Arial" w:cs="Arial" w:eastAsia="Arial" w:hAnsi="Arial"/>
                <w:sz w:val="22"/>
                <w:szCs w:val="22"/>
                <w:color w:val="auto"/>
              </w:rPr>
              <w:t>28,959</w:t>
            </w:r>
          </w:p>
        </w:tc>
        <w:tc>
          <w:tcPr>
            <w:tcW w:w="0" w:type="dxa"/>
            <w:vAlign w:val="bottom"/>
          </w:tcPr>
          <w:p>
            <w:pPr>
              <w:spacing w:after="0"/>
              <w:rPr>
                <w:sz w:val="1"/>
                <w:szCs w:val="1"/>
                <w:color w:val="auto"/>
              </w:rPr>
            </w:pPr>
          </w:p>
        </w:tc>
      </w:tr>
      <w:tr>
        <w:trPr>
          <w:trHeight w:val="274"/>
        </w:trPr>
        <w:tc>
          <w:tcPr>
            <w:tcW w:w="452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4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52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(0.46)</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(0.68)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(1.61)</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(2.01)</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line="242" w:lineRule="exact"/>
              <w:rPr>
                <w:sz w:val="20"/>
                <w:szCs w:val="20"/>
                <w:color w:val="auto"/>
              </w:rPr>
            </w:pPr>
            <w:r>
              <w:rPr>
                <w:rFonts w:ascii="Arial" w:cs="Arial" w:eastAsia="Arial" w:hAnsi="Arial"/>
                <w:sz w:val="22"/>
                <w:szCs w:val="22"/>
                <w:color w:val="auto"/>
              </w:rPr>
              <w:t>Net loss per share - basic and diluted (Non-</w:t>
            </w: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520" w:type="dxa"/>
            <w:vAlign w:val="bottom"/>
            <w:vMerge w:val="continue"/>
          </w:tcPr>
          <w:p>
            <w:pPr>
              <w:spacing w:after="0"/>
              <w:rPr>
                <w:sz w:val="17"/>
                <w:szCs w:val="17"/>
                <w:color w:val="auto"/>
              </w:rPr>
            </w:pPr>
          </w:p>
        </w:tc>
        <w:tc>
          <w:tcPr>
            <w:tcW w:w="460" w:type="dxa"/>
            <w:vAlign w:val="bottom"/>
            <w:vMerge w:val="restart"/>
          </w:tcPr>
          <w:p>
            <w:pPr>
              <w:jc w:val="right"/>
              <w:ind w:right="192"/>
              <w:spacing w:after="0"/>
              <w:rPr>
                <w:sz w:val="20"/>
                <w:szCs w:val="20"/>
                <w:color w:val="auto"/>
              </w:rPr>
            </w:pPr>
            <w:r>
              <w:rPr>
                <w:rFonts w:ascii="Arial" w:cs="Arial" w:eastAsia="Arial" w:hAnsi="Arial"/>
                <w:sz w:val="22"/>
                <w:szCs w:val="22"/>
                <w:color w:val="auto"/>
              </w:rPr>
              <w:t>$</w:t>
            </w:r>
          </w:p>
        </w:tc>
        <w:tc>
          <w:tcPr>
            <w:tcW w:w="1160" w:type="dxa"/>
            <w:vAlign w:val="bottom"/>
            <w:vMerge w:val="restart"/>
          </w:tcPr>
          <w:p>
            <w:pPr>
              <w:jc w:val="right"/>
              <w:ind w:right="112"/>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17"/>
                <w:szCs w:val="17"/>
                <w:color w:val="auto"/>
              </w:rPr>
            </w:pPr>
          </w:p>
        </w:tc>
        <w:tc>
          <w:tcPr>
            <w:tcW w:w="44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vMerge w:val="restart"/>
          </w:tcPr>
          <w:p>
            <w:pPr>
              <w:jc w:val="right"/>
              <w:ind w:right="112"/>
              <w:spacing w:after="0"/>
              <w:rPr>
                <w:sz w:val="20"/>
                <w:szCs w:val="20"/>
                <w:color w:val="auto"/>
              </w:rPr>
            </w:pPr>
            <w:r>
              <w:rPr>
                <w:rFonts w:ascii="Arial" w:cs="Arial" w:eastAsia="Arial" w:hAnsi="Arial"/>
                <w:sz w:val="22"/>
                <w:szCs w:val="22"/>
                <w:color w:val="auto"/>
              </w:rPr>
              <w:t>(0.38)</w:t>
            </w:r>
          </w:p>
        </w:tc>
        <w:tc>
          <w:tcPr>
            <w:tcW w:w="100" w:type="dxa"/>
            <w:vAlign w:val="bottom"/>
          </w:tcPr>
          <w:p>
            <w:pPr>
              <w:spacing w:after="0"/>
              <w:rPr>
                <w:sz w:val="17"/>
                <w:szCs w:val="17"/>
                <w:color w:val="auto"/>
              </w:rPr>
            </w:pPr>
          </w:p>
        </w:tc>
        <w:tc>
          <w:tcPr>
            <w:tcW w:w="380" w:type="dxa"/>
            <w:vAlign w:val="bottom"/>
            <w:vMerge w:val="restart"/>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vMerge w:val="restart"/>
          </w:tcPr>
          <w:p>
            <w:pPr>
              <w:jc w:val="right"/>
              <w:ind w:right="92"/>
              <w:spacing w:after="0"/>
              <w:rPr>
                <w:sz w:val="20"/>
                <w:szCs w:val="20"/>
                <w:color w:val="auto"/>
              </w:rPr>
            </w:pPr>
            <w:r>
              <w:rPr>
                <w:rFonts w:ascii="Arial" w:cs="Arial" w:eastAsia="Arial" w:hAnsi="Arial"/>
                <w:sz w:val="22"/>
                <w:szCs w:val="22"/>
                <w:color w:val="auto"/>
              </w:rPr>
              <w:t>(0.88)</w:t>
            </w:r>
          </w:p>
        </w:tc>
        <w:tc>
          <w:tcPr>
            <w:tcW w:w="120" w:type="dxa"/>
            <w:vAlign w:val="bottom"/>
          </w:tcPr>
          <w:p>
            <w:pPr>
              <w:spacing w:after="0"/>
              <w:rPr>
                <w:sz w:val="17"/>
                <w:szCs w:val="17"/>
                <w:color w:val="auto"/>
              </w:rPr>
            </w:pPr>
          </w:p>
        </w:tc>
        <w:tc>
          <w:tcPr>
            <w:tcW w:w="42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1220" w:type="dxa"/>
            <w:vAlign w:val="bottom"/>
            <w:vMerge w:val="restart"/>
          </w:tcPr>
          <w:p>
            <w:pPr>
              <w:jc w:val="right"/>
              <w:ind w:right="112"/>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56"/>
        </w:trPr>
        <w:tc>
          <w:tcPr>
            <w:tcW w:w="4520" w:type="dxa"/>
            <w:vAlign w:val="bottom"/>
          </w:tcPr>
          <w:p>
            <w:pPr>
              <w:spacing w:after="0" w:line="251" w:lineRule="exact"/>
              <w:rPr>
                <w:sz w:val="20"/>
                <w:szCs w:val="20"/>
                <w:color w:val="auto"/>
              </w:rPr>
            </w:pPr>
            <w:r>
              <w:rPr>
                <w:rFonts w:ascii="Arial" w:cs="Arial" w:eastAsia="Arial" w:hAnsi="Arial"/>
                <w:sz w:val="22"/>
                <w:szCs w:val="22"/>
                <w:color w:val="auto"/>
              </w:rPr>
              <w:t>GAAP)</w:t>
            </w:r>
          </w:p>
        </w:tc>
        <w:tc>
          <w:tcPr>
            <w:tcW w:w="46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20" w:type="dxa"/>
            <w:vAlign w:val="bottom"/>
          </w:tcPr>
          <w:p>
            <w:pPr>
              <w:spacing w:after="0"/>
              <w:rPr>
                <w:sz w:val="24"/>
                <w:szCs w:val="24"/>
                <w:color w:val="auto"/>
              </w:rPr>
            </w:pPr>
          </w:p>
        </w:tc>
        <w:tc>
          <w:tcPr>
            <w:tcW w:w="3500" w:type="dxa"/>
            <w:vAlign w:val="bottom"/>
            <w:gridSpan w:val="6"/>
          </w:tcPr>
          <w:p>
            <w:pPr>
              <w:spacing w:after="0"/>
              <w:rPr>
                <w:sz w:val="20"/>
                <w:szCs w:val="20"/>
                <w:color w:val="auto"/>
              </w:rPr>
            </w:pPr>
            <w:r>
              <w:rPr>
                <w:rFonts w:ascii="Arial" w:cs="Arial" w:eastAsia="Arial" w:hAnsi="Arial"/>
                <w:sz w:val="22"/>
                <w:szCs w:val="22"/>
                <w:b w:val="1"/>
                <w:bCs w:val="1"/>
                <w:color w:val="auto"/>
                <w:w w:val="93"/>
              </w:rPr>
              <w:t>Three Months Ended September 30,</w:t>
            </w:r>
          </w:p>
        </w:tc>
        <w:tc>
          <w:tcPr>
            <w:tcW w:w="3300" w:type="dxa"/>
            <w:vAlign w:val="bottom"/>
            <w:gridSpan w:val="5"/>
          </w:tcPr>
          <w:p>
            <w:pPr>
              <w:jc w:val="right"/>
              <w:spacing w:after="0"/>
              <w:rPr>
                <w:sz w:val="20"/>
                <w:szCs w:val="20"/>
                <w:color w:val="auto"/>
              </w:rPr>
            </w:pPr>
            <w:r>
              <w:rPr>
                <w:rFonts w:ascii="Arial" w:cs="Arial" w:eastAsia="Arial" w:hAnsi="Arial"/>
                <w:sz w:val="22"/>
                <w:szCs w:val="22"/>
                <w:b w:val="1"/>
                <w:bCs w:val="1"/>
                <w:color w:val="auto"/>
                <w:w w:val="88"/>
              </w:rPr>
              <w:t>Nine Months Ended September 30,</w:t>
            </w:r>
          </w:p>
        </w:tc>
      </w:tr>
      <w:tr>
        <w:trPr>
          <w:trHeight w:val="265"/>
        </w:trPr>
        <w:tc>
          <w:tcPr>
            <w:tcW w:w="45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2016</w:t>
            </w:r>
          </w:p>
        </w:tc>
      </w:tr>
      <w:tr>
        <w:trPr>
          <w:trHeight w:val="256"/>
        </w:trPr>
        <w:tc>
          <w:tcPr>
            <w:tcW w:w="4520" w:type="dxa"/>
            <w:vAlign w:val="bottom"/>
          </w:tcPr>
          <w:p>
            <w:pPr>
              <w:spacing w:after="0"/>
              <w:rPr>
                <w:sz w:val="20"/>
                <w:szCs w:val="20"/>
                <w:color w:val="auto"/>
              </w:rPr>
            </w:pPr>
            <w:r>
              <w:rPr>
                <w:rFonts w:ascii="Arial" w:cs="Arial" w:eastAsia="Arial" w:hAnsi="Arial"/>
                <w:sz w:val="22"/>
                <w:szCs w:val="22"/>
                <w:color w:val="auto"/>
              </w:rPr>
              <w:t>Product margin (GAAP)</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9,162</w:t>
            </w:r>
          </w:p>
        </w:tc>
        <w:tc>
          <w:tcPr>
            <w:tcW w:w="12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8,921</w:t>
            </w:r>
          </w:p>
        </w:tc>
        <w:tc>
          <w:tcPr>
            <w:tcW w:w="100" w:type="dxa"/>
            <w:vAlign w:val="bottom"/>
          </w:tcPr>
          <w:p>
            <w:pPr>
              <w:spacing w:after="0"/>
              <w:rPr>
                <w:sz w:val="22"/>
                <w:szCs w:val="22"/>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28,323</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36,998</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8,400</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533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1,627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1,657</w:t>
            </w: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285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337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854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1,053</w:t>
            </w: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Product margin (Non-GAAP)</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12,780</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12,627</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39,204</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48,108</w:t>
            </w:r>
          </w:p>
        </w:tc>
      </w:tr>
      <w:tr>
        <w:trPr>
          <w:trHeight w:val="21"/>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26"/>
        </w:trPr>
        <w:tc>
          <w:tcPr>
            <w:tcW w:w="4520" w:type="dxa"/>
            <w:vAlign w:val="bottom"/>
          </w:tcPr>
          <w:p>
            <w:pPr>
              <w:spacing w:after="0"/>
              <w:rPr>
                <w:sz w:val="20"/>
                <w:szCs w:val="20"/>
                <w:color w:val="auto"/>
              </w:rPr>
            </w:pPr>
            <w:r>
              <w:rPr>
                <w:rFonts w:ascii="Arial" w:cs="Arial" w:eastAsia="Arial" w:hAnsi="Arial"/>
                <w:sz w:val="22"/>
                <w:szCs w:val="22"/>
                <w:color w:val="auto"/>
              </w:rPr>
              <w:t>Product margin percentage (GAAP)</w:t>
            </w:r>
          </w:p>
        </w:tc>
        <w:tc>
          <w:tcPr>
            <w:tcW w:w="3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44.5%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49.6%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46.1%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54.3%</w:t>
            </w:r>
          </w:p>
        </w:tc>
      </w:tr>
      <w:tr>
        <w:trPr>
          <w:trHeight w:val="275"/>
        </w:trPr>
        <w:tc>
          <w:tcPr>
            <w:tcW w:w="4520" w:type="dxa"/>
            <w:vAlign w:val="bottom"/>
          </w:tcPr>
          <w:p>
            <w:pPr>
              <w:spacing w:after="0"/>
              <w:rPr>
                <w:sz w:val="20"/>
                <w:szCs w:val="20"/>
                <w:color w:val="auto"/>
              </w:rPr>
            </w:pPr>
            <w:r>
              <w:rPr>
                <w:rFonts w:ascii="Arial" w:cs="Arial" w:eastAsia="Arial" w:hAnsi="Arial"/>
                <w:sz w:val="22"/>
                <w:szCs w:val="22"/>
                <w:color w:val="auto"/>
              </w:rPr>
              <w:t>Product margin percentage (Non-GAAP)</w:t>
            </w:r>
          </w:p>
        </w:tc>
        <w:tc>
          <w:tcPr>
            <w:tcW w:w="36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62.1%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70.2%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70.6%</w:t>
            </w:r>
          </w:p>
        </w:tc>
      </w:tr>
      <w:tr>
        <w:trPr>
          <w:trHeight w:val="810"/>
        </w:trPr>
        <w:tc>
          <w:tcPr>
            <w:tcW w:w="11320" w:type="dxa"/>
            <w:vAlign w:val="bottom"/>
            <w:gridSpan w:val="12"/>
          </w:tcPr>
          <w:p>
            <w:pPr>
              <w:jc w:val="right"/>
              <w:ind w:right="972"/>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tc>
      </w:tr>
      <w:tr>
        <w:trPr>
          <w:trHeight w:val="542"/>
        </w:trPr>
        <w:tc>
          <w:tcPr>
            <w:tcW w:w="4520" w:type="dxa"/>
            <w:vAlign w:val="bottom"/>
          </w:tcPr>
          <w:p>
            <w:pPr>
              <w:spacing w:after="0"/>
              <w:rPr>
                <w:sz w:val="24"/>
                <w:szCs w:val="24"/>
                <w:color w:val="auto"/>
              </w:rPr>
            </w:pPr>
          </w:p>
        </w:tc>
        <w:tc>
          <w:tcPr>
            <w:tcW w:w="3500" w:type="dxa"/>
            <w:vAlign w:val="bottom"/>
            <w:gridSpan w:val="6"/>
          </w:tcPr>
          <w:p>
            <w:pPr>
              <w:spacing w:after="0"/>
              <w:rPr>
                <w:sz w:val="20"/>
                <w:szCs w:val="20"/>
                <w:color w:val="auto"/>
              </w:rPr>
            </w:pPr>
            <w:r>
              <w:rPr>
                <w:rFonts w:ascii="Arial" w:cs="Arial" w:eastAsia="Arial" w:hAnsi="Arial"/>
                <w:sz w:val="22"/>
                <w:szCs w:val="22"/>
                <w:b w:val="1"/>
                <w:bCs w:val="1"/>
                <w:color w:val="auto"/>
                <w:w w:val="93"/>
              </w:rPr>
              <w:t>Three Months Ended September 30,</w:t>
            </w:r>
          </w:p>
        </w:tc>
        <w:tc>
          <w:tcPr>
            <w:tcW w:w="3300" w:type="dxa"/>
            <w:vAlign w:val="bottom"/>
            <w:gridSpan w:val="5"/>
          </w:tcPr>
          <w:p>
            <w:pPr>
              <w:jc w:val="right"/>
              <w:spacing w:after="0"/>
              <w:rPr>
                <w:sz w:val="20"/>
                <w:szCs w:val="20"/>
                <w:color w:val="auto"/>
              </w:rPr>
            </w:pPr>
            <w:r>
              <w:rPr>
                <w:rFonts w:ascii="Arial" w:cs="Arial" w:eastAsia="Arial" w:hAnsi="Arial"/>
                <w:sz w:val="22"/>
                <w:szCs w:val="22"/>
                <w:b w:val="1"/>
                <w:bCs w:val="1"/>
                <w:color w:val="auto"/>
                <w:w w:val="88"/>
              </w:rPr>
              <w:t>Nine Months Ended September 30,</w:t>
            </w:r>
          </w:p>
        </w:tc>
      </w:tr>
      <w:tr>
        <w:trPr>
          <w:trHeight w:val="265"/>
        </w:trPr>
        <w:tc>
          <w:tcPr>
            <w:tcW w:w="45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2016</w:t>
            </w:r>
          </w:p>
        </w:tc>
      </w:tr>
      <w:tr>
        <w:trPr>
          <w:trHeight w:val="256"/>
        </w:trPr>
        <w:tc>
          <w:tcPr>
            <w:tcW w:w="452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27,785</w:t>
            </w:r>
          </w:p>
        </w:tc>
        <w:tc>
          <w:tcPr>
            <w:tcW w:w="12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30,375</w:t>
            </w:r>
          </w:p>
        </w:tc>
        <w:tc>
          <w:tcPr>
            <w:tcW w:w="100" w:type="dxa"/>
            <w:vAlign w:val="bottom"/>
          </w:tcPr>
          <w:p>
            <w:pPr>
              <w:spacing w:after="0"/>
              <w:rPr>
                <w:sz w:val="22"/>
                <w:szCs w:val="22"/>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87,321</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100,086</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360" w:type="dxa"/>
            <w:vAlign w:val="bottom"/>
          </w:tcPr>
          <w:p>
            <w:pPr>
              <w:spacing w:after="0"/>
              <w:rPr>
                <w:sz w:val="23"/>
                <w:szCs w:val="23"/>
                <w:color w:val="auto"/>
              </w:rPr>
            </w:pPr>
          </w:p>
        </w:tc>
        <w:tc>
          <w:tcPr>
            <w:tcW w:w="1260" w:type="dxa"/>
            <w:vAlign w:val="bottom"/>
          </w:tcPr>
          <w:p>
            <w:pPr>
              <w:jc w:val="right"/>
              <w:ind w:right="112"/>
              <w:spacing w:after="0"/>
              <w:rPr>
                <w:sz w:val="20"/>
                <w:szCs w:val="20"/>
                <w:color w:val="auto"/>
              </w:rPr>
            </w:pPr>
            <w:r>
              <w:rPr>
                <w:rFonts w:ascii="Arial" w:cs="Arial" w:eastAsia="Arial" w:hAnsi="Arial"/>
                <w:sz w:val="22"/>
                <w:szCs w:val="22"/>
                <w:color w:val="auto"/>
              </w:rPr>
              <w:t>(2,037)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(3,249)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(6,243)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22"/>
                <w:szCs w:val="22"/>
                <w:color w:val="auto"/>
              </w:rPr>
              <w:t>(9,980)</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60" w:type="dxa"/>
            <w:vAlign w:val="bottom"/>
          </w:tcPr>
          <w:p>
            <w:pPr>
              <w:spacing w:after="0"/>
              <w:rPr>
                <w:sz w:val="23"/>
                <w:szCs w:val="23"/>
                <w:color w:val="auto"/>
              </w:rPr>
            </w:pPr>
          </w:p>
        </w:tc>
        <w:tc>
          <w:tcPr>
            <w:tcW w:w="1260" w:type="dxa"/>
            <w:vAlign w:val="bottom"/>
          </w:tcPr>
          <w:p>
            <w:pPr>
              <w:jc w:val="right"/>
              <w:ind w:right="112"/>
              <w:spacing w:after="0"/>
              <w:rPr>
                <w:sz w:val="20"/>
                <w:szCs w:val="20"/>
                <w:color w:val="auto"/>
              </w:rPr>
            </w:pPr>
            <w:r>
              <w:rPr>
                <w:rFonts w:ascii="Arial" w:cs="Arial" w:eastAsia="Arial" w:hAnsi="Arial"/>
                <w:sz w:val="22"/>
                <w:szCs w:val="22"/>
                <w:color w:val="auto"/>
              </w:rPr>
              <w:t>(1,125)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(1,036)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(3,951)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22"/>
                <w:szCs w:val="22"/>
                <w:color w:val="auto"/>
              </w:rPr>
              <w:t>(2,964)</w:t>
            </w: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w w:val="97"/>
              </w:rPr>
              <w:t>Loss on disposal of property and equipment (e)</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w:t>
            </w: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24,622</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26,090</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77,126</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87,130</w:t>
            </w:r>
          </w:p>
        </w:tc>
      </w:tr>
      <w:tr>
        <w:trPr>
          <w:trHeight w:val="21"/>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20" w:type="dxa"/>
            <w:vAlign w:val="bottom"/>
          </w:tcPr>
          <w:p>
            <w:pPr>
              <w:spacing w:after="0"/>
              <w:rPr>
                <w:sz w:val="24"/>
                <w:szCs w:val="24"/>
                <w:color w:val="auto"/>
              </w:rPr>
            </w:pPr>
          </w:p>
        </w:tc>
        <w:tc>
          <w:tcPr>
            <w:tcW w:w="3500" w:type="dxa"/>
            <w:vAlign w:val="bottom"/>
            <w:gridSpan w:val="6"/>
          </w:tcPr>
          <w:p>
            <w:pPr>
              <w:spacing w:after="0"/>
              <w:rPr>
                <w:sz w:val="20"/>
                <w:szCs w:val="20"/>
                <w:color w:val="auto"/>
              </w:rPr>
            </w:pPr>
            <w:r>
              <w:rPr>
                <w:rFonts w:ascii="Arial" w:cs="Arial" w:eastAsia="Arial" w:hAnsi="Arial"/>
                <w:sz w:val="22"/>
                <w:szCs w:val="22"/>
                <w:b w:val="1"/>
                <w:bCs w:val="1"/>
                <w:color w:val="auto"/>
                <w:w w:val="93"/>
              </w:rPr>
              <w:t>Three Months Ended September 30,</w:t>
            </w:r>
          </w:p>
        </w:tc>
        <w:tc>
          <w:tcPr>
            <w:tcW w:w="3300" w:type="dxa"/>
            <w:vAlign w:val="bottom"/>
            <w:gridSpan w:val="5"/>
          </w:tcPr>
          <w:p>
            <w:pPr>
              <w:jc w:val="right"/>
              <w:spacing w:after="0"/>
              <w:rPr>
                <w:sz w:val="20"/>
                <w:szCs w:val="20"/>
                <w:color w:val="auto"/>
              </w:rPr>
            </w:pPr>
            <w:r>
              <w:rPr>
                <w:rFonts w:ascii="Arial" w:cs="Arial" w:eastAsia="Arial" w:hAnsi="Arial"/>
                <w:sz w:val="22"/>
                <w:szCs w:val="22"/>
                <w:b w:val="1"/>
                <w:bCs w:val="1"/>
                <w:color w:val="auto"/>
                <w:w w:val="88"/>
              </w:rPr>
              <w:t>Nine Months Ended September 30,</w:t>
            </w:r>
          </w:p>
        </w:tc>
      </w:tr>
      <w:tr>
        <w:trPr>
          <w:trHeight w:val="265"/>
        </w:trPr>
        <w:tc>
          <w:tcPr>
            <w:tcW w:w="45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2016</w:t>
            </w:r>
          </w:p>
        </w:tc>
      </w:tr>
      <w:tr>
        <w:trPr>
          <w:trHeight w:val="256"/>
        </w:trPr>
        <w:tc>
          <w:tcPr>
            <w:tcW w:w="452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12"/>
              <w:spacing w:after="0"/>
              <w:rPr>
                <w:sz w:val="20"/>
                <w:szCs w:val="20"/>
                <w:color w:val="auto"/>
              </w:rPr>
            </w:pPr>
            <w:r>
              <w:rPr>
                <w:rFonts w:ascii="Arial" w:cs="Arial" w:eastAsia="Arial" w:hAnsi="Arial"/>
                <w:sz w:val="22"/>
                <w:szCs w:val="22"/>
                <w:color w:val="auto"/>
              </w:rPr>
              <w:t>(15,602)</w:t>
            </w:r>
          </w:p>
        </w:tc>
        <w:tc>
          <w:tcPr>
            <w:tcW w:w="12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(18,483)</w:t>
            </w:r>
          </w:p>
        </w:tc>
        <w:tc>
          <w:tcPr>
            <w:tcW w:w="100" w:type="dxa"/>
            <w:vAlign w:val="bottom"/>
          </w:tcPr>
          <w:p>
            <w:pPr>
              <w:spacing w:after="0"/>
              <w:rPr>
                <w:sz w:val="22"/>
                <w:szCs w:val="22"/>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(49,625)</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12"/>
              <w:spacing w:after="0"/>
              <w:rPr>
                <w:sz w:val="20"/>
                <w:szCs w:val="20"/>
                <w:color w:val="auto"/>
              </w:rPr>
            </w:pPr>
            <w:r>
              <w:rPr>
                <w:rFonts w:ascii="Arial" w:cs="Arial" w:eastAsia="Arial" w:hAnsi="Arial"/>
                <w:sz w:val="22"/>
                <w:szCs w:val="22"/>
                <w:color w:val="auto"/>
              </w:rPr>
              <w:t>(55,494)</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2,322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3,586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7,097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11,033</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8,400</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6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1,658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1,605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5,578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4,621</w:t>
            </w: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w w:val="97"/>
              </w:rPr>
              <w:t>Loss on disposal of property and equipment (e)</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w:t>
            </w: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(8,821)</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(10,492)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(28,549)</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(31,428)</w:t>
            </w:r>
          </w:p>
        </w:tc>
      </w:tr>
      <w:tr>
        <w:trPr>
          <w:trHeight w:val="21"/>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product revenue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 represents expense associated with research and development, selling, general and administrative activities</w:t>
      </w:r>
    </w:p>
    <w:p>
      <w:pPr>
        <w:sectPr>
          <w:pgSz w:w="11900" w:h="16838" w:orient="portrait"/>
          <w:cols w:equalWidth="0" w:num="1">
            <w:col w:w="11320"/>
          </w:cols>
          <w:pgMar w:left="260" w:top="118" w:right="319" w:bottom="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2019-12-29T03:40:53Z</dcterms:created>
  <dcterms:modified xsi:type="dcterms:W3CDTF">2019-12-29T03:40:53Z</dcterms:modified>
</cp:coreProperties>
</file>