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January 28,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3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3826</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Gajus V. Worthington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620" w:type="dxa"/>
            <w:vAlign w:val="bottom"/>
          </w:tcPr>
          <w:p>
            <w:pPr>
              <w:ind w:left="1320"/>
              <w:spacing w:after="0"/>
              <w:rPr>
                <w:sz w:val="20"/>
                <w:szCs w:val="20"/>
                <w:color w:val="auto"/>
              </w:rPr>
            </w:pPr>
            <w:r>
              <w:rPr>
                <w:rFonts w:ascii="Arial" w:cs="Arial" w:eastAsia="Arial" w:hAnsi="Arial"/>
                <w:sz w:val="18"/>
                <w:szCs w:val="18"/>
                <w:i w:val="1"/>
                <w:iCs w:val="1"/>
                <w:color w:val="auto"/>
              </w:rPr>
              <w:t>Copies to:</w:t>
            </w:r>
          </w:p>
        </w:tc>
        <w:tc>
          <w:tcPr>
            <w:tcW w:w="3240" w:type="dxa"/>
            <w:vAlign w:val="bottom"/>
          </w:tcPr>
          <w:p>
            <w:pPr>
              <w:spacing w:after="0"/>
              <w:rPr>
                <w:sz w:val="19"/>
                <w:szCs w:val="19"/>
                <w:color w:val="auto"/>
              </w:rPr>
            </w:pPr>
          </w:p>
        </w:tc>
      </w:tr>
      <w:tr>
        <w:trPr>
          <w:trHeight w:val="285"/>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David J. Segre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M. Smith</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Charles K. Ruck</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Robert F. Kornegay</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Vice President, Legal Affairs</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B. Shayne Kennedy</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Asaf H. Kharal</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and General Counsel</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8"/>
              </w:rPr>
              <w:t>Wilson Sonsini Goodrich &amp; Rosati P.C.</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7000 Shoreline Court, Suite 100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650 Town Center Drive, 20th Floor</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650 Page Mill Road</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South San Francisco, CA 94080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8"/>
              </w:rPr>
              <w:t>Costa Mesa, CA 92626</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9"/>
              </w:rPr>
              <w:t>Palo Alto, CA 94304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(650) 266-6000</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Telephone: (714) 540-1235</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Telephone: (650) 493-9300</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Telecopy: (650) 871-7152</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7"/>
              </w:rPr>
              <w:t>Telecopy: (714) 755-8290</w:t>
            </w:r>
          </w:p>
        </w:tc>
      </w:tr>
      <w:tr>
        <w:trPr>
          <w:trHeight w:val="228"/>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Telecopy: (650) 493-6811</w:t>
            </w:r>
          </w:p>
        </w:tc>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8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119"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as amended,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00" w:space="300"/>
            <w:col w:w="160" w:space="60"/>
            <w:col w:w="6360" w:space="720"/>
            <w:col w:w="1920" w:space="240"/>
            <w:col w:w="160"/>
          </w:cols>
          <w:pgMar w:left="240" w:top="230" w:right="239" w:bottom="1440" w:gutter="0" w:footer="0" w:header="0"/>
          <w:type w:val="continuous"/>
        </w:sectPr>
      </w:pPr>
    </w:p>
    <w:p>
      <w:pPr>
        <w:ind w:right="16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CC062A"/>
        </w:rPr>
        <w:t>Subject to Completion, Dated January 28,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5,172,414 Shares</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This is the initial public offering of Fluidigm Corporation. We are offering 5,172,414 shares of our common stock. We anticipate that the initial public offering price will be between $13.50 and $15.50 per share. We intend to list our common stock on The NASDAQ Global Market under the symbol “FLDM.”</w:t>
      </w:r>
    </w:p>
    <w:p>
      <w:pPr>
        <w:spacing w:after="0" w:line="66"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10.</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Fluidigm Corporation</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right="2220" w:firstLine="8"/>
        <w:spacing w:after="0" w:line="526" w:lineRule="auto"/>
        <w:tabs>
          <w:tab w:leader="none" w:pos="446"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refer you to “Underwriting” beginning on page 139 for additional information regarding total underwriter compensation. We have granted the underwriters the right to purchase up to 775,862 additional shares of common stock to cover over-allotments.</w:t>
      </w: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Piper Jaffray</w:t>
      </w:r>
    </w:p>
    <w:p>
      <w:pPr>
        <w:spacing w:after="0" w:line="200" w:lineRule="exact"/>
        <w:rPr>
          <w:sz w:val="20"/>
          <w:szCs w:val="20"/>
          <w:color w:val="auto"/>
        </w:rPr>
      </w:pPr>
    </w:p>
    <w:p>
      <w:pPr>
        <w:sectPr>
          <w:pgSz w:w="11900" w:h="16838" w:orient="portrait"/>
          <w:cols w:equalWidth="0" w:num="2">
            <w:col w:w="8860" w:space="720"/>
            <w:col w:w="1840"/>
          </w:cols>
          <w:pgMar w:left="240" w:top="459"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Cowen and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Leerink Swann</w:t>
      </w:r>
    </w:p>
    <w:p>
      <w:pPr>
        <w:spacing w:after="0" w:line="200" w:lineRule="exact"/>
        <w:rPr>
          <w:sz w:val="20"/>
          <w:szCs w:val="20"/>
          <w:color w:val="auto"/>
        </w:rPr>
      </w:pPr>
    </w:p>
    <w:p>
      <w:pPr>
        <w:sectPr>
          <w:pgSz w:w="11900" w:h="16838" w:orient="portrait"/>
          <w:cols w:equalWidth="0" w:num="2">
            <w:col w:w="8580" w:space="720"/>
            <w:col w:w="2120"/>
          </w:cols>
          <w:pgMar w:left="240" w:top="459"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2011</w:t>
      </w:r>
    </w:p>
    <w:p>
      <w:pPr>
        <w:sectPr>
          <w:pgSz w:w="11900" w:h="16838" w:orient="portrait"/>
          <w:cols w:equalWidth="0" w:num="2">
            <w:col w:w="2260" w:space="720"/>
            <w:col w:w="844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34355" cy="7289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4355"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gridSpan w:val="11"/>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950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1"/>
            <w:vMerge w:val="continue"/>
          </w:tcPr>
          <w:p>
            <w:pPr>
              <w:spacing w:after="0"/>
              <w:rPr>
                <w:sz w:val="14"/>
                <w:szCs w:val="14"/>
                <w:color w:val="auto"/>
              </w:rPr>
            </w:pPr>
          </w:p>
        </w:tc>
        <w:tc>
          <w:tcPr>
            <w:tcW w:w="9500" w:type="dxa"/>
            <w:vAlign w:val="bottom"/>
            <w:gridSpan w:val="1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1010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Special Note Regarding Forward-Looking Statements</w:t>
              </w:r>
            </w:hyperlink>
          </w:p>
        </w:tc>
        <w:tc>
          <w:tcPr>
            <w:tcW w:w="7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Capitalization</w:t>
              </w:r>
            </w:hyperlink>
          </w:p>
        </w:tc>
        <w:tc>
          <w:tcPr>
            <w:tcW w:w="100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Dilution</w:t>
              </w:r>
            </w:hyperlink>
          </w:p>
        </w:tc>
        <w:tc>
          <w:tcPr>
            <w:tcW w:w="104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4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23">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Description of Capital Stock</w:t>
              </w:r>
            </w:hyperlink>
          </w:p>
        </w:tc>
        <w:tc>
          <w:tcPr>
            <w:tcW w:w="89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37">
              <w:r>
                <w:rPr>
                  <w:rFonts w:ascii="Arial" w:cs="Arial" w:eastAsia="Arial" w:hAnsi="Arial"/>
                  <w:sz w:val="18"/>
                  <w:szCs w:val="18"/>
                  <w:color w:val="0000EE"/>
                  <w:w w:val="87"/>
                </w:rPr>
                <w:t>Shares Eligible For Future Sale</w:t>
              </w:r>
            </w:hyperlink>
          </w:p>
        </w:tc>
        <w:tc>
          <w:tcPr>
            <w:tcW w:w="87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Material United States Federal Income and Estate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43">
              <w:r>
                <w:rPr>
                  <w:rFonts w:ascii="Arial" w:cs="Arial" w:eastAsia="Arial" w:hAnsi="Arial"/>
                  <w:sz w:val="18"/>
                  <w:szCs w:val="18"/>
                  <w:color w:val="0000EE"/>
                  <w:w w:val="93"/>
                </w:rPr>
                <w:t>Underwriting</w:t>
              </w:r>
            </w:hyperlink>
          </w:p>
        </w:tc>
        <w:tc>
          <w:tcPr>
            <w:tcW w:w="5380" w:type="dxa"/>
            <w:vAlign w:val="bottom"/>
            <w:tcBorders>
              <w:top w:val="single" w:sz="8" w:color="0000EE"/>
            </w:tcBorders>
            <w:gridSpan w:val="15"/>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Experts</w:t>
              </w:r>
            </w:hyperlink>
          </w:p>
        </w:tc>
        <w:tc>
          <w:tcPr>
            <w:tcW w:w="100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Where You Can Find Additional Information</w:t>
              </w:r>
            </w:hyperlink>
          </w:p>
        </w:tc>
        <w:tc>
          <w:tcPr>
            <w:tcW w:w="7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Index to Consolidated Financial Statements</w:t>
              </w:r>
            </w:hyperlink>
          </w:p>
        </w:tc>
        <w:tc>
          <w:tcPr>
            <w:tcW w:w="79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2011 (the 25th day after the date of this prospectus), all dealers effecting transactions in these securities,</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120" w:firstLine="443"/>
        <w:spacing w:after="0" w:line="298"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10 and our consolidated financial statements and related notes included elsewhere in this prospectus, before making an investment decision. Unless otherwise indicated, the terms “Fluidigm,” “we,” “us” and “our” refer to Fluidigm Corporation.</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18"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attribute our success and continued growth prospects to the following:</w:t>
      </w:r>
    </w:p>
    <w:p>
      <w:pPr>
        <w:spacing w:after="0" w:line="90" w:lineRule="exact"/>
        <w:rPr>
          <w:sz w:val="20"/>
          <w:szCs w:val="20"/>
          <w:color w:val="auto"/>
        </w:rPr>
      </w:pPr>
    </w:p>
    <w:p>
      <w:pPr>
        <w:ind w:left="960" w:right="120" w:hanging="331"/>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Disruptive and Enabling Technology</w:t>
      </w:r>
      <w:r>
        <w:rPr>
          <w:rFonts w:ascii="Arial" w:cs="Arial" w:eastAsia="Arial" w:hAnsi="Arial"/>
          <w:sz w:val="18"/>
          <w:szCs w:val="18"/>
          <w:color w:val="auto"/>
        </w:rPr>
        <w:t>. Our microfluidic systems, which are broadly compatible with existing lab equipment and chemistries,</w:t>
      </w:r>
      <w:r>
        <w:rPr>
          <w:rFonts w:ascii="Arial" w:cs="Arial" w:eastAsia="Arial" w:hAnsi="Arial"/>
          <w:sz w:val="18"/>
          <w:szCs w:val="18"/>
          <w:i w:val="1"/>
          <w:iCs w:val="1"/>
          <w:color w:val="auto"/>
        </w:rPr>
        <w:t xml:space="preserve"> </w:t>
      </w:r>
      <w:r>
        <w:rPr>
          <w:rFonts w:ascii="Arial" w:cs="Arial" w:eastAsia="Arial" w:hAnsi="Arial"/>
          <w:sz w:val="18"/>
          <w:szCs w:val="18"/>
          <w:color w:val="auto"/>
        </w:rPr>
        <w:t>enable users to perform 24 times more gene expression experiments than conventional microplate systems, at one time and in nanoliter volumes, delivering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80"/>
        <w:spacing w:after="0" w:line="306" w:lineRule="auto"/>
        <w:rPr>
          <w:sz w:val="20"/>
          <w:szCs w:val="20"/>
          <w:color w:val="auto"/>
        </w:rPr>
      </w:pPr>
      <w:r>
        <w:rPr>
          <w:rFonts w:ascii="Arial" w:cs="Arial" w:eastAsia="Arial" w:hAnsi="Arial"/>
          <w:sz w:val="16"/>
          <w:szCs w:val="16"/>
          <w:color w:val="auto"/>
        </w:rPr>
        <w:t>meaningful improvements in cost, capability, time and accuracy over conventional methods of laboratory and industrial research. In addition, our technology enables scientists to perform experiments that we believe are impractical using conventional systems, such as digital PCR experiments, where our systems enable users to perform 36,960 simultaneous reactions on a single chip.</w:t>
      </w:r>
    </w:p>
    <w:p>
      <w:pPr>
        <w:spacing w:after="0" w:line="26" w:lineRule="exact"/>
        <w:rPr>
          <w:sz w:val="20"/>
          <w:szCs w:val="20"/>
          <w:color w:val="auto"/>
        </w:rPr>
      </w:pPr>
    </w:p>
    <w:p>
      <w:pPr>
        <w:jc w:val="both"/>
        <w:ind w:left="960" w:hanging="331"/>
        <w:spacing w:after="0" w:line="30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Commercially Validated High Margin Business Model</w:t>
      </w:r>
      <w:r>
        <w:rPr>
          <w:rFonts w:ascii="Arial" w:cs="Arial" w:eastAsia="Arial" w:hAnsi="Arial"/>
          <w:sz w:val="16"/>
          <w:szCs w:val="16"/>
          <w:color w:val="auto"/>
        </w:rPr>
        <w:t>. We have an installed base of over 250 instruments which generate high margin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consumables, including chips and reagents. Our product margins are supported by our highly efficient manufacturing operations that are based in Singapore and take advantage of the skilled workforce, supplier and partner networks and government support available there.</w:t>
      </w:r>
    </w:p>
    <w:p>
      <w:pPr>
        <w:spacing w:after="0" w:line="25" w:lineRule="exact"/>
        <w:rPr>
          <w:rFonts w:ascii="Arial" w:cs="Arial" w:eastAsia="Arial" w:hAnsi="Arial"/>
          <w:sz w:val="16"/>
          <w:szCs w:val="16"/>
          <w:color w:val="auto"/>
        </w:rPr>
      </w:pPr>
    </w:p>
    <w:p>
      <w:pPr>
        <w:ind w:left="960" w:right="140" w:hanging="331"/>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Leadership Positions in Multiple High Growth Markets</w:t>
      </w:r>
      <w:r>
        <w:rPr>
          <w:rFonts w:ascii="Arial" w:cs="Arial" w:eastAsia="Arial" w:hAnsi="Arial"/>
          <w:sz w:val="18"/>
          <w:szCs w:val="18"/>
          <w:color w:val="auto"/>
        </w:rPr>
        <w:t>. We believe our microfluidic systems are well positioned to address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the life science and Ag-Bio markets, including single cell genomics, digital PCR, agricultural genotyping and sample preparation for next generation DNA sequencing.</w:t>
      </w:r>
    </w:p>
    <w:p>
      <w:pPr>
        <w:spacing w:after="0" w:line="59" w:lineRule="exact"/>
        <w:rPr>
          <w:rFonts w:ascii="Arial" w:cs="Arial" w:eastAsia="Arial" w:hAnsi="Arial"/>
          <w:sz w:val="18"/>
          <w:szCs w:val="18"/>
          <w:color w:val="auto"/>
        </w:rPr>
      </w:pPr>
    </w:p>
    <w:p>
      <w:pPr>
        <w:ind w:left="960" w:right="80" w:hanging="331"/>
        <w:spacing w:after="0" w:line="29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Significant Growth Opportunities in Additional Markets</w:t>
      </w:r>
      <w:r>
        <w:rPr>
          <w:rFonts w:ascii="Arial" w:cs="Arial" w:eastAsia="Arial" w:hAnsi="Arial"/>
          <w:sz w:val="16"/>
          <w:szCs w:val="16"/>
          <w:color w:val="auto"/>
        </w:rPr>
        <w:t>. Researchers have successfully used our microfluidic systems in such diverse fields as</w:t>
      </w:r>
      <w:r>
        <w:rPr>
          <w:rFonts w:ascii="Arial" w:cs="Arial" w:eastAsia="Arial" w:hAnsi="Arial"/>
          <w:sz w:val="16"/>
          <w:szCs w:val="16"/>
          <w:i w:val="1"/>
          <w:iCs w:val="1"/>
          <w:color w:val="auto"/>
        </w:rPr>
        <w:t xml:space="preserve"> </w:t>
      </w:r>
      <w:r>
        <w:rPr>
          <w:rFonts w:ascii="Arial" w:cs="Arial" w:eastAsia="Arial" w:hAnsi="Arial"/>
          <w:sz w:val="16"/>
          <w:szCs w:val="16"/>
          <w:color w:val="auto"/>
        </w:rPr>
        <w:t>immunoassays, high throughput drug screening, chemical synthesis, pharmacogenomics, systems biology, synthetic biology, stem cell research, cell culture and cellular assays. Our proprietary technology is broadly applicable to biotechnology automation and could be further developed for a wide variety of additional applications, including molecular diagnostics. Through further expansion of our assay and reagent offerings, we intend to provide more comprehensive solutions across all of our target markets.</w:t>
      </w:r>
    </w:p>
    <w:p>
      <w:pPr>
        <w:spacing w:after="0" w:line="34" w:lineRule="exact"/>
        <w:rPr>
          <w:rFonts w:ascii="Arial" w:cs="Arial" w:eastAsia="Arial" w:hAnsi="Arial"/>
          <w:sz w:val="16"/>
          <w:szCs w:val="16"/>
          <w:color w:val="auto"/>
        </w:rPr>
      </w:pPr>
    </w:p>
    <w:p>
      <w:pPr>
        <w:ind w:left="960" w:right="20" w:hanging="331"/>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Strong Research and Development Capabilities and Intellectual Property Position</w:t>
      </w:r>
      <w:r>
        <w:rPr>
          <w:rFonts w:ascii="Arial" w:cs="Arial" w:eastAsia="Arial" w:hAnsi="Arial"/>
          <w:sz w:val="18"/>
          <w:szCs w:val="18"/>
          <w:color w:val="auto"/>
        </w:rPr>
        <w:t>. We are a pioneer in the development of microfluidic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a demonstrated ability to advance systems from concept through commercialization. We have developed an extensive portfolio of intellectual property, including more than 110 issued U.S. patents and 220 patent applications pending worldwide either owned by or licensed to us.</w:t>
      </w:r>
    </w:p>
    <w:p>
      <w:pPr>
        <w:spacing w:after="0" w:line="62" w:lineRule="exact"/>
        <w:rPr>
          <w:rFonts w:ascii="Arial" w:cs="Arial" w:eastAsia="Arial" w:hAnsi="Arial"/>
          <w:sz w:val="18"/>
          <w:szCs w:val="18"/>
          <w:color w:val="auto"/>
        </w:rPr>
      </w:pPr>
    </w:p>
    <w:p>
      <w:pPr>
        <w:ind w:left="960" w:hanging="331"/>
        <w:spacing w:after="0" w:line="335"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Well-Published and Loyal Customer Base that Expands Market Awareness of our Products. </w:t>
      </w:r>
      <w:r>
        <w:rPr>
          <w:rFonts w:ascii="Arial" w:cs="Arial" w:eastAsia="Arial" w:hAnsi="Arial"/>
          <w:sz w:val="15"/>
          <w:szCs w:val="15"/>
          <w:color w:val="auto"/>
        </w:rPr>
        <w:t>Since January 2009, users of our systems have</w:t>
      </w:r>
      <w:r>
        <w:rPr>
          <w:rFonts w:ascii="Arial" w:cs="Arial" w:eastAsia="Arial" w:hAnsi="Arial"/>
          <w:sz w:val="15"/>
          <w:szCs w:val="15"/>
          <w:i w:val="1"/>
          <w:iCs w:val="1"/>
          <w:color w:val="auto"/>
        </w:rPr>
        <w:t xml:space="preserve"> </w:t>
      </w:r>
      <w:r>
        <w:rPr>
          <w:rFonts w:ascii="Arial" w:cs="Arial" w:eastAsia="Arial" w:hAnsi="Arial"/>
          <w:sz w:val="15"/>
          <w:szCs w:val="15"/>
          <w:color w:val="auto"/>
        </w:rPr>
        <w:t>published over 60 peer-reviewed articles regarding experiments using our technology. We actively market our products to thought leaders in their respective fields and have found references from existing customers to be an important factor in marketing our solutions to prospective customers.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left="200" w:right="260" w:firstLine="443"/>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the life science research and Ag-Bio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Our primary area of focus within life science research is genomics, the study of genes and their functions. 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We are currently focused on the following applications:</w:t>
      </w:r>
    </w:p>
    <w:p>
      <w:pPr>
        <w:spacing w:after="0" w:line="62" w:lineRule="exact"/>
        <w:rPr>
          <w:sz w:val="20"/>
          <w:szCs w:val="20"/>
          <w:color w:val="auto"/>
        </w:rPr>
      </w:pPr>
    </w:p>
    <w:p>
      <w:pPr>
        <w:ind w:left="960" w:right="420" w:hanging="331"/>
        <w:spacing w:after="0" w:line="26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 Expression Analysis</w:t>
      </w:r>
      <w:r>
        <w:rPr>
          <w:rFonts w:ascii="Arial" w:cs="Arial" w:eastAsia="Arial" w:hAnsi="Arial"/>
          <w:sz w:val="18"/>
          <w:szCs w:val="18"/>
          <w:color w:val="auto"/>
        </w:rPr>
        <w:t>. Measures the activity of genes to identify genetic variations that may correspond to predisposition of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therapeutics;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2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Genotyping</w:t>
      </w:r>
      <w:r>
        <w:rPr>
          <w:rFonts w:ascii="Arial" w:cs="Arial" w:eastAsia="Arial" w:hAnsi="Arial"/>
          <w:sz w:val="18"/>
          <w:szCs w:val="18"/>
          <w:color w:val="auto"/>
        </w:rPr>
        <w:t>. Determines DNA sequence variants, such as single nucleotide polymorphisms, or SNPs, across individual genomes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of specific genotypes to physical traits of interest;</w:t>
      </w:r>
    </w:p>
    <w:p>
      <w:pPr>
        <w:spacing w:after="0" w:line="50" w:lineRule="exact"/>
        <w:rPr>
          <w:rFonts w:ascii="Arial" w:cs="Arial" w:eastAsia="Arial" w:hAnsi="Arial"/>
          <w:sz w:val="18"/>
          <w:szCs w:val="18"/>
          <w:color w:val="auto"/>
        </w:rPr>
      </w:pPr>
    </w:p>
    <w:p>
      <w:pPr>
        <w:ind w:left="960" w:right="40" w:hanging="331"/>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Discretely quantifies the amount of nucleic acid present in a sample, facilitating assays that require much greater precision than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provided by conventional PCR techniques, including measuring variations in the number of copies of a gene found in a genome, or copy number variation;</w:t>
      </w:r>
    </w:p>
    <w:p>
      <w:pPr>
        <w:spacing w:after="0" w:line="59"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Performs gene expression analysis on single cells to further understand how biological systems operate at the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level; and</w:t>
      </w:r>
    </w:p>
    <w:p>
      <w:pPr>
        <w:spacing w:after="0" w:line="50" w:lineRule="exact"/>
        <w:rPr>
          <w:rFonts w:ascii="Arial" w:cs="Arial" w:eastAsia="Arial" w:hAnsi="Arial"/>
          <w:sz w:val="18"/>
          <w:szCs w:val="18"/>
          <w:color w:val="auto"/>
        </w:rPr>
      </w:pPr>
    </w:p>
    <w:p>
      <w:pPr>
        <w:ind w:left="960" w:right="660" w:hanging="331"/>
        <w:spacing w:after="0" w:line="33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Isolates, amplifies and tags target molecules to simplify library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the efficiency of next generation DNA sequencing platforms for applications such as targeted resequencing.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Industrial customers in Ag-Bio typically analyze the genomes of tens of thousands to hundreds of thousands of seeds or livestock annually in cost-sensitive production environments. Commercially viable genetic analysis tools in Ag-Bio must be inexpensive, easy to use and provide extremely high throughput.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Molecular diagnostic tests are used in clinical practice to diagnose, classify or monitor a disease; determine a patient’s susceptibility to a disease; or monitor a patient’s response to therapy, by detecting one or more biomarkers in a patient sample. Within molecular diagnostics, our initial area of focus is in non-invasive prenatal diagnostics, or NIPD, for fetal aneuploidies, for which the most reliable diagnostic tests currently available are invasive and carry significant risks to the fetus. In collaboration with Novartis Vaccines &amp; Diagnostics, Inc., or Novartis V&amp;D, we are developing a microfluidic system to target this application. This system is in its early stage of development and, prior to commercialization, FDA approval or clearance may be required.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 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our systems and technology may be suitable for applications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We believe that our microfluidic systems have a number of compelling advantages over conventional microplate systems and other competing platforms including:</w:t>
      </w:r>
    </w:p>
    <w:p>
      <w:pPr>
        <w:spacing w:after="0" w:line="51" w:lineRule="exact"/>
        <w:rPr>
          <w:sz w:val="20"/>
          <w:szCs w:val="20"/>
          <w:color w:val="auto"/>
        </w:rPr>
      </w:pPr>
    </w:p>
    <w:p>
      <w:pPr>
        <w:jc w:val="both"/>
        <w:ind w:left="960" w:right="160" w:hanging="331"/>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w:t>
      </w:r>
      <w:r>
        <w:rPr>
          <w:rFonts w:ascii="Arial" w:cs="Arial" w:eastAsia="Arial" w:hAnsi="Arial"/>
          <w:sz w:val="18"/>
          <w:szCs w:val="18"/>
          <w:i w:val="1"/>
          <w:iCs w:val="1"/>
          <w:color w:val="auto"/>
        </w:rPr>
        <w:t xml:space="preserve"> </w:t>
      </w:r>
      <w:r>
        <w:rPr>
          <w:rFonts w:ascii="Arial" w:cs="Arial" w:eastAsia="Arial" w:hAnsi="Arial"/>
          <w:sz w:val="18"/>
          <w:szCs w:val="18"/>
          <w:color w:val="auto"/>
        </w:rPr>
        <w:t>and call accuracy. For gene expression, our systems achieve 6 orders of magnitude of dynamic range with inter- and intra-chip reproducibility at correlation coefficients greater than 0.99.</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line="29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Improved Throughput</w:t>
      </w:r>
      <w:r>
        <w:rPr>
          <w:rFonts w:ascii="Arial" w:cs="Arial" w:eastAsia="Arial" w:hAnsi="Arial"/>
          <w:sz w:val="16"/>
          <w:szCs w:val="16"/>
          <w:color w:val="auto"/>
        </w:rPr>
        <w:t>. Our base BioMark system can generate over 27,000 gene expression data points per day and high throughput</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configurations of our system can generate over 110,000 data points per day, with a time to first result measured in hours. Some competing systems may offer comparable data points per day, but may take up to a week for first results. Other systems offer comparable time to first result, but produce fewer data points per day, often with lower data quality. Our improved throughput reduces the time and cost associated with complex experiments and expands the number and range of experiments that may be conducted.</w:t>
      </w:r>
    </w:p>
    <w:p>
      <w:pPr>
        <w:spacing w:after="0" w:line="34" w:lineRule="exact"/>
        <w:rPr>
          <w:rFonts w:ascii="Arial" w:cs="Arial" w:eastAsia="Arial" w:hAnsi="Arial"/>
          <w:sz w:val="16"/>
          <w:szCs w:val="16"/>
          <w:color w:val="auto"/>
        </w:rPr>
      </w:pPr>
    </w:p>
    <w:p>
      <w:pPr>
        <w:ind w:left="960" w:right="240" w:hanging="331"/>
        <w:spacing w:after="0" w:line="25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Loading our 96.96 Dynamic Array chip requires 192 pipetting steps as compared to 18,432 steps required to load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384 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62" w:lineRule="exact"/>
        <w:rPr>
          <w:rFonts w:ascii="Arial" w:cs="Arial" w:eastAsia="Arial" w:hAnsi="Arial"/>
          <w:sz w:val="18"/>
          <w:szCs w:val="18"/>
          <w:color w:val="auto"/>
        </w:rPr>
      </w:pPr>
    </w:p>
    <w:p>
      <w:pPr>
        <w:ind w:left="960" w:right="160" w:hanging="331"/>
        <w:spacing w:after="0" w:line="298"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w:t>
      </w:r>
      <w:r>
        <w:rPr>
          <w:rFonts w:ascii="Arial" w:cs="Arial" w:eastAsia="Arial" w:hAnsi="Arial"/>
          <w:sz w:val="16"/>
          <w:szCs w:val="16"/>
          <w:i w:val="1"/>
          <w:iCs w:val="1"/>
          <w:color w:val="auto"/>
        </w:rPr>
        <w:t xml:space="preserve"> </w:t>
      </w:r>
      <w:r>
        <w:rPr>
          <w:rFonts w:ascii="Arial" w:cs="Arial" w:eastAsia="Arial" w:hAnsi="Arial"/>
          <w:sz w:val="16"/>
          <w:szCs w:val="16"/>
          <w:color w:val="auto"/>
        </w:rPr>
        <w:t>pipetting 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60" w:right="400" w:hanging="331"/>
        <w:spacing w:after="0" w:line="306"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960" w:right="100" w:hanging="331"/>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w:t>
      </w:r>
      <w:r>
        <w:rPr>
          <w:rFonts w:ascii="Arial" w:cs="Arial" w:eastAsia="Arial" w:hAnsi="Arial"/>
          <w:sz w:val="18"/>
          <w:szCs w:val="18"/>
          <w:i w:val="1"/>
          <w:iCs w:val="1"/>
          <w:color w:val="auto"/>
        </w:rPr>
        <w:t xml:space="preserve"> </w:t>
      </w:r>
      <w:r>
        <w:rPr>
          <w:rFonts w:ascii="Arial" w:cs="Arial" w:eastAsia="Arial" w:hAnsi="Arial"/>
          <w:sz w:val="18"/>
          <w:szCs w:val="18"/>
          <w:color w:val="auto"/>
        </w:rPr>
        <w:t>reagents in nanoliter volumes, have the ability to conduct thousands of parallel experiments on one chip and offer customers the flexibility to use lower cost reagents as needed.</w:t>
      </w:r>
    </w:p>
    <w:p>
      <w:pPr>
        <w:spacing w:after="0" w:line="14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other tools, such as microarrays, that have the ability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microplates and other chip consumables, which facilitates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4100" w:type="dxa"/>
            <w:vAlign w:val="bottom"/>
          </w:tcPr>
          <w:p>
            <w:pPr>
              <w:ind w:left="17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60" w:type="dxa"/>
            <w:vAlign w:val="bottom"/>
            <w:gridSpan w:val="2"/>
          </w:tcPr>
          <w:p>
            <w:pPr>
              <w:ind w:left="1120"/>
              <w:spacing w:after="0"/>
              <w:rPr>
                <w:sz w:val="20"/>
                <w:szCs w:val="20"/>
                <w:color w:val="auto"/>
              </w:rPr>
            </w:pPr>
            <w:r>
              <w:rPr>
                <w:rFonts w:ascii="Arial" w:cs="Arial" w:eastAsia="Arial" w:hAnsi="Arial"/>
                <w:sz w:val="18"/>
                <w:szCs w:val="18"/>
                <w:b w:val="1"/>
                <w:bCs w:val="1"/>
                <w:color w:val="auto"/>
              </w:rPr>
              <w:t>Product Description</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 Gene</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6"/>
              </w:rPr>
              <w:t>Sample preparation system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amplification of 48 unique samples</w:t>
            </w:r>
          </w:p>
        </w:tc>
        <w:tc>
          <w:tcPr>
            <w:tcW w:w="29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based on matrix architecture</w:t>
            </w:r>
          </w:p>
        </w:tc>
        <w:tc>
          <w:tcPr>
            <w:tcW w:w="2980" w:type="dxa"/>
            <w:vAlign w:val="bottom"/>
          </w:tcPr>
          <w:p>
            <w:pPr>
              <w:spacing w:after="0"/>
              <w:rPr>
                <w:sz w:val="20"/>
                <w:szCs w:val="20"/>
                <w:color w:val="auto"/>
              </w:rPr>
            </w:pPr>
            <w:r>
              <w:rPr>
                <w:rFonts w:ascii="Arial" w:cs="Arial" w:eastAsia="Arial" w:hAnsi="Arial"/>
                <w:sz w:val="18"/>
                <w:szCs w:val="18"/>
                <w:color w:val="auto"/>
                <w:w w:val="90"/>
              </w:rPr>
              <w:t>Real-time qPCR, SNP Genotyping, Gene</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(where each sample is paired with each assay),</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allowing users to generate up to 9,216 real-time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qPCR reactions simultaneously</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29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89"/>
              </w:rPr>
              <w:t>allowing users to divide 48 separate samples into 770</w:t>
            </w:r>
          </w:p>
        </w:tc>
        <w:tc>
          <w:tcPr>
            <w:tcW w:w="2980" w:type="dxa"/>
            <w:vAlign w:val="bottom"/>
          </w:tcPr>
          <w:p>
            <w:pPr>
              <w:spacing w:after="0"/>
              <w:rPr>
                <w:sz w:val="20"/>
                <w:szCs w:val="20"/>
                <w:color w:val="auto"/>
              </w:rPr>
            </w:pPr>
            <w:r>
              <w:rPr>
                <w:rFonts w:ascii="Arial" w:cs="Arial" w:eastAsia="Arial" w:hAnsi="Arial"/>
                <w:sz w:val="18"/>
                <w:szCs w:val="18"/>
                <w:color w:val="auto"/>
                <w:w w:val="98"/>
              </w:rPr>
              <w:t>Number Variation, Mutation Detection</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smaller 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amplification, barcoding and tagging of 48 unique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Reusable microfluidic chip that can be used up to</w:t>
            </w:r>
          </w:p>
        </w:tc>
        <w:tc>
          <w:tcPr>
            <w:tcW w:w="29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five times and is able to produce up to 11,520</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genotypes over its lifespan</w:t>
            </w:r>
          </w:p>
        </w:tc>
        <w:tc>
          <w:tcPr>
            <w:tcW w:w="2980" w:type="dxa"/>
            <w:vAlign w:val="bottom"/>
          </w:tcPr>
          <w:p>
            <w:pPr>
              <w:spacing w:after="0"/>
              <w:rPr>
                <w:sz w:val="19"/>
                <w:szCs w:val="19"/>
                <w:color w:val="auto"/>
              </w:rPr>
            </w:pPr>
          </w:p>
        </w:tc>
      </w:tr>
    </w:tbl>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the following elements:</w:t>
      </w:r>
    </w:p>
    <w:p>
      <w:pPr>
        <w:spacing w:after="0" w:line="51" w:lineRule="exact"/>
        <w:rPr>
          <w:sz w:val="20"/>
          <w:szCs w:val="20"/>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market penetration of our microfluidic systems;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recurring consumables revenue through instrument sales and product innovation;</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assays and design services that leverage our system strengths in key application areas;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expanded offerings that complement and support our core technology offerings;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our proprietary technology to address new markets;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superior customer service;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chip manufacturing efficiency;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our technology and intellectual property position.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96" w:lineRule="exact"/>
        <w:rPr>
          <w:sz w:val="20"/>
          <w:szCs w:val="20"/>
          <w:color w:val="auto"/>
        </w:rPr>
      </w:pPr>
    </w:p>
    <w:p>
      <w:pPr>
        <w:ind w:left="200" w:right="580" w:firstLine="443"/>
        <w:spacing w:after="0" w:line="268" w:lineRule="auto"/>
        <w:rPr>
          <w:sz w:val="20"/>
          <w:szCs w:val="20"/>
          <w:color w:val="auto"/>
        </w:rPr>
      </w:pPr>
      <w:r>
        <w:rPr>
          <w:rFonts w:ascii="Arial" w:cs="Arial" w:eastAsia="Arial" w:hAnsi="Arial"/>
          <w:sz w:val="18"/>
          <w:szCs w:val="18"/>
          <w:color w:val="auto"/>
        </w:rPr>
        <w:t>Our business is subject to numerous risks, as more fully described in the section entitled “Risk Factors” immediately following this prospectus summary, including the following:</w:t>
      </w:r>
    </w:p>
    <w:p>
      <w:pPr>
        <w:spacing w:after="0" w:line="51" w:lineRule="exact"/>
        <w:rPr>
          <w:sz w:val="20"/>
          <w:szCs w:val="20"/>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losses since inception, and we expect to continue to incur substantial losses for the foreseeable future;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financial results may vary significantly from quarter-to-quarter due to a number of factors, which may lead to volatility in our stock price;</w:t>
      </w:r>
    </w:p>
    <w:p>
      <w:pPr>
        <w:spacing w:after="0" w:line="113" w:lineRule="exact"/>
        <w:rPr>
          <w:rFonts w:ascii="Arial" w:cs="Arial" w:eastAsia="Arial" w:hAnsi="Arial"/>
          <w:sz w:val="16"/>
          <w:szCs w:val="16"/>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expand our customer base and introduce new applications;</w:t>
      </w:r>
    </w:p>
    <w:p>
      <w:pPr>
        <w:spacing w:after="0" w:line="90" w:lineRule="exact"/>
        <w:rPr>
          <w:rFonts w:ascii="Arial" w:cs="Arial" w:eastAsia="Arial" w:hAnsi="Arial"/>
          <w:sz w:val="18"/>
          <w:szCs w:val="18"/>
          <w:color w:val="auto"/>
        </w:rPr>
      </w:pPr>
    </w:p>
    <w:p>
      <w:pPr>
        <w:ind w:left="960" w:right="5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life science research and Ag-Bio markets are highly competitive and subject to rapid technological change, and we may not be able to successfully compete;</w:t>
      </w:r>
    </w:p>
    <w:p>
      <w:pPr>
        <w:spacing w:after="0" w:line="50" w:lineRule="exact"/>
        <w:rPr>
          <w:rFonts w:ascii="Arial" w:cs="Arial" w:eastAsia="Arial" w:hAnsi="Arial"/>
          <w:sz w:val="18"/>
          <w:szCs w:val="18"/>
          <w:color w:val="auto"/>
        </w:rPr>
      </w:pPr>
    </w:p>
    <w:p>
      <w:pPr>
        <w:ind w:left="960" w:right="48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expand our resources for marketing, selling and distributing our products and we may not be able to expand our direct sales and marketing force or distribution capabilities to adequately address our customers’ needs;</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technology through patents and other means is uncertain; and</w:t>
      </w:r>
    </w:p>
    <w:p>
      <w:pPr>
        <w:spacing w:after="0" w:line="90" w:lineRule="exact"/>
        <w:rPr>
          <w:rFonts w:ascii="Arial" w:cs="Arial" w:eastAsia="Arial" w:hAnsi="Arial"/>
          <w:sz w:val="18"/>
          <w:szCs w:val="18"/>
          <w:color w:val="auto"/>
        </w:rPr>
      </w:pPr>
    </w:p>
    <w:p>
      <w:pPr>
        <w:ind w:left="960" w:right="48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and proprietary rights and to determine the scope, coverage and validity of others’ proprietary rights.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6" w:lineRule="exact"/>
        <w:rPr>
          <w:sz w:val="20"/>
          <w:szCs w:val="20"/>
          <w:color w:val="auto"/>
        </w:rPr>
      </w:pPr>
    </w:p>
    <w:p>
      <w:pPr>
        <w:ind w:left="200" w:right="240" w:firstLine="443"/>
        <w:spacing w:after="0" w:line="298" w:lineRule="auto"/>
        <w:rPr>
          <w:sz w:val="20"/>
          <w:szCs w:val="20"/>
          <w:color w:val="auto"/>
        </w:rPr>
      </w:pPr>
      <w:r>
        <w:rPr>
          <w:rFonts w:ascii="Arial" w:cs="Arial" w:eastAsia="Arial" w:hAnsi="Arial"/>
          <w:sz w:val="16"/>
          <w:szCs w:val="16"/>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11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“Fluidigm,” the Fluidigm logo, “BioMark,” “ Dynamic Array,” “Digital Array,” “Access Array,” “EP1,” “FC1,” “TOPAZ,” “FLUIDLINE,” “AutoInspeX,” “MSL” and “NanoFlex” are trademarks or registered trademarks of Fluidigm. Other service marks, trademarks and trade names referred to in this prospectus are the property of their respective owners.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5,172,414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18,589,649 shares (or 19,365,511 if the underwriters exercise their over-allotment option)</w:t>
      </w:r>
    </w:p>
    <w:p>
      <w:pPr>
        <w:spacing w:after="0" w:line="211"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intend to use the net proceeds from this offering for sales and marketing activities, including expansion of our sales force to support the ongoing commercialization of our products; for research and product development activities; for facilities improvements and purchase of manufacturing and other equipment; and for working capital and other general corporate purposes. We also intend to use a portion of the proceeds of this offering to repay approximately $5.0 million in principal plus accrued interest on promissory notes issued by us in January 2011, of which, notes with an aggregate principal amount of approximately $1.77 million are held by entities affiliated with certain of our directors, executive officers and holders of more than 5% of a class of our voting stock. See “Certain Relationships and Related Party Transactions—2011 Note Financing.” We may also use a portion of our net proceeds to acquire and invest in complementary products, technologies or businesses; however, we currently have no agreements or commitments to complete any such transaction. See “Use of Proceeds.”</w:t>
      </w:r>
    </w:p>
    <w:p>
      <w:pPr>
        <w:spacing w:after="0" w:line="16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FLDM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The number of shares of our common stock to be outstanding following this offering is based on 13,417,235 shares of our common stock outstanding as of January 11, 2011 and excludes:</w:t>
      </w:r>
    </w:p>
    <w:p>
      <w:pPr>
        <w:spacing w:after="0" w:line="51" w:lineRule="exact"/>
        <w:rPr>
          <w:sz w:val="20"/>
          <w:szCs w:val="20"/>
          <w:color w:val="auto"/>
        </w:rPr>
      </w:pPr>
    </w:p>
    <w:p>
      <w:pPr>
        <w:ind w:left="960" w:right="16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2,183,537 shares of common stock issuable upon exercise of options outstanding as of January 11, 2011, at a weighted average exercise price of $5.00 per share;</w:t>
      </w:r>
    </w:p>
    <w:p>
      <w:pPr>
        <w:spacing w:after="0" w:line="50" w:lineRule="exact"/>
        <w:rPr>
          <w:rFonts w:ascii="Arial" w:cs="Arial" w:eastAsia="Arial" w:hAnsi="Arial"/>
          <w:sz w:val="18"/>
          <w:szCs w:val="18"/>
          <w:color w:val="auto"/>
        </w:rPr>
      </w:pPr>
    </w:p>
    <w:p>
      <w:pPr>
        <w:ind w:left="960" w:right="14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538,759 shares of common stock issuable upon the exercise of warrants outstanding as of January 11, 2011, at a weighted average exercise price of $12.46 per share, after conversion of our convertible preferred stock;</w:t>
      </w:r>
    </w:p>
    <w:p>
      <w:pPr>
        <w:spacing w:after="0" w:line="50" w:lineRule="exact"/>
        <w:rPr>
          <w:rFonts w:ascii="Arial" w:cs="Arial" w:eastAsia="Arial" w:hAnsi="Arial"/>
          <w:sz w:val="18"/>
          <w:szCs w:val="18"/>
          <w:color w:val="auto"/>
        </w:rPr>
      </w:pPr>
    </w:p>
    <w:p>
      <w:pPr>
        <w:ind w:left="960" w:hanging="331"/>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4,272,096 shares of common stock reserved for future issuance under our stock-based compensation plans, including 1,250,000 shares of common stock reserved for issuance under our 2011 Equity Incentive Plan, which will become effective on the date of this prospectus, and any future automatic increase in shares reserved for issuance under such plan; and</w:t>
      </w:r>
    </w:p>
    <w:p>
      <w:pPr>
        <w:spacing w:after="0" w:line="59" w:lineRule="exact"/>
        <w:rPr>
          <w:rFonts w:ascii="Arial" w:cs="Arial" w:eastAsia="Arial" w:hAnsi="Arial"/>
          <w:sz w:val="18"/>
          <w:szCs w:val="18"/>
          <w:color w:val="auto"/>
        </w:rPr>
      </w:pPr>
    </w:p>
    <w:p>
      <w:pPr>
        <w:ind w:left="960" w:right="340" w:hanging="331"/>
        <w:spacing w:after="0" w:line="33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172 shares of common stock that were issued and outstanding but would not be included in stockholders’ deficit January 11, 2011 pursuant to accounting principles generally accepted in the United States, as these shares were subject to a right of repurchase by us.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90" w:lineRule="exact"/>
        <w:rPr>
          <w:sz w:val="20"/>
          <w:szCs w:val="20"/>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1-for-1.73 reverse stock split of our outstanding stock to be effected prior to the closing of this offering;</w:t>
      </w:r>
    </w:p>
    <w:p>
      <w:pPr>
        <w:spacing w:after="0" w:line="90" w:lineRule="exact"/>
        <w:rPr>
          <w:rFonts w:ascii="Arial" w:cs="Arial" w:eastAsia="Arial" w:hAnsi="Arial"/>
          <w:sz w:val="18"/>
          <w:szCs w:val="18"/>
          <w:color w:val="auto"/>
        </w:rPr>
      </w:pPr>
    </w:p>
    <w:p>
      <w:pPr>
        <w:ind w:left="960" w:right="420" w:hanging="331"/>
        <w:spacing w:after="0" w:line="26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11,480,406 shares of common stock upon the closing of this offering;</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eighth amended and restated certificate of incorporation immediately upon the closing of this offering;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derived the summary consolidated statement of operations data for the years ended December 29, 2007, December 27, 2008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December 31, 2009 from our audited consolidated financial statements included elsewhere in this prospectus. The report of our independent registered public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firm on our consolidated financial statements for the year ended December 31, 2009, which appears elsewhere in this prospectus, includes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explanatory paragraph that describes an uncertainty about our ability to continue as a going concern. We have derived the summary consolidated statement of</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operations data for the nine months ended September 30, 2009 and 2010, and the consolidated balance sheet data as of September 30, 2010 from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unaudited consolidated financial statements included elsewhere in this prospectus. Our historical results are not necessarily indicative of the results that may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expected in the future. The following summary consolidated financial data should be read in conjunction with “Management’s Discussion and Analysis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Financial Condition and Results of Operations” and our consolidated financial statements and related notes included elsewhere in this prospectus.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3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3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6"/>
          </w:tcPr>
          <w:p>
            <w:pPr>
              <w:ind w:left="580"/>
              <w:spacing w:after="0" w:line="155" w:lineRule="exact"/>
              <w:rPr>
                <w:sz w:val="20"/>
                <w:szCs w:val="20"/>
                <w:color w:val="auto"/>
              </w:rPr>
            </w:pPr>
            <w:r>
              <w:rPr>
                <w:rFonts w:ascii="Arial" w:cs="Arial" w:eastAsia="Arial" w:hAnsi="Arial"/>
                <w:sz w:val="14"/>
                <w:szCs w:val="14"/>
                <w:b w:val="1"/>
                <w:bCs w:val="1"/>
                <w:color w:val="auto"/>
                <w:w w:val="87"/>
              </w:rPr>
              <w:t>(in thousands, except per share data)</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Product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13,364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23,599</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Collaboration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460</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Grant revenue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2,364</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1,913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1,813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7,275</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15,347</w:t>
            </w:r>
          </w:p>
        </w:tc>
        <w:tc>
          <w:tcPr>
            <w:tcW w:w="160" w:type="dxa"/>
            <w:vAlign w:val="bottom"/>
          </w:tcPr>
          <w:p>
            <w:pPr>
              <w:spacing w:after="0"/>
              <w:rPr>
                <w:sz w:val="14"/>
                <w:szCs w:val="14"/>
                <w:color w:val="auto"/>
              </w:rPr>
            </w:pPr>
          </w:p>
        </w:tc>
        <w:tc>
          <w:tcPr>
            <w:tcW w:w="12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25,412</w:t>
            </w:r>
          </w:p>
        </w:tc>
        <w:tc>
          <w:tcPr>
            <w:tcW w:w="22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Cost of product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3,514</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8,364</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11,486</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14,389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14,015</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12,315</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12,898</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22,511</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19,648</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30,801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44,890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43,449</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30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(23,526)</w:t>
            </w: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(29,543)</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(18,037)</w:t>
            </w:r>
          </w:p>
        </w:tc>
        <w:tc>
          <w:tcPr>
            <w:tcW w:w="22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(2,790)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(2,031)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(2,876)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 preferred stock</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warrants, net</w:t>
            </w: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(245)</w:t>
            </w:r>
          </w:p>
        </w:tc>
        <w:tc>
          <w:tcPr>
            <w:tcW w:w="18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766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393</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1,833</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(25,346)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(29,646)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(19,178)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(29,499)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(19,128)</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(15.93)</w:t>
            </w:r>
          </w:p>
        </w:tc>
        <w:tc>
          <w:tcPr>
            <w:tcW w:w="18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(17.85)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(11.02)</w:t>
            </w:r>
          </w:p>
        </w:tc>
        <w:tc>
          <w:tcPr>
            <w:tcW w:w="22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4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Shares used in computing net loss per share of common stock, basic and</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diluted(1)</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1,598</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1,653</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1,736</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Pro forma net loss per share available to common stockholders, basic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diluted (unaudited)(1)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(2.54)</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7"/>
              </w:rPr>
              <w:t>Shares used in computing pro forma net loss per share available to common</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stockholders, basic and diluted (unaudited)(1)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11,393</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20" w:right="20" w:hanging="423"/>
        <w:spacing w:after="0" w:line="288" w:lineRule="auto"/>
        <w:tabs>
          <w:tab w:leader="none" w:pos="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85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8854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September 30, 2010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1"/>
                <w:szCs w:val="11"/>
                <w:color w:val="auto"/>
              </w:rPr>
            </w:pPr>
          </w:p>
        </w:tc>
      </w:tr>
      <w:tr>
        <w:trPr>
          <w:trHeight w:val="161"/>
        </w:trPr>
        <w:tc>
          <w:tcPr>
            <w:tcW w:w="710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Pro Forma(1)</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Adjusted(2)(3)</w:t>
            </w:r>
          </w:p>
        </w:tc>
      </w:tr>
      <w:tr>
        <w:trPr>
          <w:trHeight w:val="20"/>
        </w:trPr>
        <w:tc>
          <w:tcPr>
            <w:tcW w:w="7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   5,083</w:t>
            </w:r>
          </w:p>
        </w:tc>
        <w:tc>
          <w:tcPr>
            <w:tcW w:w="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10,052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73,302</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6,817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8,338</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75,431</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22,090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27,059</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90,309</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14,610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184,549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72"/>
        </w:trPr>
        <w:tc>
          <w:tcPr>
            <w:tcW w:w="710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(186,395)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(323)</w:t>
            </w: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66,770</w:t>
            </w:r>
          </w:p>
        </w:tc>
      </w:tr>
    </w:tbl>
    <w:p>
      <w:pPr>
        <w:spacing w:after="0" w:line="114" w:lineRule="exact"/>
        <w:rPr>
          <w:sz w:val="20"/>
          <w:szCs w:val="20"/>
          <w:color w:val="auto"/>
        </w:rPr>
      </w:pPr>
    </w:p>
    <w:p>
      <w:pPr>
        <w:ind w:left="620" w:right="60" w:hanging="423"/>
        <w:spacing w:after="0" w:line="262"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on a pro forma basis (i) our issuance and sale in January 2011 of promissory notes in an aggregate principal amount of $5.0 million; (ii) our issuance in January 2011 of warrants to purchase an aggregate of 103,182 shares of our Series E-1 preferred stock at an exercise price of $0.02 per share, the net exercise of such warrants and the conversion of such Series E-1 preferred stock into common stock immediately prior to the consummation of this offering; (iii) the filing of our sixth amended and restated certificate of incorporation which adjusted the conversion rate of Series E preferred stock from 1-to-1 to 1-to-1.3; (iv) the conversion of all outstanding shares of convertible preferred stock into common stock; and (v) the reclassification of the convertible preferred stock warrant liabilities to additional paid-in capital, each effective upon the closing of this offering.</w:t>
      </w:r>
    </w:p>
    <w:p>
      <w:pPr>
        <w:spacing w:after="0" w:line="1" w:lineRule="exact"/>
        <w:rPr>
          <w:rFonts w:ascii="Arial" w:cs="Arial" w:eastAsia="Arial" w:hAnsi="Arial"/>
          <w:sz w:val="12"/>
          <w:szCs w:val="12"/>
          <w:color w:val="auto"/>
        </w:rPr>
      </w:pPr>
    </w:p>
    <w:p>
      <w:pPr>
        <w:ind w:left="620" w:right="200" w:hanging="423"/>
        <w:spacing w:after="0" w:line="221" w:lineRule="auto"/>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(i) the pro forma conversions and reclassifications described above, (ii) the sale of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w:t>
      </w:r>
    </w:p>
    <w:p>
      <w:pPr>
        <w:ind w:left="620" w:right="100" w:hanging="423"/>
        <w:spacing w:after="0" w:line="265"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$14.50 per share, the midpoint of the range set forth on the cover page of this prospectus, would increase (decrease) cash and cash equivalents and each of working capital, total assets and total stockholders’ equity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cash and cash equivalents and each of working capital, total assets and total stockholders’ equity by approximately $13.6 million. Similarly, each decrease of 1.0 million shares in the number of shares offered by us would decrease cash and cash equivalents and each of working capital, total assets and total stockholders’ equity by approximately $13.6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$25.5 million, $29.5 million, $19.1 million and $13.8 million during 2007, 2008, 2009 and the nine months ended September 30, 2010, respectively. As of September 30, 2010, we had an accumulated deficit of $196.2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sell our products, including gene expression analysis, genotyping and sequencing. In addition, a number of other companies and academic groups are in the process of developing novel technologies for life science markets.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9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218"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20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be sufficient to meet our anticipated cash requirements for at least the next 18 months. However, we may need to raise substantial additional capital to:</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covenant relating to a reagent precluded its use with our systems, our ability to sell and market our products could be materially and adversely affected. For example, the current applications of our BioMark system, which represented 52% of our product revenue in 2009, involve real-time polymerase chain reaction, or PCR. Leading suppliers of reagents for PCR reactions include Life Technologies and Roche Applied Science, who are our direct competitors, and their licensees. These PCR reagents are typically sold pursuant to limited licenses or 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manufacturing and assembling our products in significant commercial quantities since 2006, and we may encounter unforeseen situations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complex and technical nature of our system and the dynamic market in which we compete, any failure to attract and retain a sufficient number of qualified employees could materially harm our ability to develop and commercialize our technology.</w:t>
      </w:r>
    </w:p>
    <w:p>
      <w:pPr>
        <w:spacing w:after="0" w:line="20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We have increased the number of our employees from 131 at December 29, 2007 to 198 at September 30, 2010.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a 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2007, 2008, 2009 and the nine months ended September 30, 2010, approximately 45%, 48%, 46% and 42%,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September 30,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registered public accounting firm has expressed doubt about our ability to continue as a going concern.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our cash balances as of December 31, 2009 and our projected spending in 2010 and without giving effect to our receipt of the proceeds of this offering, our independent registered public accounting firm has included in their audit opinion for the year ended December 31, 2009 a statement with respect to our ability to continue as a going concern. If we became unable to continue as a going concern, we may have to liquidate our assets and the values we receive for our assets in liquidation or dissolution could be significantly lower than the values reflected in our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780" w:right="200" w:hanging="326"/>
        <w:spacing w:after="0" w:line="357"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that our stock price will fluctuate significantly, and you may not be able to resell your shares at or above the initial public offering price.</w:t>
      </w:r>
    </w:p>
    <w:p>
      <w:pPr>
        <w:spacing w:after="0" w:line="11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3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that issued the stock. If any of our stockholders were to bring a lawsuit against us, the defense and disposition of the lawsuit could be costly and divert the time and attention of our management and harm our operating results.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or publish unfavorable research about our business, our stock price and trading volume could decline.</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equity research analysts publish about us and our business. We do not currently have and may never obtain research coverage by equity research analysts. Equity research analysts may elect not to provide research coverage of our common stock after the completion of this offering, and such lack of research coverage may adversely affect the market price of our common stock. In the event we obtain equity research analyst coverage,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prior to this offering. Therefore, if you purchase our common stock in this offering, you will incur an immediate dilution of $10.93 in pro forma as adjusted net tangible book value per share as of September 30, 2010 from the price you paid, based on an assumed initial public offering price of $14.50 per share, the mid-point of the range set forth on the cover page of this prospectus. In addition, new investors who purchase shares in this offering will contribute approximately</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28.5% of the total amount of equity capital raised by us through the date of this offering, but will only own approximately 27.7% of the outstanding share capital and approximately 27.7% of the voting rights. In addition, we have issued options and warrants to acquire common stock at prices below the initial public offering price. To the extent outstanding options and warrants are ultimately exercised, there will be further dilution to investors who purchase shares in this offering. In addition, if the underwriters exercise their over-allotment option or if we issue additional equity securities, investors purchasing shares in this offering will experience additional dilution. For a further description of the dilution that you will experience immediately after this offering, see “Dilution.”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by existing stockholders could cause our stock price to decline.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January 11, 2011, upon completion of this offering, we will have outstanding a total of 18,589,649 shares of common stock, assuming no exercise of the underwriters’ over-allotment option. Of these shares, only the 5,172,414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January 11, 2011, up to an additional 13,417,235 shares of common stock will be eligible for sale in the public market, 3,995,189 of which are held by directors and executive officers and will be subject to volume limitations under Rule 144 under the Securities Act and various vesting agreements. In addition, 909,850 shares of common stock that are subject to outstanding options as of January 11, 2011 will become eligible for sale in the public market to the extent permitted by the provisions of various vesting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the lock-up agreements and Rules 144 and 701 under the Securities Act. If these additional shares are sold, or if it is perceived that they will be sold, in the public market, the trading price of our common stock could decline.</w:t>
      </w:r>
    </w:p>
    <w:p>
      <w:pPr>
        <w:spacing w:after="0" w:line="2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the completion of this offering, our executive officers, directors and their affiliates will beneficially own or control approximately 26% of the outstanding shares of our common stock, assuming no exercise of the underwriters’ over-allotment option.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our executive officers and directors and their affiliates, see “Principal Stockholders.”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5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sales and marketing activities, including expansion of our sales force to support the ongoing commercialization of our products; for research and product development activities; for facilities improvements and the purchase of manufacturing and other equipment; to repay $5.0 million plus accrued interest in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estimate that the net proceeds from the sale of 5,172,414 shares of our common stock that we are selling in this offering will be $68.3 million, based on an assumed initial public offering price of $14.50 per share, the midpoint of the range set forth on the cover page of this prospectus, after deducting estimated underwriting discounts and commissions and estimated offering expenses payable by us. A $1.00 increase (decrease) in the assumed initial public offering price would increase (decrease) the net proceeds to us by $4.9 million, 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 proceeds to us by</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$13.6 million. Similarly, a decrease of 1.0 million shares in the number of shares offered by us would decrease the net proceeds to us by $13.6 million. If the underwriters’ over-allotment option is exercised in full, we estimate that we will receive additional net proceeds of $10.6 million.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net proceeds that we will receive from this offering, we expect to use approximately:</w:t>
      </w:r>
    </w:p>
    <w:p>
      <w:pPr>
        <w:spacing w:after="0" w:line="9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$15.0 million for sales and marketing activities, including expansion of our sales force to support the ongoing commercialization of our products;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 million for research and product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for facility improvements and the purchase of manufacturing and other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for repayment of principal plus accrued interest on promissory notes issued by us in January 2011;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for working capital and other general corporate purposes.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promissory notes bear interest at 8% and mature upon the closing of this offering. Approximately $1.77 million of the promissory notes are held by entities affiliated with certain of our directors, executive officers and holders of more than 5% of our outstanding capital stock. (See “Certain Relationships and Related Party Transactions—2011 Note Financing”).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2010:</w:t>
      </w:r>
    </w:p>
    <w:p>
      <w:pPr>
        <w:spacing w:after="0" w:line="90"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our issuance and sale in January 2011 of promissory notes in an aggregate principal amount of $5,000,000;</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our issuance in January 2011 of warrants to purchase an aggregate of 103,182 shares of our Series E-1 preferred stock at an exercise price of</w:t>
      </w:r>
    </w:p>
    <w:p>
      <w:pPr>
        <w:spacing w:after="0" w:line="38" w:lineRule="exact"/>
        <w:rPr>
          <w:rFonts w:ascii="Arial" w:cs="Arial" w:eastAsia="Arial" w:hAnsi="Arial"/>
          <w:sz w:val="16"/>
          <w:szCs w:val="16"/>
          <w:color w:val="auto"/>
        </w:rPr>
      </w:pPr>
    </w:p>
    <w:p>
      <w:pPr>
        <w:ind w:left="1260" w:right="40"/>
        <w:spacing w:after="0" w:line="261" w:lineRule="auto"/>
        <w:rPr>
          <w:rFonts w:ascii="Arial" w:cs="Arial" w:eastAsia="Arial" w:hAnsi="Arial"/>
          <w:sz w:val="16"/>
          <w:szCs w:val="16"/>
          <w:color w:val="auto"/>
        </w:rPr>
      </w:pPr>
      <w:r>
        <w:rPr>
          <w:rFonts w:ascii="Arial" w:cs="Arial" w:eastAsia="Arial" w:hAnsi="Arial"/>
          <w:sz w:val="18"/>
          <w:szCs w:val="18"/>
          <w:color w:val="auto"/>
        </w:rPr>
        <w:t>$0.02 per share, the net exercise of such warrants and the conversion of such Series E-1 preferred stock into common stock immediately prior to the consummation of this offering;</w:t>
      </w:r>
    </w:p>
    <w:p>
      <w:pPr>
        <w:spacing w:after="0" w:line="56" w:lineRule="exact"/>
        <w:rPr>
          <w:rFonts w:ascii="Arial" w:cs="Arial" w:eastAsia="Arial" w:hAnsi="Arial"/>
          <w:sz w:val="16"/>
          <w:szCs w:val="16"/>
          <w:color w:val="auto"/>
        </w:rPr>
      </w:pPr>
    </w:p>
    <w:p>
      <w:pPr>
        <w:ind w:left="1260" w:right="8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which adjusted the conversion rate of our Series E preferred stock from 1-to-1 to 1-to-1.3;</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w:t>
      </w:r>
    </w:p>
    <w:p>
      <w:pPr>
        <w:spacing w:after="0" w:line="9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reclassification of the convertible preferred stock warrant liabilities to additional paid-in capital, each effective upon the closing of this offering.</w:t>
      </w:r>
    </w:p>
    <w:p>
      <w:pPr>
        <w:spacing w:after="0" w:line="50"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to also give effect to (i) the pro forma conversions and reclassifications described above (ii) the sale of 5,172,414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w w:val="96"/>
              </w:rPr>
              <w:t>As of September 30, 2010</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Actual</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Adjusted(1)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rPr>
              <w:t>(unaudited, in</w:t>
            </w:r>
          </w:p>
        </w:tc>
        <w:tc>
          <w:tcPr>
            <w:tcW w:w="700" w:type="dxa"/>
            <w:vAlign w:val="bottom"/>
          </w:tcPr>
          <w:p>
            <w:pPr>
              <w:jc w:val="right"/>
              <w:ind w:right="98"/>
              <w:spacing w:after="0" w:line="129" w:lineRule="exact"/>
              <w:rPr>
                <w:sz w:val="20"/>
                <w:szCs w:val="20"/>
                <w:color w:val="auto"/>
              </w:rPr>
            </w:pPr>
            <w:r>
              <w:rPr>
                <w:rFonts w:ascii="Arial" w:cs="Arial" w:eastAsia="Arial" w:hAnsi="Arial"/>
                <w:sz w:val="12"/>
                <w:szCs w:val="12"/>
                <w:b w:val="1"/>
                <w:bCs w:val="1"/>
                <w:color w:val="auto"/>
                <w:w w:val="81"/>
              </w:rPr>
              <w:t>thousands,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w w:val="93"/>
              </w:rPr>
              <w:t>except per share amounts)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11,590</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3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Convertible preferred stock issuable in series: $0.001 par value, 11,562 shares authorized, 10,297 shares issued and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(actual); no shares authorized, issued or outstanding (pro forma); 10,000 shares authorized, no shares issued and outstanding (pro</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184,549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38"/>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Common stock: $0.001 par value, 16,909 shares authorized, 1,934 shares issued and outstanding (actual); $0.001 par value,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16,909 shares authorized, 13,518 shares issued and outstanding (pro forma); $0.001 par value, 200,000 shares authorized,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18,690 shares issued and outstanding (pro 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8"/>
        </w:trPr>
        <w:tc>
          <w:tcPr>
            <w:tcW w:w="7940" w:type="dxa"/>
            <w:vAlign w:val="bottom"/>
          </w:tcPr>
          <w:p>
            <w:pPr>
              <w:ind w:left="440"/>
              <w:spacing w:after="0" w:line="138" w:lineRule="exact"/>
              <w:rPr>
                <w:sz w:val="20"/>
                <w:szCs w:val="20"/>
                <w:color w:val="auto"/>
              </w:rPr>
            </w:pPr>
            <w:r>
              <w:rPr>
                <w:rFonts w:ascii="Arial" w:cs="Arial" w:eastAsia="Arial" w:hAnsi="Arial"/>
                <w:sz w:val="14"/>
                <w:szCs w:val="14"/>
                <w:color w:val="auto"/>
                <w:w w:val="96"/>
              </w:rPr>
              <w:t>Preferred stock: $0.001 par value, no shares authorized, issued or outstanding (actual); 10,000 shares authorized, no shares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660"/>
              <w:spacing w:after="0" w:line="159" w:lineRule="exact"/>
              <w:rPr>
                <w:sz w:val="20"/>
                <w:szCs w:val="20"/>
                <w:color w:val="auto"/>
              </w:rPr>
            </w:pPr>
            <w:r>
              <w:rPr>
                <w:rFonts w:ascii="Arial" w:cs="Arial" w:eastAsia="Arial" w:hAnsi="Arial"/>
                <w:sz w:val="14"/>
                <w:szCs w:val="14"/>
                <w:color w:val="auto"/>
              </w:rPr>
              <w:t>issued and outstanding (pro forma and pro forma as adjusted)</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196,697</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264,942</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98"/>
              <w:spacing w:after="0" w:line="149" w:lineRule="exact"/>
              <w:rPr>
                <w:sz w:val="20"/>
                <w:szCs w:val="20"/>
                <w:color w:val="auto"/>
              </w:rPr>
            </w:pPr>
            <w:r>
              <w:rPr>
                <w:rFonts w:ascii="Arial" w:cs="Arial" w:eastAsia="Arial" w:hAnsi="Arial"/>
                <w:sz w:val="14"/>
                <w:szCs w:val="14"/>
                <w:color w:val="auto"/>
              </w:rPr>
              <w:t>(752)</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(196,249)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98"/>
              <w:spacing w:after="0" w:line="149" w:lineRule="exact"/>
              <w:rPr>
                <w:sz w:val="20"/>
                <w:szCs w:val="20"/>
                <w:color w:val="auto"/>
              </w:rPr>
            </w:pPr>
            <w:r>
              <w:rPr>
                <w:rFonts w:ascii="Arial" w:cs="Arial" w:eastAsia="Arial" w:hAnsi="Arial"/>
                <w:sz w:val="14"/>
                <w:szCs w:val="14"/>
                <w:color w:val="auto"/>
                <w:w w:val="90"/>
              </w:rPr>
              <w:t>(196,282)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(197,439)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4"/>
                <w:szCs w:val="14"/>
                <w:color w:val="auto"/>
              </w:rPr>
              <w:t>Total stockholders’ (deficit) equity(1)</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3"/>
              </w:rPr>
              <w:t>(186,395)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98"/>
              <w:spacing w:after="0" w:line="155" w:lineRule="exact"/>
              <w:rPr>
                <w:sz w:val="20"/>
                <w:szCs w:val="20"/>
                <w:color w:val="auto"/>
              </w:rPr>
            </w:pPr>
            <w:r>
              <w:rPr>
                <w:rFonts w:ascii="Arial" w:cs="Arial" w:eastAsia="Arial" w:hAnsi="Arial"/>
                <w:sz w:val="14"/>
                <w:szCs w:val="14"/>
                <w:color w:val="auto"/>
              </w:rPr>
              <w:t>(323)</w:t>
            </w:r>
          </w:p>
        </w:tc>
        <w:tc>
          <w:tcPr>
            <w:tcW w:w="20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66,770</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capitalization(1)</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10,141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11,267</w:t>
            </w:r>
          </w:p>
        </w:tc>
        <w:tc>
          <w:tcPr>
            <w:tcW w:w="7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80" w:hanging="332"/>
        <w:spacing w:after="0" w:line="239"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$14.50 per share, the midpoint of the range set forth on the cover page of this prospectus, would increase (decrease) each of additional paid-in capital, total stockholders’ equity and total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20"/>
        <w:spacing w:after="0" w:line="228" w:lineRule="auto"/>
        <w:rPr>
          <w:sz w:val="20"/>
          <w:szCs w:val="20"/>
          <w:color w:val="auto"/>
        </w:rPr>
      </w:pPr>
      <w:r>
        <w:rPr>
          <w:rFonts w:ascii="Arial" w:cs="Arial" w:eastAsia="Arial" w:hAnsi="Arial"/>
          <w:sz w:val="14"/>
          <w:szCs w:val="14"/>
          <w:color w:val="auto"/>
        </w:rPr>
        <w:t>capitalization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additional paid-in capital, total stockholders’ equity and total capitalization by approximately $13.6 million. Similarly, each decrease of 1.0 million shares in the number of shares offered by us, would decrease additional paid-in capital, total stockholders’ equity and total capitalization by approximately $13.6 million. The pro forma as adjusted information discussed above is illustrative only and will be adjusted based on the actual public offering price and terms of this offering determined at pricing.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2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jc w:val="both"/>
        <w:ind w:left="780" w:right="240" w:hanging="326"/>
        <w:spacing w:after="0" w:line="259"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4,272,096 shares of common stock reserved for future issuance under our stock-based compensation plans, including 1,250,000 shares of common stock reserved for issuance under our 2011 Equity Incentive Plan, and any future increase in shares reserved for issuance under such plan, each of which will become effective on the date of this prospectus; and</w:t>
      </w:r>
    </w:p>
    <w:p>
      <w:pPr>
        <w:spacing w:after="0" w:line="59"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pro forma net tangible book deficit as of September 30, 2010 in the amount of $0.3 million, or $0.02 per share, was based on the total number of shares of our common stock outstanding as of September 30, 2010, after giving effect to:</w:t>
      </w:r>
    </w:p>
    <w:p>
      <w:pPr>
        <w:spacing w:after="0" w:line="51" w:lineRule="exact"/>
        <w:rPr>
          <w:sz w:val="20"/>
          <w:szCs w:val="20"/>
          <w:color w:val="auto"/>
        </w:rPr>
      </w:pPr>
    </w:p>
    <w:p>
      <w:pPr>
        <w:ind w:left="780" w:right="620" w:hanging="326"/>
        <w:spacing w:after="0" w:line="357" w:lineRule="auto"/>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issuance in January 2011 of warrants to purchase an aggregate of 103,182 shares of our Series E-1 preferred stock, the net exercise of such warrants and the conversion of such Series E-1 preferred stock into common stock immediately prior to the consummation of this offering;</w:t>
      </w: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issuance and sale in January 2011 of promissory notes in an aggregate principal amount of $5.0 million;</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which adjusted the conversion rate of our Series E preferred stock from 1-to-1 to 1-to-1.3; and</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After giving effect to our sale of 5,172,414 shares of common stock in this offering at an assumed initial public offering price of $14.50 per share, the midpoint of the range set forth on the cover page of this prospectus, and after deducting the estimated underwriting discounts and commissions and estimated offering expenses, our pro forma as adjusted net tangible book value as of September 30, 2010 would have been $66.7 million, or $3.57 per share. This represents an immediate increase in net tangible book value of $3.59 per share to existing stockholders and an immediate dilution in net tangible book value of $10.93 per share to purchasers of common stock in this offering, as illustrated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share as of January 7, 2011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dilution per share to new investors in this offering</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Each $1.00 increase (decrease) in the assumed public offering price of $14.50 per share, the midpoint of the range set forth on the cover of this prospectus, would increase (decrease) our pro forma as adjusted net tangible book value by approximately $4.9 million, or approximately $0.26 per share, and the pro forma dilution per share to investors in this offering by approximately $11.67 per share,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of 1.0 million shares in the number of shares offered by us, would result in a pro forma as adjusted net tangible book value of approximately $80.4 million, or $4.08 per share, and the pro forma dilution per share to investors in this offering would be $10.42 per share. Similarly, a decrease of 1.0 million shares in the number of shares offered by us, would result in an pro forma as adjusted net tangible book value of approximately $53.1 million, or $3.00 per share, and the pro forma dilution per share to investors in this offering would be $11.50 per share. The pro forma as adjusted information discussed above is illustrative only and will be adjusted based on the actual public offering price and other terms of this offering determined at pricing.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over-allotment option is exercised in full, the pro forma as adjusted net tangible book value per share after this offering would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$3.97 per share, the increase in pro forma as adjusted net tangible book value per share to existing stockholders would be $3.99 per share and the dilution to new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purchasing shares in this offering would be $10.53 per share.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presents on the pro forma as adjusted basis described above as of September 30, 2010,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8"/>
              </w:rPr>
              <w:t>Total Consideration(1)</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r>
      <w:tr>
        <w:trPr>
          <w:trHeight w:val="142"/>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5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2"/>
                <w:szCs w:val="12"/>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13,518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188,246</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5,172</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18,690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263,246</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right="20" w:hanging="452"/>
        <w:spacing w:after="0" w:line="273" w:lineRule="auto"/>
        <w:tabs>
          <w:tab w:leader="none" w:pos="4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$14.50 per share, the midpoint of the range set forth on the cover page of this prospectus, would increase (decrease) the total consideration paid to us by new investors and total consideration paid to us by all stockholders by $4.9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stockholders by $13.6 million. Similarly, a decrease of 1.0 million shares in the number of shares offered by us would decrease the total consideration paid to us by new investors and total consideration paid to us by all stockholders by $13.6 million.</w:t>
      </w:r>
    </w:p>
    <w:p>
      <w:pPr>
        <w:spacing w:after="0" w:line="12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68% and our new investors would own 32% of the total number of shares of our common stock outstanding after this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jc w:val="both"/>
        <w:ind w:left="780" w:right="34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4,272,096 shares of common stock reserved for future issuance under our stock-based compensation plans, including 1,250,000 shares of common stock reserved for issuance under our 2011 Equity Incentive Plan, and any future increase in shares reserved for issuance under such plan, each of which will become effective on the date of this prospectus; and</w:t>
      </w:r>
    </w:p>
    <w:p>
      <w:pPr>
        <w:spacing w:after="0" w:line="59" w:lineRule="exact"/>
        <w:rPr>
          <w:rFonts w:ascii="Arial" w:cs="Arial" w:eastAsia="Arial" w:hAnsi="Arial"/>
          <w:sz w:val="18"/>
          <w:szCs w:val="18"/>
          <w:color w:val="auto"/>
        </w:rPr>
      </w:pPr>
    </w:p>
    <w:p>
      <w:pPr>
        <w:ind w:left="780" w:right="360" w:hanging="326"/>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the selected consolidated statement of operations data for the years ended December 29, 2007, December 27, 2008 and December 31, 2009, and the selected consolidated balance sheet data as of December 27, 2008 and December 31, 2009 from our audited consolidated financial statements included elsewhere in this prospectus. The report of our independent registered public accounting firm on our consolidated financial statements for the year ended December 31, 2009, which appears elsewhere in this prospectus, includes an explanatory paragraph that describes an uncertainty about our ability to continue as a going concern. We have derived the selected consolidated statement of operations data for the nine months ended September 30, 2009 and 2010, and the selected consolidated balance sheet data as of September 30, 2010 from our unaudited consolidated financial statements included elsewhere in this prospectus. We have derived the selected consolidated statement of operations data for the years ended December 31, 2005 and 2006 and the selected consolidated balance sheet data as of December 31, 2005 and 2006 and December 29, 2007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2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Product revenue</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6,076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13,364</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Collaboration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 revenue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6,398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7,275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15,347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25,412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11,486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9,699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19,648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1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(16,494)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(21,663)</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(29,543)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(18,037)</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 warrants,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before income taxes and cumulative of change in</w:t>
            </w: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accounting principle</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(25,346)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(29,646)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(19,178)</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Loss before cumulative effect of change in accounting principle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(16,385)</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2"/>
            <w:vMerge w:val="continue"/>
          </w:tcPr>
          <w:p>
            <w:pPr>
              <w:spacing w:after="0"/>
              <w:rPr>
                <w:sz w:val="12"/>
                <w:szCs w:val="12"/>
                <w:color w:val="auto"/>
              </w:rPr>
            </w:pP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(10.99)</w:t>
            </w: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(15.25)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(15.93)</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(17.85)</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(11.02)</w:t>
            </w: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1"/>
              </w:rPr>
              <w:t>Shares used in computing net loss per share of 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basic and diluted(1)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1,491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1,598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1,736</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w w:val="91"/>
              </w:rPr>
              <w:t>Pro forma net loss per share available to common stockholders,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basic and diluted (unaudited)(1)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(2.54)</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89"/>
              </w:rPr>
              <w:t>Shares used in computing pro forma net loss per share available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to common stockholders, basic and diluted (unaudited)(1)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11,393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both"/>
        <w:ind w:left="460" w:right="20" w:hanging="452"/>
        <w:spacing w:after="0" w:line="288" w:lineRule="auto"/>
        <w:tabs>
          <w:tab w:leader="none" w:pos="4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29,</w:t>
            </w:r>
          </w:p>
        </w:tc>
        <w:tc>
          <w:tcPr>
            <w:tcW w:w="5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center"/>
              <w:ind w:left="39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w w:val="94"/>
              </w:rPr>
              <w:t>Cash, cash equivalents and available for sale securities</w:t>
            </w: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19,659</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25,518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40,363</w:t>
            </w:r>
          </w:p>
        </w:tc>
        <w:tc>
          <w:tcPr>
            <w:tcW w:w="100" w:type="dxa"/>
            <w:vAlign w:val="bottom"/>
          </w:tcPr>
          <w:p>
            <w:pPr>
              <w:spacing w:after="0"/>
              <w:rPr>
                <w:sz w:val="12"/>
                <w:szCs w:val="12"/>
                <w:color w:val="auto"/>
              </w:rPr>
            </w:pPr>
          </w:p>
        </w:tc>
        <w:tc>
          <w:tcPr>
            <w:tcW w:w="7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17,796</w:t>
            </w:r>
          </w:p>
        </w:tc>
        <w:tc>
          <w:tcPr>
            <w:tcW w:w="32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14,602</w:t>
            </w:r>
          </w:p>
        </w:tc>
        <w:tc>
          <w:tcPr>
            <w:tcW w:w="6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5,083</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23,939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21,354</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36,493</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54,776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32,153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22,090</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12,838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promissory notes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13,072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4,997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88,966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112,295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162,082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167,538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183,845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184,549</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(83,154)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(106,172)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(130,331)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(158,339)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(173,619)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(186,395)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total revenue grew from $6.4 million in 2006 to $25.4 million in 2009 and was $23.2 million in the nine months ended September 30, 2010. We have incurred significant net losses since our inception in 1999 and, as of September 30, 2010, our accumulated deficit was $196.2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2003, we introduced our first product line, the TOPAZ system for protein crystallization. In the fourth quarter of 2006, we launched our BioMark system for gene expression analysis, genotyping and digital PCR. In the third quarter of 2008, we launched our EP1 system for SNP genotyping and digital PCR. In the third quarter of 2009, we launched our Access Array system for target enrichment that is compatible with all currently marketed next generation DNA sequencers. In the third quarter of 2010, we launched our multi-use chips for high-throughput genotyping. Our systems are based on one or more chips designed for particular applications and include specialized instrumentation and software, as well as reagents for certain applications.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certain agreed upon targets. Our agreements with EDB provide for incentive funding eligibility through May 2011. From January 1, 2007 through September 30, 2010, we recognized $6.0 million of grant revenue from EDB.</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Presentation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2007 and 2008 fiscal years were based on a 52- or 53-week convention and, accordingly, our 2007 fiscal year refers to the year ended on December 29, 2007, and our 2008 fiscal year refers to the year ended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27, 2008. During 2009, we adopted the calendar year as our fiscal year and, accordingly, our 2009 fiscal year refers to the year ended on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 and Note 1 of the notes to our interim consolidated financial statements included elsewhere in this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 from sales of our products, license arrangements, research and development contracts, collaboration agreements and government grants. Our products consist of instruments and consumables, including chips and reagents, related to our microfluidic systems. Product revenue includes services for instrument installation, training and customer support services. We also have entered into collaboration, license, and research and development contracts and have received government grants to conduct research and development activities.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 is recognized when all of the following criteria are met: persuasive evidence of an arrangement exists, delivery has occurred or services have been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receipt of payment. We also use judgment to assess whether a price is fixed or determinable including but not limited to, reviewing contractual terms and conditions related to payment terms.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of our sales contracts, which include those for our BioMark systems, involve the delivery or performance of multiple products or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 A delivered element is considered a separate unit of accounting when the delivered element has value to the customer on a stand-alone basis. Elements are considered to have stand-alone value when they are sold separately or when the customer could resell the element on a stand-alone basis.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recognize revenue for delivered elements only when we determine that the fair values of undelivered elements are known. If the fair value of an undelivered element cannot be objectively determined, revenue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deferred until all elements are delivered, or until fair value can objectively be determined for any remaining undelivered elements. We use judgment to evaluate whether there is vendor specific objective evidence, or VSOE, of fair value of the undelivered elements, determined by reference to stand-alone sales of such elements.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 multiple element arrangement that includes both chips and instruments, we separate these elements into separate units of accounting as we consider these elements to have stand alone value to the customer. We do not sell software separately; however, we offer post-contract software support services for certain of our instruments that contain software that is essential to their functionality. If the only undelivered element is post-contract software support services for which VSOE has not been established, the entire arrangement consideration is recognized ratably over the service period. The corresponding costs of products sold under multiple element revenue arrangements are recognized consistent with the related revenue recognition.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2007 and the six months ended June 28, 2008, we did not have VSOE of fair value for post-contract software support services. Therefore revenue and the corresponding costs were deferred and recognized over the post-contract software support period.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Beginning in the third quarter of 2008, we established VSOE of fair value for post-contract software support services and began recognizing revenue for the fair value of the delivered element of an arrangement upon installation.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Until the third quarter of 2009, installation was considered to be essential to the functionality of our BioMark instruments and, accordingly, revenue recognition for these instruments began upon installation.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2009, we began shipping our BioMark instruments in a fully assembled and calibrated form and concluded that installation was no longer essential to the functionality of these instruments. The installation process for our instruments may be performed by the customer or an independent third party. Therefore, we treat the instruments and installation as separate units of accounting. As a result, beginning in the fourth quarter of 2009, instrument revenue is recognized upon delivery, provided that other applicable revenue recognition criteria have been satisfied. Installation revenue is recognized when the installation service is complete.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Revenues from the sales of our products that are not part of multiple element arrangements are recognized when no significant obligations remain undelivered and collection of the receivables is reasonably assured, which is generally when delivery has occurred. Delivery occurs when there is a transfer of title and risk of loss passes to the customer.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Accruals for estimated warranty expenses are provided for at the time that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entered into collaboration and research and development arrangements that generally provide us with up-front and periodic milestone fees or fees based on agreed upon rates for time incurred by our research staff. For collaboration and research and development agreements, up-front fees are generally recognized over the term of the agreement; milestone fees are generally recognized when the milestones are achieved; and fees based on agreed-upon rates for time incurred by our research staff are recognized as time is incurred on the project.</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we receive incentive grant payments upon satisfaction of grant conditions in amounts equal to a portion of the qualifying expenses we incur in Singapore. Qualifying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resulting costs, net of estimated forfeitures, are recognized over the period during which an employee is required to provide service in exchange for the award, usually the vesting period. We amortize the fair value of stock-based compensation on a straight-line basis over the requisite service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performance-based stock options, we recognize stock-based compensation over the requisite service periods using the accelerated attribution method.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the related services are rendered.</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 of the money option grants, we estimate the expected lives based on the mid-point of the expected time to a liquidity event and the contractual term.</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Black-Scholes option-pricing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6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63.0%</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53.8%</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59.1%</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55.0%</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life</w:t>
            </w: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5.7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6.1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5.8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3.2%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1.6%</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r>
    </w:tbl>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product revenue, research and development expense, and selling, general and administrative expense.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2007, 2008, 2009 and the nine months ended September 30, 2010. We will continue to use judgment in evaluating the expected term, volatility and forfeiture rate related to our stock-based compensation.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 The following table summarizes, by grant date, the number of stock options granted from January 1, 2009 through September 30, 2010 and the associated per share exercise price, which was not less than the fair value of our common stock for each of these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8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 Share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8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Common Stock</w:t>
            </w:r>
          </w:p>
        </w:tc>
        <w:tc>
          <w:tcPr>
            <w:tcW w:w="8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300,764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December 23, 2009</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800,633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56,820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May 6, 2010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149,479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August 26,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Given the absence of an active market for our common stock prior to this offering, our Board of Directors determined the estimated fair value of our common stock based on an analysis of relevant metrics, including the following:</w:t>
      </w:r>
    </w:p>
    <w:p>
      <w:pPr>
        <w:spacing w:after="0" w:line="5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contemporaneous valuations of our common stock by an unrelated third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outside investors in arms-length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freestanding warrants and other similar instruments related to shares that are redeemable;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capital resources and financial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all grants of stock options during the periods for which financial statements are included in this prospectus, our board of directors determined the fair value of our common stock based on an evaluation of the factors discussed above as of the date of each grant, including a contemporaneous unrelated third-party valuation of our common stock.</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unrelated third-party valuations were prepared using the income or discounted cash flow approach to estimate our aggregate enterprise value at each valuation date. The income approach measures the value of a company as the present value of its future economic benefits by applying an appropriate risk-adjusted discount rate to expected cash flows, based on forecasted revenue and costs. We prepared a financial forecast for each valuation date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order to arrive at the estimated fair value of our common stock, the indicated enterprise value of our company calculated at each valuation date using the income approach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marketability, cost of capital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Also, the valuation firm considered the fact that our stockholders cannot freely trade our common stock in the public markets. Therefore, the estimated fair value of our common stock at each grant date reflected a non-marketability discount.</w:t>
      </w:r>
    </w:p>
    <w:p>
      <w:pPr>
        <w:spacing w:after="0" w:line="12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is inherent uncertainty in these estimates and if we or the valuation firm had made different assumptions than those described above, the amount of our stock-based compensation expense, net loss and net loss per share amounts could have been significantly different.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obtained contemporaneous valuations from an unrelated third-party valuation firm in connection with each of the following grants, which it considered together with the other factors discussed above, to determine the fair value of our common stock on each grant date. Our board of directors determined a fair value of $4.08 per share of our common stock for grants made on November 17, 2009. For the grant of options on December 23, 2009 and January 28, 2010, our board determined a fair value of $4.45 per share of our common stock on both such dates. The increase in fair value between November 17, 2009 and the grants on December 23, 2009 and January 28, 2010 related primarily to the passage of time which meant that future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flows were discounted over a shorter period under the income approach. For the grant of options on May 6, 2010, our board determined a fair value of $3.15 per share of our common stock; however, options were granted by our board on May 6, 2010 at a price per share of $4.45 based on the board’s decision to maintain equality in exercise price with the recipients of grants on December 23, 2009. The decrease in fair value between January 28, 2010 and May 6, 2010 related to lower sales projections, lower cash balances, an increase in the discount for lack of marketability and a longer assumed holding period. For the grant of options on August 26, 2010, our Board determined a fair value of $3.43 per share of our common stock on the grant date; however, again options were granted with an exercise price per share of $4.45. The increase in fair value between May 6, 2010 and August 26, 2010 related to an increase in our sales projections and a decrease in the discount for lack of marketability due to a shorter assumed holding period.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November 2009, we offered our eligible stock option holders the opportunity to exchange eligible options for new options with an exercise price per share equal to the fair market value of our common stock on December 23, 2009. In approving the exchange offer, our board of directors noted that the principal purpose of the our equity compensation program is to attract and retain personnel required for the success of our business and that a large number of optionees held options to purchase shares of our common stock with exercise prices well above the then-current fair market value of our common stock, and, as a result, our equity compensation program was not having the intended effect of attracting and motivating personnel. Our board of directors concluded that the exchange offer would encourage the continued service of valued service providers critical to our continued success. Options that were eligible to participate in the offer were those that were granted with an exercise price greater than $4.08 per share and remained outstanding and unexercised on December 22, 2009, the expiration date of the offer. All employees (including officers), directors, and consultants as of the commencement date of the offer, were eligible to participate provided they remained service providers through December 22, 2009. Approximately 801,000 options were exchanged. New options granted had similar terms and conditions as the exchanged options, except that the exercise price per share of the new options is equal to the per share fair value of our common stock on December 23, 2009 of $4.45 and the new options were subject to an additional three months of vesting. The exchange resulted in incremental stock based compensation expense of $0.7 million of which $0.4 million was recognized immediately on December 23, 2009 and $0.3 million will be recognized over the remaining vesting periods, which range from three months to four years from December 23, 2009.</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of our stock options are granted to officers with vesting acceleration features based upon the achievement of certain performance milestones. The timing of the attainment of these milestones may affect the timing of expense recognition since we recognize compensation expense only for the portion of stock options that are expected to vest.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recorded stock-based compensation of $0.7 million, $2.0 million, $2.1 million, $1.2 million and $1.3 million during 2007, 2008, 2009, the nine months ended September 30, 2009 and the nine months ended September 30, 2010, respectively. As of September 30, 2010, we had $2.1 million of unrecognized stock-based compensation costs, which are expected to be recognized over an average period of 2.0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 related to current period earnings. As part of the process of preparing our consolidated financial statements, we continuously monitor the circumstances impacting the expected realization of our deferred tax assets for each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freestanding warrants to purchase shares of our convertible preferred stock as liabilities because the warrants may conditionally obligate us to transfer assets at some point in the future. The warrants are subject to remeasurement at each balance sheet date, and any change in fair value is recognized as a component of other income (expense), net in the consolidated statements of operations. We estimated the fair value of these warrants at the respective balance sheet dates using the Black-Scholes option-pricing model.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continue to record adjustments to the fair value of the warrants until they are exercised, expire or, upon the closing of an initial public offering, become warrants to purchase shares of our common stock, at which time the warrants will no longer be accounted for as a liability. At that time, the then-current aggregate fair value of these warrants will be reclassified from current liabilities to additional paid-in capital, a component of stockholders’ equity, and we will cease to record any related periodic changes in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$10,477</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Product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4,451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13,364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15,347</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3,365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4,768</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2,053</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13,364</w:t>
            </w:r>
          </w:p>
        </w:tc>
        <w:tc>
          <w:tcPr>
            <w:tcW w:w="2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16,369</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Grant revenue is primarily generated in Singapore. Collaboration revenue is primarily generated in the United States. As we expand our business in Europe, Latin America and Asia Pacific, we expect our product revenue from outside of the United States to increase as a percentage of our total product revenue.</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Total revenue from our five largest customers in each of the periods presented comprised 48%, 32%, 20% and 18% of revenue in 2007, 2008, 2009, and the nine months ended September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2009 and September 30,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revenue increased $5.4 million, or 30%, to $23.2 million for the nine months ended September 30, 2010 as compared to $17.8 million for the nine months ended September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Product revenue increased by $4.5 million, or 28%, to $20.9 million for the nine months ended September 30, 2010 as compared to $16.4 million for the nine months ended September 30, 2009. The increase is primarily due to the $3.0 million, or 78%, increase in consumables revenue resulting from the higher installed base of instruments. In addition, instrument revenue increased by $1.5 million, or 12%. Instrument sales volume increased by 44% primarily driven by our Access Array system, which launched in the second half of 2009. Average instrument selling prices were generally lower for the nine months ended September 30, 2010 compared to the same period in 2009 due to increased sales of the Access Array instrument which has a lower average selling price compared to our BioMark and EP1 instruments.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our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Collaboration revenue was $1.0 million for the nine months ended September 30, 2010, resulting from a fixed-fee research and development agreement that we entered into in May 2010. The arrangement provided for an up-front fee of $750,000 that is being amortized over the term of the agreement, currently projected to be approximately 15 months. The arrangement also provides for milestone payments for the design and development of product prototypes, which payments have been and are expected to be recognized as we achieve each milestone. In September 2010, we achieved two milestones and received two milestone payments totaling an additional $750,000. We expect to receive additional milestone fees as and when we achieve additional milestones, as specified in the agreement. In the nine months ended September 30, 2009, we did not have any research and development arrangements in place.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$0.1 million, or 5%, to $1.3 million for the nine months ended September 30, 2010 compared to $1.4 million for the nine months ended September 30, 2009. The decrease relates to a reduction in activity for the EDB grant agreement as we reach certain milestones. Under our incentive grant agreements with EDB, eligible expenses incurred by us in Singapore were $3.4 million for the nine months ended September 30, 2010 and $2.7 million in the nine months ended September 30, 2009.</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Our agreements with EDB provide that grants extended to us are subject to our operation of increasing levels of research, development and manufacturing in Singapore, including the use of local service providers, the hiring and training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September 30, 2010.</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total grant revenue for 2010 and future periods to decrease compared to 2009 as the first of our EDB grant agreements was completed during 2010 and the second EDB grant agreement will be completed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6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$7,999</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Product margin</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product revenue decreased $0.4 million, or 5%, to $8.0 million for the nine months ended September 30, 2010 from $8.4 million for the nine months ended September 30, 2009. Cost of product revenue as a percentage of related revenue was 38% for the nine months ended September 30, 2010 compared to 51% for the nine months ended September 30, 2009. The decrease in cost of product revenue was primarily due to lower material costs as we sourced more components from local vendors in Asia, improved overhead absorption from increased volumes and improved yields on our chips, and decreased provisions for slow moving and excess and obsolete inventory.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the unit costs of our products to decline in future periods as a result of our ongoing efforts to improve our manufacturing processes coupled with expected increases in production volumes and yields.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23,635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27,769</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Research and development expense increased $0.8 million, or 9%, to $10.1 million for the nine months ended September 30, 2010 compared to $9.2 million for the nine months ended September 30, 2009. The increase relates primarily to increased headcount related costs of $0.5 million and increased consumption of supplies and consumables of $0.3 million associated with new product introductions and related development and testing. We believe that our continued investment in research and development is essential to our long-term competitive position and expect these expenses to increase in future periods.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Selling, general and administrative expense increased $3.3 million, or 23%, to $17.7 million for the nine months ended September 30, 2010, compared to $14.4 million for the nine months ended September 30, 2009. The increase was primarily due to increased compensation costs and related expenses of $2.0 million resulting from increased headcount to support our business and revenue growth, increased advertising and promotional costs of $0.3 million to support our new product introductions and to increase market awareness, increased legal and professional fees of $0.5 million, and an increase in our provision for bad debt expense of $0.3 million. We expect selling, general and administrative expense to increase in future periods as we continue to grow our sales,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upon becoming a public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receive interest income from our cash and cash equivalents. Conversely, we incur interest expense from our long-term debt and convertible promissory notes and the amortization of debt discounts related to these items. The following table presents these items for each period presented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$(1,849)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 decreased $0.2 million, or 12%, to $1.6 million for the nine months ended September 30, 2010 compared to $1.8 million for the nine months ended September 30, 2009 due to the interest incurred on $10.7 million of convertible notes issued in August 2009 which was converted into convertible preferred stock in November 2009. We expect interest expense to decrease in 2011 as we expect to begin repayment of our outstanding debt.</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Gains from changes in the fair value of preferred stock warrants increased $30,000, or 17%, to $210,000 for the nine months ended September 30, 2010 from $180,000 in the nine months ended September 30, 2009 due to a decrease in the warrant liability fair value.</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income decreased by $26,000, or 79%, for the nine months ended September 30, 2010 compared to the nine months ended September 30, 2009 due to the decrease in our cash balances during 2010. We expect interest income to increase in 2011 as we invest a portion of the net proceeds from this offering.</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Other income (expense) for the nine months ended September 30, 2010 was relatively consistent with the nine months ended September 30, 2009 and primarily consists of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27, 2008 and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Instruments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$10,477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13,364</w:t>
            </w: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$10.1 million, or 66%, to $25.4 million for 2009 as compared to $15.4 million for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$10.2 million, or 77%, to $23.6 million for 2009 as compared to $13.4 million for 2008. Instrument revenue increased by $6.8 million, or 65% primarily due to a $7.9 million increase in BioMark and EP1 instrument revenue, despite lower average selling prices, partially offset by a $1.1 million decrease in Topaz instrument revenue. Instrument sales volume increased by 173% due primarily to sales of our BioMark instruments and, in part, to sales of our EP1 instruments, which began in the third quarter of 2008. In addition, consumables revenue increased by $3.4 million, or 118%, resulting from the higher installed base of instruments. Our deferred product revenue balance decreased from $1.7 million at December 27, 2008 to $1.0 million at December 31, 2009. The decrease was primarily due to the recognition of revenue on previously deferred sales beginning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Grant revenue decreased $0.1 million, or 5%, to $1.8 million for 2009 compared to $1.9 million for 2008. The decrease related to a $0.3 million reduction in activity for a grant agreement with the National Institutes of Health, or NIH, which terminated in June 2008 and a decrease of $0.2 million in EDB grants, partially offset by a new grant for $0.3 million entered into in April 2009 with the California Institute for Regenerative Medicine, or CIRM. EDB grant revenue was $1.5 million during 2009, compared to $1.7 million during 2008. Under our incentive grant agreements with EDB, eligible expenses incurred by us in Singapore were $3.7 million in 2009 and $3.7 million in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64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$8,364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$11,486</w:t>
            </w:r>
          </w:p>
        </w:tc>
        <w:tc>
          <w:tcPr>
            <w:tcW w:w="2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Product margin</w:t>
            </w:r>
          </w:p>
        </w:tc>
        <w:tc>
          <w:tcPr>
            <w:tcW w:w="4640" w:type="dxa"/>
            <w:vAlign w:val="bottom"/>
            <w:gridSpan w:val="3"/>
          </w:tcPr>
          <w:p>
            <w:pPr>
              <w:jc w:val="right"/>
              <w:ind w:right="552"/>
              <w:spacing w:after="0"/>
              <w:rPr>
                <w:sz w:val="20"/>
                <w:szCs w:val="20"/>
                <w:color w:val="auto"/>
              </w:rPr>
            </w:pPr>
            <w:r>
              <w:rPr>
                <w:rFonts w:ascii="Arial" w:cs="Arial" w:eastAsia="Arial" w:hAnsi="Arial"/>
                <w:sz w:val="18"/>
                <w:szCs w:val="18"/>
                <w:color w:val="auto"/>
              </w:rPr>
              <w:t>37%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product revenue increased $3.1 million, or 37%, to $11.5 million for 2009 compared to $8.4 million for 2008 primarily due to increases in instrument sales related to our BioMark, EP1 and, to a lesser extent, our Access Array systems. Cost of product revenue as a percentage of product revenue was 49% in 2009 as compared to 63% in 2008. The decrease was primarily due to lower material costs especially for tooling, improved overhead absorption from increased volumes and improved yields on our chips, product efficiencies resulting from transitioning our instrument manufacturing operations from South San Francisco to Singapore, and reduced material costs as we sourced more components from local vendors in Asia, partially offset by increased provisions for slow moving and excess and obsolete inventory.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7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$12,315</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Research and development expense decreased $1.7 million, or 12%, to $12.3 million for 2009 compared to $14.0 million for 2008. The decrease primarily related to decrease in compensation costs of $0.3 million due to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decrease in research and development headcount as we transitioned certain of our engineering efforts to our facility in Singapore, a decrease in facility and information technology allocations of $0.4 million as our research and development organization occupied less space in our South San Francisco facility following the transition of certain activities to Singapore and a decrease in consumption of supplies and consumables of $0.7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 decreased $2.9 million, or 13%, to $19.6 million for 2009 compared to $22.5 million for 2008. The decrease was primarily due to initial public offering related costs of $3.4 million recognized in 2008 following the withdrawal of our previous offering in September 2008, a decrease in audit and tax related fees of $0.7 million, a decrease in consulting costs of $0.5 million and a decrease in advertising and promotion costs of $0.4 million. The initial public offering related costs consisted primarily of legal and accounting services and had previously been capitalized. The overall decrease was partially offset by a $1.9 million increase in compensation related costs associated with our increased headcount and an increase in stock-based compensation expense of $0.1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interest income, interest expense,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$(2,031)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1,833</w:t>
            </w:r>
          </w:p>
        </w:tc>
      </w:tr>
    </w:tbl>
    <w:p>
      <w:pPr>
        <w:spacing w:after="0" w:line="14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Interest expense increased $0.8 million, or 42%, to $2.9 million for 2009 compared to $2.1 million for 2008 due to the interest expense related to the issuance of $10.7 million in convertible notes in August 2009.</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income decreased by $0.7 million, or 95%, to $37,000 for 2009 compared to $0.8 million for 2008. The decrease in interest income reflects the decrease in our cash and cash equivalents balances during 2009.</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Gain (loss) from changes in the fair value of convertible preferred stock warrants decreased by $0.9 million, or 118%, to a $0.1 million loss for 2009 compared to a $0.8 million gain in 2008 due to changes in the fair value of our warrant liability.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income (expense) in 2009 increased $1.4 million, or 366%, to $1.8 million in 2009 from $0.4 million in 2008 primarily due to income recognized from our grant of a sub-license to certain intellectual property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29, 2007 and December 27,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$2,682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Product revenue</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4,451</w:t>
            </w:r>
          </w:p>
        </w:tc>
        <w:tc>
          <w:tcPr>
            <w:tcW w:w="58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Grant revenue</w:t>
            </w:r>
          </w:p>
        </w:tc>
        <w:tc>
          <w:tcPr>
            <w:tcW w:w="5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320" w:type="dxa"/>
            <w:vAlign w:val="bottom"/>
            <w:vMerge w:val="restart"/>
          </w:tcPr>
          <w:p>
            <w:pPr>
              <w:jc w:val="right"/>
              <w:ind w:right="3392"/>
              <w:spacing w:after="0"/>
              <w:rPr>
                <w:sz w:val="20"/>
                <w:szCs w:val="20"/>
                <w:color w:val="auto"/>
              </w:rPr>
            </w:pPr>
            <w:r>
              <w:rPr>
                <w:rFonts w:ascii="Arial" w:cs="Arial" w:eastAsia="Arial" w:hAnsi="Arial"/>
                <w:sz w:val="18"/>
                <w:szCs w:val="18"/>
                <w:color w:val="auto"/>
              </w:rPr>
              <w:t>53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$8.1 million, or 111%, to $15.3 million for 2008 as compared to $7.3 million for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Product revenue increased by $9.0 million, or 202%, to $13.4 million for 2008 compared to $4.5 million for 2007. Revenue from instruments increased by $7.9 million, or 293%, primarily due to higher demand for our BioMark instruments, resulting in an increase in BioMark instrument sales volume of 164%. Revenue from consumables increased by $1.1 million, or 64%, primarily due to our higher installed base of instruments. Our deferred product revenue balance decreased from $2.7 million at December 29, 2007 to $1.7 million at December 27, 2008. The decrease was primarily due to the recognition of revenue on previously deferred sales beginning in the third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Collaboration revenue decreased $0.4 million, or 85%, to $70,000 for 2008 from $0.5 million for 2007, primarily due to the completion of one of our development agreements during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Grant revenue decreased $0.5 million, or 19%, to $1.9 million for 2008 compared to $2.4 million for 2007. The decrease related to a $0.3 million reduction in activity under an NIH grant agreement that terminated in June 2008 and a $0.2 million decrease in grant revenue from EDB. Under our incentive grant agreements with EDB, eligible expenses incurred by us in Singapore were $4.4 million in 2007 and $3.7 million in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Fiscal Year</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$3,514</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$8,364</w:t>
            </w:r>
          </w:p>
        </w:tc>
        <w:tc>
          <w:tcPr>
            <w:tcW w:w="2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Product margin</w:t>
            </w:r>
          </w:p>
        </w:tc>
        <w:tc>
          <w:tcPr>
            <w:tcW w:w="1280" w:type="dxa"/>
            <w:vAlign w:val="bottom"/>
            <w:gridSpan w:val="2"/>
          </w:tcPr>
          <w:p>
            <w:pPr>
              <w:jc w:val="right"/>
              <w:ind w:right="572"/>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product revenue increased $4.9 million, or 138%, to $8.4 million for 2008 compared to $3.5 million for 2007, primarily driven by higher instrument sales, start-up costs for our new Singapore manufacturing facility and underutilized capacity as we transitioned manufacturing from the United States to Singapore. Cost of product revenue as a percentage of product revenue was 79% in 2007 compared to 63% in 2008. The decrease was due to the adverse effect of underutilized production capacity in 2007 as we transitioned manufacturing from the United States to Singapore.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color w:val="auto"/>
              </w:rPr>
              <w:t>$14,389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20" w:type="dxa"/>
            <w:vAlign w:val="bottom"/>
            <w:vMerge w:val="restart"/>
          </w:tcPr>
          <w:p>
            <w:pPr>
              <w:jc w:val="right"/>
              <w:ind w:right="3312"/>
              <w:spacing w:after="0"/>
              <w:rPr>
                <w:sz w:val="20"/>
                <w:szCs w:val="20"/>
                <w:color w:val="auto"/>
              </w:rPr>
            </w:pPr>
            <w:r>
              <w:rPr>
                <w:rFonts w:ascii="Arial" w:cs="Arial" w:eastAsia="Arial" w:hAnsi="Arial"/>
                <w:sz w:val="18"/>
                <w:szCs w:val="18"/>
                <w:color w:val="auto"/>
              </w:rPr>
              <w:t>54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expense decreased $0.4 million, or 3%, to $14.0 million in 2008 from $14.4 million for 2007, primarily due to a decrease in contractor costs of $0.4 million, a decrease in headcount related costs of $0.3 million and a decrease in license costs of $0.1 million, partially offset by higher stock-based compensation of $0.3 million for new hire stock option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 increased by $9.6 million, or 75%, to $22.5 million for 2008 from $12.9 million for 2007 primarily due to costs related to our previously proposed initial public offering that was withdrawn of $3.4 million, increased compensation costs of $4.0 million related to increased headcount, an increase in stock-based compensation of $0.9 million, an increase of $0.9 million in spending primarily for accounting and legal services to support our global expansion and an increase of $0.4 million for advertising and promotions.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interest expense, interest income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$(2,790)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expense decreased by $0.8 million, or 27%, to $2.0 million for 2008 compared to $2.8 million for 2007. The decrease was primarily due to a lower average debt balance following the conversion of $10.0 million of promissory notes in March 2007 and the impact of a convertible promissory note of $5.0 million issued in April 2007. Interest expense for 2008 included interest accrued on $10.0 million in borrowings on our credit line during June 2008.</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for 2008 decreased by $0.4 million, or 33%, to $0.8 million for 2008 compared to $1.1 million for 2007. The decrease in interest income was due to lower cash and cash equivalents and lower interest rates during 2008 as compared to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2010, we had $5.1 million of cash and cash equivalents compared to $14.6 million as of December 31, 2009. As of September 30, 2010, our working capital totaled $6.8 million. Since our inception, we have principally funded our operations through issuances of convertible preferred stock, which have provided us with aggregate net proceeds of $184.8 million, of which $20.0 million was provided by entities affiliated with EDB in the form of convertible promissory notes that converted into convertible preferred stock and $10.7 million in other loans that were converted into preferred stock. We have also received significant funding in the form of non-convertible loans that have provided us with aggregate net proceeds of $26.6 million. As of September 30, 2010, we had an accumulated deficit of $196.2 million.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first grant agreement with EDB was completed in July 2010. The maximum amount of grant revenue available to us under our second grant agreement with EDB from September 30, 2010 through May 31, 2011 is SG$1.1 million (approximately US$0.8 million) although we expect actual grant revenue to be significantly lower.</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To maintain eligibility for grant payments under our second grant agreement, we are required to incur annual spending in Singapore of at least SG$6.5 million (approximately US$4.7 million) for the 12 months ended May 31, 2009 and for the twelve months ended May 31, 2010 and at least SG$9.0 million (approximately US$6.5 million) for the 12 months ending May 31, 2011. We met our annual spending requirements in Singapore for the 12 months ended May 31, 2009 and May 31, 2010.</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systems and not our chips.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first grant agreement required that we employ at least 23 research scientists and engineers in Singapore by December 31, 2009. Our second grant agreement required that we employ at least 10 new research scientists and engineers in Singapore by May 31, 2009 and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September 30, 2010, we employed 23 research scientists and engineers involved in the research and development of our chips and 12 research scientists and engineers involved in the research and development of related instrumentation in Singapore.</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through September 30, 2010. BMSIF is wholly-owned by EDB Investments Pte. Ltd., whose parent entity is EDB. Ultimately, each of these entities is controlled by the government of Singapore. As of September 30, 2010, there were no outstanding principal and accrued interest balances for our convertible note purchase agreements with BMSIF as the final remaining note was converted into shares of our Series E convertible preferred stock in November 2009.</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March 2005, we entered into a loan and security agreement with a lender under which we borrowed $13.0 million to be used for general corporate purposes. The loan interest rate was 11.5% per annum and the maturity date was February 2010. The loan was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we drew down the $10.0 million. Interest only payments were made monthly through the remainder of 2008 with monthly payments of principal and interest in the amount of $0.4 million, beginning in January 2009, to be made through June 2011. The agreement also required a final payment in the amount of $0.7 million in June 2011, which has been accreted as interest expense over the term of the loan.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we combined and restructured the loan and security agreement discussed above. The restructured loan and security agreement had a final repayment date of March 1, 2012. The interest rate under the loan was 13.5% per annum. Interest only payments were made monthly through February 1, 2010. Commencing on March 1, 2010, we began making monthly payments of $0.6 million for principal and interest with an additional final payment of $2.1 million due in March 2012. The agreement also required payment of fees on March 1, 2012 in the amount of $0.2 million, which, along with the $2.1 million final payment, were being accreted as interest expense over the term of the loan. We were subject to a prepayment fee in the amount of 1.5% of the outstanding principal amount being prepaid. In connection with the execution of this loan and security agreement, we issued a warrant to purchase 41,288 shares of Series E convertible preferred stock at $24.22 per share. The fair value of the warrant resulted in a debt discount that is being amortized to interest expense over the life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2010, we amended the loan and security agreement discussed above. The restructured loan and security agreement has a maturity date of February</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2013. The loan bears interest at 13.5% per annum with interest only payments due monthly through February 2011. Commencing in March 2011, we will begin making monthly payments of $0.6 million for principal and interest with an additional payment of $2.1 million due in March 2012. The agreement also requires payment of fees in March 2012 in the amount of $0.2 million. The combined additional payment and fees of $2.3 million are being accreted as interest expense through the maturity date of February 2013. We are subject to a prepayment fee in the amount of 1.0% of the outstanding principal amount being prepaid.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 exercise price of all of their warrants to $12.11 per share and extending the term of one warrant. As a result of the warrant amendments, these warrants were revalued resulting in an increase in the value of $0.1 million which resulted in an additional debt discount that will be amortized to interest expense over the life of the agreement.</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September 30, 2010, the outstanding principal and accrued interest balance for this loan and security agreement was $14.6 million, net of unamortized debt discounts of $0.2 million.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September 30, 2010, we were in compliance with the above covenants with the exception of the timely delivery of audited financial statements for 2009 for which we have received a waiver through December 31, 2010.</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2009, we entered into a convertible Note and Warrant Purchase Agreement, or Note, with existing investors to provide us with cash proceeds of $10.7 million. In connection with the Note, we issued warrants to purchase 220,176 shares of Series E convertible preferred stock at $24.22 per share. The fair value of the warrants resulted in a debt discount of $0.3 million. The Note was scheduled to mature on December 31, 2009, with interest accruing on the outstanding principal amount for the first 60 days at a rate equal to 1% per month and at a rate equal to 2% per month after the first 60 days, compounded monthly. In November 2009, the noteholders converted the outstanding principal amount and accrued interest totaling $11.0 million into 455,525 shares of Series E convertible preferred stock which were issued upon the conversion at a price of $24.22 per share.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July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(21,759)</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2"/>
              </w:rPr>
              <w:t>$ (28,720)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(14,388)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37,555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16,939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9,059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(16,281)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$9.2 million during the nine months ended September 30, 2010. Net cash used in operating activities primarily consisted of our net loss of $13.8 million, changes in our operating assets and liabilities in the amount of $2.4 million, and non-cash income adjustment to the fair value of convertible preferred stock warrants of $0.2 million, which was partially offset by non-cash expense items such as stock-based compensation of $1.3 million, depreciation and amortization of our property and equipment of $0.9 million and amortization of debt discounts and issuance cost of $0.3 million.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$14.4 million during the nine months ended September 30, 2009. Net cash used in operating activities primarily consisted of our net loss of $15.7 million, changes in our operating assets and liabilities in the amount of $1.2 million, and non-cash income adjustment to the fair value of convertible preferred stock warrants of $0.2 million, which was partially offset by non-cash expense items such as stock-based compensation of $1.2 million, depreciation and amortization of our property and equipment of $1.3 million and amortization of debt discounts and issuance cost of $0.2 million.</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used in operating activities was $19.5 million during 2009. Net cash used in operating activities primarily consisted of our net loss of $19.1 million, changes in our operating assets and liabilities in the amount of $2.7 million, non-cash income from the licensing of technology of $1.8 million, and non-cash income adjustment to the fair value of convertible preferred stock warrants of $0.1 million, which was partially offset by non-cash expense items such as stock-based compensation of $2.1 million, depreciation and amortization of our property and equipment of $1.6 million and amortization of debt discounts and issuance cost of $0.3 million.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operating activities was $28.7 million during 2008. Net cash used in operating activities primarily consisted of a net loss of $29.5 million, non-cash expense adjustment to the fair value of convertible preferred stock warrants of $0.8 million, which was partially offset by changes in our operating assets and liabilities in the amount of $2.5 million and non-cash expense items such as stock-based compensation of $2.0 million, depreciation and amortization of our property and equipment of $1.5 million and amortization of debt discounts of $0.5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cash used in operating activities was $21.8 million during 2007. Net cash used in operating activities primarily consisted of a net loss of $25.5 million, which was partially offset by non-cash expense items such as depreciation and amortization of our property and equipment of $1.6 million, stock-based compensation of $0.7 million, amortization of debt discounts of $0.5 million, and changes in our operating assets and liabilities in the amount of $0.4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used $1.0 million of cash in investing activities during the nine months ended September 30, 2010 for purchases of capital equipment to support our infrastructure and manufacturing operations of $1.1 million partially offset by the release of $0.1 million from restricted cash for a sub-lease that expired.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used $0.6 million of cash in investing activities during the nine months ended September 30, 2009 for net purchases of capital equipment to support our infrastructure and manufacturing operations.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generated $6.0 million of cash from investing activities during 2008 primarily from maturities of available for sale securities of $7.8 million, sales of available-for-sale securities of $3.0 million, restricted cash of $0.6 million, which was partially offset by purchases of available-for-sale securities of $4.5 million and capital expenditures of $0.9 million primarily to support our Singapore manufacturing facility.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used $6.7 million of cash in investing activities during 2007, primarily for purchases of available-for-sale securities of $6.3 million and capital expenditures of $1.0 million primarily related to purchases of equipment for our Singapore manufacturing facility, partially offset by maturities of available-for-sale securities of $0.5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we have principally funded our operations through issuances of convertible preferred stock and long term debt.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generated $0.7 million of cash from financing activities during the nine months ended September 30, 2010 primarily from exercises of preferred warrants.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generated $9.5 million of cash from financing activities during the nine months ended September 30, 2009 primarily from proceeds from our issuance of convertible promissory notes of $10.5 million partially offset by our repayment of debt of $1.0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the repayment of long-term debt of $1.0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2008, we generated $6.3 million of cash from financing activities primarily due to proceeds from our amended loan and security agreement of $10.0 million, partially offset by repayments of our long-term debt of $3.9 million.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2007, we generated $37.6 million of cash from financing activities primarily due to net proceeds from issuance of preferred stock of $35.9 million and net proceeds from the issuance of convertible promissory notes of $5.0 million, partially offset by repayments on long-term debt of $3.5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27, 2008, December 31, 2009 and September 30, 2010, our working capital was $20.7 million, $21.4 million and $6.8 million, respectively, including cash and cash equivalents of $17.8 million, $14.6 million and $5.1 million respectively. We currently anticipate that we will need additional cash resources in the near term to fund increases in net operating assets to support our expected growth. In addition, beginning in March 2011, we will commence making principal payments on our long-term debt, following the end of the interest-only period in February 2011. Monthly payments, which are currently $0.2 million, will increase to $0.6 million in March 2011. In December 2010, we entered into a bank line of credit agreement that is collateralized by our accounts receivable and provides us the ability to draw up to $4.0 million. In January 2011, we raised $4.8 million through the issuance of subordinated secured promissory notes and warrants to our existing stockholders. During the years ended December 29, 2007, December 27, 2008 and December 31, 2009 and the nine months ended September 30, 2010, our capital expenditures were $1.0 million, $0.9 million, $0.8 million and $1.1 million, respectively. Our capital expenditures were approximately $1.5 million in 2010 and we are estimating capital expenditures to be higher in 2011 primarily for the expansion of our manufacturing capacity, research and development equipment and sales demonstration and product support units to service our global customer base.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our existing cash and cash equivalents and the net proceeds from this offering,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for sales and marketing initiatives, including significantly expanding our sales force, to support the ongoing commercialization of our products; for research and product development activities; for expansion of our facilities and manufacturing operations; for repayment of the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Based on our cash and cash equivalents balances as of December 31, 2009, our projected spending in 2010 and without taking into account our receipt of the proceeds of this offering, our independent registered public accounting firm has included in their audit opinion for the year ended December 31, 2009 a statement with respect to our ability to continue as a going concern. However, our financial statements have been prepared assuming we will continue to operate as a going concern, which contemplates the realization of assets and the satisfaction of liabilities in the normal course of business.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September 30,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Payments Due by Period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Year</w:t>
            </w:r>
          </w:p>
        </w:tc>
        <w:tc>
          <w:tcPr>
            <w:tcW w:w="5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1-3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5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24,619</w:t>
            </w:r>
          </w:p>
        </w:tc>
        <w:tc>
          <w:tcPr>
            <w:tcW w:w="280" w:type="dxa"/>
            <w:vAlign w:val="bottom"/>
          </w:tcPr>
          <w:p>
            <w:pPr>
              <w:spacing w:after="0"/>
              <w:rPr>
                <w:sz w:val="19"/>
                <w:szCs w:val="19"/>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8,868</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15,259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lease obligations relate to leases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will be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consolidated financial statements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2009 and September 30, 2010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cash and cash equivalents of $5.1 million as September 30, 2010. These amounts were held primarily in cash on deposit with banks, money market funds, commercial paper, corporate notes or notes from government-sponsored agencies, which are short-term. Cash and cash equivalents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September 30, 2010, the principal amount of our long-term debt outstanding was $14.6 million and the principal and accrued interest amount of our convertible promissory notes outstanding was $0.2 million. The interest rates on our long-term debt and convertible promissory notes are fixed. If overall interest rates had increased by 10% during the periods presented, our interest expense would not have been materially affected.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78740</wp:posOffset>
            </wp:positionV>
            <wp:extent cx="4004945" cy="17411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0494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Schematic of our 96.96 Dynamic Array chip including an enlarged section showing four of the chip’s 9,216 test chambers.</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4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life science research and Ag-Bio in the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digital PCR and DNA sequencing.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Real-time qPCR often utilizes TaqMan, which is a proprietary chemistry developed by Roche Molecular Systems Inc.</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scale of genetic research varies widely. At the low end, researchers sometimes examine a limited number of genetic variations in a relatively small population. At the upper end, researchers may perform genome wide association studies where hundreds of thousands of possible genetic variations are examined across thousands or tens of thousands of samples. Because of the inherent complexity of biological systems, it is rare for researchers to be able to discover scientifically relevant information by examining just a few genetic variations. On the other hand, the result of many genome 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This form of genetic analysis focuses on measuring gene expression. The genome is typically made up of DNA, except in</w:t>
      </w:r>
      <w:r>
        <w:rPr>
          <w:rFonts w:ascii="Arial" w:cs="Arial" w:eastAsia="Arial" w:hAnsi="Arial"/>
          <w:sz w:val="16"/>
          <w:szCs w:val="16"/>
          <w:i w:val="1"/>
          <w:iCs w:val="1"/>
          <w:color w:val="auto"/>
        </w:rPr>
        <w:t xml:space="preserve"> </w:t>
      </w:r>
      <w:r>
        <w:rPr>
          <w:rFonts w:ascii="Arial" w:cs="Arial" w:eastAsia="Arial" w:hAnsi="Arial"/>
          <w:sz w:val="16"/>
          <w:szCs w:val="16"/>
          <w:color w:val="auto"/>
        </w:rPr>
        <w:t>some viruses which utilize RNA. Typically, the process of gene expression involves the generation of RNA copies of specific regions of the genome by a process known as transcription. Such RNA copies are known as messenger RNAs. This messenger RNA may then be translated by the cell into a protein which may affect the activity of the cell or the larger organism. One prevalent form of gene expression analysis measures the levels of messenger RNA in a cell, in order to determine how the activity of particular genes or sets of genes affect the cell or the organism. According to a Kalorama Information report, the gene expression profiling market globally was approximately $1.1 billion in 2006, $425 million of which was attributable to real-time qPCR, and is expected to grow to over $2.4 billion by 2012, representing a compounded annual growth rate of 14%.</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 According to a Kalorama Information report, the SNP genotyping market globally was approximately $735 million in 2008, $300 million of which was attributable to real-time qPCR or mid-multiplex platforms, and is expected to grow to $1.3 billion in 2014, representing a compounded annual growth rate of 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Digital PCR allows researchers to detect nucleic acid sequences that are present in sample concentrations that are too small to be accurately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conventional methods. Digital PCR typically relies on standard PCR techniques, but increases their sensitivity by dividing a sample into hundreds or thousands of smaller samples and performing a PCR assay on each such sample. The ability to count the presence or absence of amplification in this assay format allows for absolute quantitative measurement capabilities. As a result, digital PCR can perform much more precise detection of rare mutations, popularly known as needle-in-a-haystack detection, gene expression or copy number measurements as compared to real-time qPCR. Digital PCR has the potential to enable early detection of diseases and other conditions, thereby improving prospects for effective treatment.</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Single cell analysis is an emerging area of genetic research that requires specialized tools and techniques. Genetic research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the analysis of samples containing thousands of cells and many different cell types. When such samples are studied using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In addition, large numbers of samples are required to determine the heterogeneous signatures of sub-populations of cells and large studies like these can be prohibitively expensive when performed on conventional platforms. According to a Select Biosciences report, the single cell analysis market globally was approximately $69 million in 2009 and expected to grow to $576 million in 2015, representing a compounded annual growth rate of 42%.</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Through a process known as sequencing, researchers are able to determine the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order of nucleotide bases that comprise all or a portion of a particular genome. In the last few years, researchers have begun to use next generation DNA sequencers to rapidly and cost-effectively sequence large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Based on an industry report, we estimate that at the end of 2010 there was an installed base of approximately 2,100 next generation DNA sequencing systems.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Genetic analysis techniques such as SNP genotyping have become increasingly useful in Ag-Bio applications such as wildlife population studies, agricultural quality control and commercial genetic engineering.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 Based on the number of livestock slaughtered in the United States annually and our understanding of the price per data point required for broad adoption among Ag-Bio customers, we estimate the annual market opportunity to be greater than $400 million for livestock customers alone. We believe the market opportunity for genotyping in seeds may represent a similar market opportunity.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unmet clinical need is NIPD for fetal aneuploidies, since the most reliable diagnostic tests currently available are invasive and carry risks to the fetus. Current physician guidelines recommend that all pregnant woman receive aneuploidy screening in the first trimester. Based on the number of births in the United States and the percentage of women that receive prenatal care, we believe that the potential market for an accurate non-invasive diagnostic test could be more than $1 billion annually in the United States alone. Markets in the European Union, India and China could represent significant additional demand. In collaboration with Novartis Vaccines &amp; Diagnostics, Inc., or Novartis V&amp;D, we are developing a microfluidic system to target this NIPD market for fetal aneuploidies.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 utility particularly for mid-multiplex experimentation.</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quality of the data produced by microarrays, pre-formatted arrays and mass spectrometer analysis is insufficient for certain research activities. For genotyping studies, data quality is typically measured by call rate, 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Researchers, clinicians and commercial users need more robust systems that deliver increased throughput and simpler workflows with decreased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7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6 orders of magnitude of dynamic range with inter- and intra-chip reproducibility at correlation coefficients greater than 0.99.</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base BioMark system can generate over 27,000 genotyping data points per day and our high throughput configurations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systems can generate over 110,000 data points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335" w:lineRule="auto"/>
        <w:rPr>
          <w:sz w:val="20"/>
          <w:szCs w:val="20"/>
          <w:color w:val="auto"/>
        </w:rPr>
      </w:pPr>
      <w:r>
        <w:rPr>
          <w:rFonts w:ascii="Arial" w:cs="Arial" w:eastAsia="Arial" w:hAnsi="Arial"/>
          <w:sz w:val="15"/>
          <w:szCs w:val="15"/>
          <w:color w:val="auto"/>
        </w:rPr>
        <w:t>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7" w:lineRule="exact"/>
        <w:rPr>
          <w:sz w:val="20"/>
          <w:szCs w:val="20"/>
          <w:color w:val="auto"/>
        </w:rPr>
      </w:pPr>
    </w:p>
    <w:p>
      <w:pPr>
        <w:jc w:val="both"/>
        <w:ind w:left="780" w:right="2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780" w:right="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have the ability to conduct thousands of parallel experiments on one chip, and offer customers the flexibility to use lower cost reagents as needed.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Product Description</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 Expression</w:t>
            </w: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 preparation system</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facilitates parallel amplification of 48 unique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based on</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Real-time qPCR, SNP Genotyping, Gene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matrix architecture, allowing users to generate up to</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real-time qPCR reactions simultaneously</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1"/>
              </w:rPr>
              <w:t>allowing users to divide each of 48 separate samples</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Number Variation, Mutation Detection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into 770</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smaller 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that</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facilitates parallel</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amplification, barcoding and tagging of 48 unique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Reusable microfluidic chip</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can be used up to five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times and is able to produce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up to 11,520 genotypes over its lifespan</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i w:val="1"/>
          <w:iCs w:val="1"/>
          <w:color w:val="auto"/>
        </w:rPr>
        <w:t>Gene Expression and Genotyping</w:t>
      </w:r>
      <w:r>
        <w:rPr>
          <w:rFonts w:ascii="Arial" w:cs="Arial" w:eastAsia="Arial" w:hAnsi="Arial"/>
          <w:sz w:val="18"/>
          <w:szCs w:val="18"/>
          <w:color w:val="auto"/>
        </w:rPr>
        <w:t>. Our systems provide researchers a flexible and easy to use tool for generating high quality data.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such as pre-formatted arrays, bead arrays and microarrays,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Our BioMark and EP1 systems can be used for digital PCR, a process in which samples are partitioned into minute reaction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containing individual DNA strands to enable digital counting for more accurate DNA quantification. Because of their lack of precision, such as in pipetting nanoliter volumes it is not practical to perform digital PCR using conventional microplate systems. With our systems, digital PCR has been used for a number of different applications, including absolute quantification, determination of genomic copy number variation and detection of rare mutations. Although several competitors are currently developing digital PCR systems, we were the first to introduce and successfully commercialize a digital PCR system in 2006. For example, pharmaceutical and biotechnology companies are taking advantage of the increased sensitivity enabled by our digital PCR technology to detect genetic mutations that are linked to drug efficacy and monitor cancer remission.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The integrated workflow and precision of our systems enable researchers to perform gene expression analysis on single cells on a</w:t>
      </w:r>
      <w:r>
        <w:rPr>
          <w:rFonts w:ascii="Arial" w:cs="Arial" w:eastAsia="Arial" w:hAnsi="Arial"/>
          <w:sz w:val="18"/>
          <w:szCs w:val="18"/>
          <w:i w:val="1"/>
          <w:iCs w:val="1"/>
          <w:color w:val="auto"/>
        </w:rPr>
        <w:t xml:space="preserve"> </w:t>
      </w:r>
      <w:r>
        <w:rPr>
          <w:rFonts w:ascii="Arial" w:cs="Arial" w:eastAsia="Arial" w:hAnsi="Arial"/>
          <w:sz w:val="18"/>
          <w:szCs w:val="18"/>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For example, our base BioMark system can deliver over 27,000 single cell data points in one day. Providing the combination of high throughput and data quality necessary for single cell analysis presents significant challenges that we believe most conventional systems are unable to address in a practical manner.</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example, our BioMark system has been used to help identify specific signatures of cancer stem cells, at the single cell level. Researchers believe that cancer stem cells are precursors to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 As of September 30, 2010, over 50 of our customers were using our systems to perform single cell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To efficiently use next-generation sequencers to perform validation or other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researchers 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systems address this critical workflow bottleneck by allowing samples from up to 48 individuals to be prepared and tagged in approximately four hours.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their next generation DNA sequencing platform to analyze key oncology genes across large cohorts of cancer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samples. We believe such studies will advance the understanding of cancer etiology and potentially lead to the development of improved cancer treatments. As of September 30, 2010, 35 customers had purchased our Access Array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Ag-Bio customers require systems that can quickly and accurately analyze a large number of samples, such as tissue from livestock populations or seeds from a production lot, in a cost 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 As of September 30, 2010, over 35 of our customers were using our systems for Ag-Bio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 We are currently developing a microfluidic system with Novartis V&amp;D for NIPD for fetal aneuploidies. A commonly used diagnostic procedure for fetal aneuploidies is amniocentesis, which typically costs approximately $1,500 to $2,000 per test. Our system is in its early stages of development and we have not made any submissions to the FDA regarding the system or determined whether FDA clearance or approval will be required.</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780" w:right="4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Single Cell Capture and Processing</w:t>
      </w:r>
      <w:r>
        <w:rPr>
          <w:rFonts w:ascii="Arial" w:cs="Arial" w:eastAsia="Arial" w:hAnsi="Arial"/>
          <w:sz w:val="18"/>
          <w:szCs w:val="18"/>
          <w:color w:val="auto"/>
        </w:rPr>
        <w:t>. Researchers have increasingly focused on the study of single cells to better understand complex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We plan to apply our technology to make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easier to capture single cells and to increase the range of methods that can be used to interrogate a single cell.</w:t>
      </w:r>
    </w:p>
    <w:p>
      <w:pPr>
        <w:spacing w:after="0" w:line="90" w:lineRule="exact"/>
        <w:rPr>
          <w:sz w:val="20"/>
          <w:szCs w:val="20"/>
          <w:color w:val="auto"/>
        </w:rPr>
      </w:pPr>
    </w:p>
    <w:p>
      <w:pPr>
        <w:jc w:val="both"/>
        <w:ind w:left="78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Protein Assays</w:t>
      </w:r>
      <w:r>
        <w:rPr>
          <w:rFonts w:ascii="Arial" w:cs="Arial" w:eastAsia="Arial" w:hAnsi="Arial"/>
          <w:sz w:val="18"/>
          <w:szCs w:val="18"/>
          <w:color w:val="auto"/>
        </w:rPr>
        <w:t>. While the analysis of mRNA and DNA gives insight into the activity of biological systems, most biological activity in cells is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Cell Culture and Assays</w:t>
      </w:r>
      <w:r>
        <w:rPr>
          <w:rFonts w:ascii="Arial" w:cs="Arial" w:eastAsia="Arial" w:hAnsi="Arial"/>
          <w:sz w:val="18"/>
          <w:szCs w:val="18"/>
          <w:color w:val="auto"/>
        </w:rPr>
        <w:t>. We are developing an integrated microfluidic chip that enables cell culture to be performed in a highly automated fashion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microfluidic environment. Our co-founder, Dr. Stephen Quake, recently used a prototype of our cell culture microfluidic chip to perform single cell studies of cell signaling, and published these results in the journal </w:t>
      </w:r>
      <w:r>
        <w:rPr>
          <w:rFonts w:ascii="Arial" w:cs="Arial" w:eastAsia="Arial" w:hAnsi="Arial"/>
          <w:sz w:val="18"/>
          <w:szCs w:val="18"/>
          <w:i w:val="1"/>
          <w:iCs w:val="1"/>
          <w:color w:val="auto"/>
        </w:rPr>
        <w:t>Nature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In addition to the Access Array system, we have demonstrated a general architecture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use bead based purification steps in-chip, allowing sequential reactions with purification steps in between. While we have no immediate plans to commercialize this architecture, it may find utility in automated library prep for de novo next generation DNA sequencing.</w:t>
      </w:r>
    </w:p>
    <w:p>
      <w:pPr>
        <w:spacing w:after="0" w:line="10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instruments and the price of our chips is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of the following elements: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Increase Penetration of our Microfluidic Systems</w:t>
      </w:r>
      <w:r>
        <w:rPr>
          <w:rFonts w:ascii="Arial" w:cs="Arial" w:eastAsia="Arial" w:hAnsi="Arial"/>
          <w:sz w:val="16"/>
          <w:szCs w:val="16"/>
          <w:color w:val="auto"/>
        </w:rPr>
        <w:t>. Our sales and marketing efforts have established our systems as leading solutions for certain high-throughput life science research applications. A growing number of companies and leading researchers around the world have recognized the benefits of our technical platform and are becoming much more visible in their support and endorsement of our products and technologies to their professional colleagues. From our inception through October 2010, the results of experiments based upon our microfluidic systems have been published in 116 peer-reviewed articles, 66 of which have been published since the beginning of 2009. We intend to leverage the growing market awareness of our current product offerings with enhanced sales and marketing efforts that include adding sales representatives in new geographies, accessing sales and marketing efforts of large partners though co-marketing agreements, continuing to build relationships with thought leaders in our target markets and helping our current supporters to become more visible to potential new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Increase Recurring Consumables Revenue through Instrument Sales and Product Innovation</w:t>
      </w:r>
      <w:r>
        <w:rPr>
          <w:rFonts w:ascii="Arial" w:cs="Arial" w:eastAsia="Arial" w:hAnsi="Arial"/>
          <w:sz w:val="18"/>
          <w:szCs w:val="18"/>
          <w:color w:val="auto"/>
        </w:rPr>
        <w:t>. We intend to drive consumables revenue growth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number of installed instruments, integrating other value added operations and sample handling abilities into our chip architecture, increasing customer usage by decreasing the cost-per-data point and developing systems for additional applications. We have increased our installed base from 15 systems as of December 31, 2007 to over 250 systems as of September 30, 2010.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Provide Assays and Design Services that Leverage our System Strengths in Key Application Areas</w:t>
      </w:r>
      <w:r>
        <w:rPr>
          <w:rFonts w:ascii="Arial" w:cs="Arial" w:eastAsia="Arial" w:hAnsi="Arial"/>
          <w:sz w:val="16"/>
          <w:szCs w:val="16"/>
          <w:color w:val="auto"/>
        </w:rPr>
        <w:t>. We provide assay design services that enable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Access Array system to prepare samples for next generation DNA sequencing. In addition, we provide or are developing assay content for specific application areas, including cancer research, organ rejection, stem cell gene expression and other areas with potential clinical utility. We plan to expand these offerings to include chemistries for gene expression, particularly for single cell analysis and genotyping. We believe these chemistries will increase the flexibility of our chips as well as improve cost per-assay and performance in our microfluidic platform.</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Provide Expanded Offerings that Complement and Support our Core Technology Offerings</w:t>
      </w:r>
      <w:r>
        <w:rPr>
          <w:rFonts w:ascii="Arial" w:cs="Arial" w:eastAsia="Arial" w:hAnsi="Arial"/>
          <w:sz w:val="18"/>
          <w:szCs w:val="18"/>
          <w:color w:val="auto"/>
        </w:rPr>
        <w:t>. We intend to expand our product offerings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stages of our customers’ workflow. We believe we can enhance the utility of our microfluidic system by providing additional workflow components to our customers, including sample preparation systems to isolate, partition and amplify samples prior to analysis, and software and data analysis tools for downstream applications.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Leverage our Proprietary Technology to Address New Markets</w:t>
      </w:r>
      <w:r>
        <w:rPr>
          <w:rFonts w:ascii="Arial" w:cs="Arial" w:eastAsia="Arial" w:hAnsi="Arial"/>
          <w:sz w:val="18"/>
          <w:szCs w:val="18"/>
          <w:color w:val="auto"/>
        </w:rPr>
        <w:t>. We believe our technology is broadly applicable to biotechnology automation and could</w:t>
      </w:r>
      <w:r>
        <w:rPr>
          <w:rFonts w:ascii="Arial" w:cs="Arial" w:eastAsia="Arial" w:hAnsi="Arial"/>
          <w:sz w:val="18"/>
          <w:szCs w:val="18"/>
          <w:i w:val="1"/>
          <w:iCs w:val="1"/>
          <w:color w:val="auto"/>
        </w:rPr>
        <w:t xml:space="preserve"> </w:t>
      </w:r>
      <w:r>
        <w:rPr>
          <w:rFonts w:ascii="Arial" w:cs="Arial" w:eastAsia="Arial" w:hAnsi="Arial"/>
          <w:sz w:val="18"/>
          <w:szCs w:val="18"/>
          <w:color w:val="auto"/>
        </w:rPr>
        <w:t>be further developed for a wide variety of additional applications, including protein expression analysis, new types of sample preparation cell culture and analysis and molecular diagnostics. Within molecular diagnostics, our initial area of focus is in NIPD for fetal aneuploidies, for which no approved non-invasive diagnostic currently exists.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Provide Superior Customer Service</w:t>
      </w:r>
      <w:r>
        <w:rPr>
          <w:rFonts w:ascii="Arial" w:cs="Arial" w:eastAsia="Arial" w:hAnsi="Arial"/>
          <w:sz w:val="16"/>
          <w:szCs w:val="16"/>
          <w:color w:val="auto"/>
        </w:rPr>
        <w:t>. We have a domestic and international direct sales force and support organization that offers technical solutions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Through direct relationships with our customers, we believe we are able to better understand their needs and apprise them of new product offerings and technological advances in our current systems, related instrumentation and software, while maintaining a consistent marketing message and high level of customer service. A key component of our value proposition is having capable, specialized, technical staff available to ensure that our customers are not only using our tools in an optimized fashion, but also designing experiments and choosing methodologies that will result in an optimized protocol in terms of both time and expense. We intend to expand the staff dedicated to customer service and support in important commercial geographies and in our headquarters.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Enhance Chip Manufacturing Efficiency</w:t>
      </w:r>
      <w:r>
        <w:rPr>
          <w:rFonts w:ascii="Arial" w:cs="Arial" w:eastAsia="Arial" w:hAnsi="Arial"/>
          <w:sz w:val="18"/>
          <w:szCs w:val="18"/>
          <w:color w:val="auto"/>
        </w:rPr>
        <w:t>. We intend to enhance our manufacturing efficiency through improvements in our existing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new chip designs and implementation of new manufacturing methods in order to improve our manufacturing yields and reduce our manufacturing costs. We believe that these improvements will enable us to deliver additional value to our customers and maintain or enhance our advantages over competing systems.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Continue to Develop our Technology and Intellectual Property Position</w:t>
      </w:r>
      <w:r>
        <w:rPr>
          <w:rFonts w:ascii="Arial" w:cs="Arial" w:eastAsia="Arial" w:hAnsi="Arial"/>
          <w:sz w:val="16"/>
          <w:szCs w:val="16"/>
          <w:color w:val="auto"/>
        </w:rPr>
        <w:t>. Our products are based on a set of related proprietary technologies that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either developed 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actively sell three microfluidic systems, BioMark, EP1 and Access Array. These systems are based on one or more chips designed for particular applications and include specialized instrumentation and software.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our systems include chip controllers that control the activation of valves, loading of reagents, and recovery or wash steps within the chips. Each chip controller comes with software to control chip and instrument operations for particular applications. The BioMark system includes a real-time PCR machine that comprises a thermal cycler for PCR and a fluorescence reader that can detect the results of reactions over time. The EP1 system includes stand-alone thermal cyclers and an end-point fluorescence reader. The EP1 thermal cycler supports fast PCR enabling the performance of high-throughput SNP genotyping. The BioMark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System for Genetic Analysis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BioMark system performs high-throughput gene expression analysis, SNP genotyping, single cell analysis and digital PCR using TaqMan, EvaGreen dye and other chemistries.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Fluidigm Dynamic Array Chips</w:t>
      </w:r>
      <w:r>
        <w:rPr>
          <w:rFonts w:ascii="Arial" w:cs="Arial" w:eastAsia="Arial" w:hAnsi="Arial"/>
          <w:sz w:val="16"/>
          <w:szCs w:val="16"/>
          <w:color w:val="auto"/>
        </w:rPr>
        <w:t>. Our Fluidigm 96.96 Dynamic Array chip is based on a matrix architecture and is capable of individually assaying 96</w:t>
      </w:r>
      <w:r>
        <w:rPr>
          <w:rFonts w:ascii="Arial" w:cs="Arial" w:eastAsia="Arial" w:hAnsi="Arial"/>
          <w:sz w:val="16"/>
          <w:szCs w:val="16"/>
          <w:i w:val="1"/>
          <w:iCs w:val="1"/>
          <w:color w:val="auto"/>
        </w:rPr>
        <w:t xml:space="preserve"> </w:t>
      </w:r>
      <w:r>
        <w:rPr>
          <w:rFonts w:ascii="Arial" w:cs="Arial" w:eastAsia="Arial" w:hAnsi="Arial"/>
          <w:sz w:val="16"/>
          <w:szCs w:val="16"/>
          <w:color w:val="auto"/>
        </w:rPr>
        <w:t>samples against 96 reagents, generating 9,216 reactions on a single chip. Our Fluidigm 48.48 Dynamic Array chip is based on the same architecture and is capable of individually assaying 48 samples against 48 reagents, generating 2,304 reactions. One version of each chip is optimized to perform gene expression analysis and another is optimized for genotyping. All assays are performed in volumes of 10 nanoliters or less. In 2010, we introduced the reusable FR 48.48 Dynamic Array chip. This chip is based upon the same matrix architecture as our standard 48.48 Dynamic Array chip, but can be cleaned by the customer and used up to 5 times. In 2011, we expect to introduce an enhanced reusable chip capable of assaying 192 samples against 24 reagents.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1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BioMark Instrumentation and Software</w:t>
      </w:r>
      <w:r>
        <w:rPr>
          <w:rFonts w:ascii="Arial" w:cs="Arial" w:eastAsia="Arial" w:hAnsi="Arial"/>
          <w:sz w:val="16"/>
          <w:szCs w:val="16"/>
          <w:color w:val="auto"/>
        </w:rPr>
        <w:t>. Our chip controllers for the BioMark system fully automate the setup of Dynamic Array and Digital Array chips</w:t>
      </w:r>
      <w:r>
        <w:rPr>
          <w:rFonts w:ascii="Arial" w:cs="Arial" w:eastAsia="Arial" w:hAnsi="Arial"/>
          <w:sz w:val="16"/>
          <w:szCs w:val="16"/>
          <w:i w:val="1"/>
          <w:iCs w:val="1"/>
          <w:color w:val="auto"/>
        </w:rPr>
        <w:t xml:space="preserve"> </w:t>
      </w:r>
      <w:r>
        <w:rPr>
          <w:rFonts w:ascii="Arial" w:cs="Arial" w:eastAsia="Arial" w:hAnsi="Arial"/>
          <w:sz w:val="16"/>
          <w:szCs w:val="16"/>
          <w:color w:val="auto"/>
        </w:rPr>
        <w:t>for real-time qPCR-based experiments and include software for implementing and tracking experiments. Our BioMark reader controls the PCR process and detects the fluorescent signals generated using a white light source, emission and excitation filters, precision lenses, a thermal cycler and a digital camera. In 2011, we expect to introduce an enhanced version of our BioMark reader that will have a faster thermal cycler, doubling throughput compared to our existing BioMark reader. We also offer various software packages that provide data analysis following data collection. Our analysis software shows data as a color-coded map of every position on the chip, such as for amplification curves and as numeric tabular data.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EP1 system performs SNP genotyping and end-point digital PCR using TaqMan, EvaGreen dye and other chemistries. Our EP1 System uses the same Dynamic Array and Digital Array chips that are used by our BioMark system. Because of its high throughput and focus on genotyping, the EP1 system is a preferred choice by our Ag-Bio customers for field implementation. In addition, we believe our reusable FR48.48 Dynamic Array chip and future reusable chips may be widely adopted by our Ag-Bio customers because they can substantially reduce the cost per data point for high volume users.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EP1 Instrumentation and Software</w:t>
      </w:r>
      <w:r>
        <w:rPr>
          <w:rFonts w:ascii="Arial" w:cs="Arial" w:eastAsia="Arial" w:hAnsi="Arial"/>
          <w:sz w:val="18"/>
          <w:szCs w:val="18"/>
          <w:color w:val="auto"/>
        </w:rPr>
        <w:t>. The chip controllers for the EP1 system fully automate the setup of chips for end-point SNP genotyping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PCR experiments, and include software for implementing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Access Array system enables automated sample preparation and tagging, at a cost of $10 per sample or less, for all currently marketed next generation DNA sequencers. We believe the Access Array system is the only high throughput target enrichment system currently on the market that is capable of simultaneously processing multiple samples. The Access Array system can be used in conjunction with our BioMark system to provide real-time monitoring of amplification steps.</w:t>
      </w:r>
    </w:p>
    <w:p>
      <w:pPr>
        <w:spacing w:after="0" w:line="14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Fluidigm Access Array Chips</w:t>
      </w:r>
      <w:r>
        <w:rPr>
          <w:rFonts w:ascii="Arial" w:cs="Arial" w:eastAsia="Arial" w:hAnsi="Arial"/>
          <w:sz w:val="16"/>
          <w:szCs w:val="16"/>
          <w:color w:val="auto"/>
        </w:rPr>
        <w:t>. Our Fluidigm 48.48 Access Array chip is based on an architecture similar to that of the Dynamic Array chip, but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 combine up to 10 unique primer pairs per primer set, allowing up to 480 samples per chip, which can then be tagged for specific sequencers in a secondary step.</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w:t>
      </w:r>
      <w:r>
        <w:rPr>
          <w:rFonts w:ascii="Arial" w:cs="Arial" w:eastAsia="Arial" w:hAnsi="Arial"/>
          <w:sz w:val="16"/>
          <w:szCs w:val="16"/>
          <w:i w:val="1"/>
          <w:iCs w:val="1"/>
          <w:color w:val="auto"/>
        </w:rPr>
        <w:t xml:space="preserve"> </w:t>
      </w:r>
      <w:r>
        <w:rPr>
          <w:rFonts w:ascii="Arial" w:cs="Arial" w:eastAsia="Arial" w:hAnsi="Arial"/>
          <w:sz w:val="16"/>
          <w:szCs w:val="16"/>
          <w:color w:val="auto"/>
        </w:rPr>
        <w:t>load Access Array chips, amplify and tag the regions of interest, and recover the sample for loading into a next generation DNA sequencer.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Access Array Barcode Libraries and Access Array Content Service</w:t>
      </w:r>
      <w:r>
        <w:rPr>
          <w:rFonts w:ascii="Arial" w:cs="Arial" w:eastAsia="Arial" w:hAnsi="Arial"/>
          <w:sz w:val="18"/>
          <w:szCs w:val="18"/>
          <w:color w:val="auto"/>
        </w:rPr>
        <w:t>. We provide optimized barcoding primers, or Access Array Barcode Libraries,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Roche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TOPAZ System for Protein Crystallization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TOPAZ System allows users to screen protein samples against a set of reagents in order to determine the optimum conditions for crystallizing a protein. While we currently offer TOPAZ systems and chips for sale, we do not actively market this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developed commercial manufacturing processes to fabricate valves, channels, vias and chambers with dimensions in the 10 to 100 micron range, at high density and with high yields.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Our Sample Processor architecture allows us to bring similar benefits to reactions which require export of the reaction product and more complex (multi-step) reactions. For example, our Access Array chip automates sample preparation for targeted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resequencing by amplifying 48 genetic regions on each of 48 samples and exporting each prepared sample. Our Digital Array architecture allows a sample to be split into hundreds to tens of thousands of smaller samples. Separate reactions can then be conducted on each of the smaller samples. The cell processor automates cell seeding, culture, combinatorial dosing with multiple reagents, and export for further analysis.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the second quarter of 2002, we sold the first prototype of our 1.48 chip for our Topaz system, which featured 22 valves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2.5 assays per square centimeter. Today we sell 48.770 Digital Array chips, with over 4,000 valves capable of more than 4,000 assays per square centimeter, a 181-fold increase in valve density and a 1,600-fold increase in assay capability. In our research and development laboratory, we have built and tested fully functional Digital Array chips capable of performing substantially more assays.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added capabilities to our chips in addition to increasing the density. In 2010, we employed our sample processor architecture to create the FR48.48 reusable Dynamic Array chips. With cleaning, each chip may be used five times, reducing the cost of each assay.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We expect to implement this architecture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system consists of a custom thermal cycler packaged with a sophisticated fluorescence imaging system. Our FC1 cycler is a custom thermal cycler capable of very rapid cycling: 45 cycles in 30 minutes. Our EP-1 instrument is a fluorescence reader designed for endpoint imaging, suitable for digital PCR and genotyping applications. All of these instruments are designed to be easily introduced into standard automated lab environments.</w:t>
      </w:r>
    </w:p>
    <w:p>
      <w:pPr>
        <w:spacing w:after="0" w:line="144"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We have developed specialized software packages to manage and analyze the unusually large amounts of data produced by our systems. Our BioMark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reader.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samples types. The set of protocols we offer are regularly expanded. For gene expression, we initially provided a protocol for TaqMan real-time reagents for general gene expression analysis. We now offer a protocol specifically for single cell analysis. We have also expanded the choices of reagents for our customers. In early 2010 we released a protocol for EvaGreen, a DNA binding dye for gene expression measurements with excellent data quality and a very low cost per assay. We also released protocols for the use of our microfluidic systems with Qiagen GmbH gene expression panels and Thermo-Fisher Solaris assays. For genotyping, we developed a protocol for using KASPar assays in the BioMark system.</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Access Array customers and are developing the service for other applications.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2011, we plan on releasing assay design and custom content delivery systems for gene expression and genotyping that will allow customers to specify genes or SNP sites of interest and match them to region-specific primers, enabling our existing systems to amplify specific genetic regions of interest. We believe these assay design and content delivery systems will represent an improvement over conventional pre-defined panels by allowing customization based on cellular pathways or biological areas of interest.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2011, we plan on releasing gene expression and genotyping chemistries together with assay design services and pre-defined content. We expect these offerings will provide low-cost alternatives to chemistries such as Taqman and allow customers to use chips in more flexible ways. By specifying genes or SNP sites of interest and matching them to region specific primers, customers using our existing systems will be able to amplify specific genetic regions of interest at reduced cost without sacrificing data quality. In addition, these chemistries allow for more flexible formatting of samples and assays. For example, rather than using our 96.96 Dynamic Array chip to test 96 samples versus 96 assays, these new chemistries will allow customers to assay 1,152 samples versus 8 assays or 24 samples versus 384 assays.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distribute our instruments and supplies via direct field sales and support organizations located in North America, Europe and Japan and through distributors or sales agents in parts of Europe, Latin America and the Asia-Pacific region outside of Japan. Our domestic and international sales force informs our current and potential customers of current product offerings, new product introductions, and technological advances in our microfluidic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September 30, 2010, we have 59 people employed in sales, sales support and marketing, including 32 sales representatives and technical pre-sales specialists located in the field. Over half of this staff is located in the United States and dedicated to North American customers. We intend to significantly expand our sales, support and marketing efforts in the future.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disseminate the benefits of using the products in combination, engage in co-operative marketing and messaging, including select dual presence at trade shows and technical seminars, perform selective specialization or utilization of each respective company’s channel for promotional or sales activity and educate the direct and indirect distribution channels of both companies, in each case without any minimum sales, volume or other financial obligations of either party.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entered into a set of related agreements with Novartis V&amp;D, in May 2010.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certain initial technical feasibility milestones to be attained in 2010 and 2011, and provide for milestone payments to us upon our execution and satisfaction of milestones with aggregate payments totaling $3,000,000. 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total $3,000,000. The term of the development portion of the agreements will extend until attainment of all existing and to-be-negotiated technical feasibility milestones, but will automatically terminate if Novartis V&amp;D does not exercise its option to license our technology within 90 days of our attainment of the initial technical feasibility milestones.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have sold our BioMark, EP1 and Access Array systems to leading pharmaceutical and biotechnology companies, academic institutions, diagnostic laboratories and Ag-Bio companies. As of September 30, 2010, we have sold over 250 of these systems to customers in over 20 countries. The following is a representative list of our largest end-use customers by number of installed Biomark and EP1 systems in each of our current target markets: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Customer</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Application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National Cancer Institute / National Institute</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Allergy and Infectious Diseases</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MedImmune, LLC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Tokyo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Genentech, Inc.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Bayer CropScience AG</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82"/>
        </w:trPr>
        <w:tc>
          <w:tcPr>
            <w:tcW w:w="5620" w:type="dxa"/>
            <w:vAlign w:val="bottom"/>
            <w:gridSpan w:val="2"/>
          </w:tcPr>
          <w:p>
            <w:pPr>
              <w:spacing w:after="0"/>
              <w:rPr>
                <w:sz w:val="20"/>
                <w:szCs w:val="20"/>
                <w:color w:val="auto"/>
              </w:rPr>
            </w:pPr>
            <w:r>
              <w:rPr>
                <w:rFonts w:ascii="Arial" w:cs="Arial" w:eastAsia="Arial" w:hAnsi="Arial"/>
                <w:sz w:val="18"/>
                <w:szCs w:val="18"/>
                <w:color w:val="auto"/>
              </w:rPr>
              <w:t>Alaska Department of Fish and Game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manufacturing operations are located in Singapore and fabricate all of our microfluidic systems and instrumentation for commercial sale, as well as for internal research and development purposes. Our Singapore facility commenced operations in October 2005 and established full process capability for the Topaz chip in June 2006 and for our first Dynamic Array chip, the 48.48 Dynamic Array chip in October 2006. During 2009, we moved all of our manufacturing for commercial products to Singapore.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established our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expect that our existing manufacturing capacity for instrumentation and chips is sufficient to meet our needs at least through mid-2012.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and the specialized high resolution camera used in the reader for our BioMark system. We are in the midst of qualifying an alternate camera source, with the qualification scheduled to be completed in the first quarter.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plan to focus on enhancing our single cell analysis, cell preparation and cell culturing capabilities, strengthening our current product lines by further developing content and our existing chip architectures, and developing products to support molecular diagnostic applications.</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We intend to strengthen the single cell analysis capability of the BioMark system by expanding our customers’ options for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cell procurement and downstream data analysis. For example, we are developing a system for single cell capture and preparation that will increase the types of samples that can be processed by the system as well as the types of usable preparation chemistry. We expect that this new system will be able to prepare samples both for BioMark system as well as for next generation sequencing.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Cell Culture System</w:t>
      </w:r>
      <w:r>
        <w:rPr>
          <w:rFonts w:ascii="Arial" w:cs="Arial" w:eastAsia="Arial" w:hAnsi="Arial"/>
          <w:sz w:val="18"/>
          <w:szCs w:val="18"/>
          <w:color w:val="auto"/>
        </w:rPr>
        <w:t>. We are developing system that will enable researchers to culture a large number of individual cells within separate chambers on a</w:t>
      </w:r>
      <w:r>
        <w:rPr>
          <w:rFonts w:ascii="Arial" w:cs="Arial" w:eastAsia="Arial" w:hAnsi="Arial"/>
          <w:sz w:val="18"/>
          <w:szCs w:val="18"/>
          <w:i w:val="1"/>
          <w:iCs w:val="1"/>
          <w:color w:val="auto"/>
        </w:rPr>
        <w:t xml:space="preserve"> </w:t>
      </w:r>
      <w:r>
        <w:rPr>
          <w:rFonts w:ascii="Arial" w:cs="Arial" w:eastAsia="Arial" w:hAnsi="Arial"/>
          <w:sz w:val="18"/>
          <w:szCs w:val="18"/>
          <w:color w:val="auto"/>
        </w:rPr>
        <w:t>chip, control the conditions in which each cell is cultured, and then extract the cells for further analysis. With the support of a grant from the California Institute of Regenerative Medicine in an aggregate amount of $750,000, we have developed a prototype system that demonstrates the technical feasibility of this application.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Assay Development</w:t>
      </w:r>
      <w:r>
        <w:rPr>
          <w:rFonts w:ascii="Arial" w:cs="Arial" w:eastAsia="Arial" w:hAnsi="Arial"/>
          <w:sz w:val="16"/>
          <w:szCs w:val="16"/>
          <w:color w:val="auto"/>
        </w:rPr>
        <w:t>. We plan to add both content and flexibility to our current product lines. For example, we plan to expand our Assay Design Service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gene expression and genotyping applications. This expansion is intended to enable customers in those areas to reduce their assay costs without sacrificing data quality by purchasing assays directly from us. We also plan to introduce chemistries that will allow customers to use our chips in the manner that is most efficient for their particular projects. For example, rather than using our 96.96 Dynamic Array chip to test 96 samples versus 96 assays, these new chemistries will allow customers to assay 1,152 samples versus 8 assays or 24 samples versus 384 assays.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Existing Architectures</w:t>
      </w:r>
      <w:r>
        <w:rPr>
          <w:rFonts w:ascii="Arial" w:cs="Arial" w:eastAsia="Arial" w:hAnsi="Arial"/>
          <w:sz w:val="18"/>
          <w:szCs w:val="18"/>
          <w:color w:val="auto"/>
        </w:rPr>
        <w:t>. We intend to develop additional products to strengthen the capabilities of our existing Dynamic Array and Digital Array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architectures. For example, our existing 48.770 Digital Array chip can perform 36,960 reactions. We have developed prototype chips based on the Digital Array architecture that can perform 200,000 or more reactions and believe, that with further development, these chips could have substantial utility for research and molecular diagnostic applications.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In 2009, we opened a prototype fabrication facility at our Singapore manufacturing to fabricate prototype chips and test new fabrication processes. We invest in manufacturing automation, process changes and design modifications which historically have significantly improved yields and lowered the manufacturing costs of our chips.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research and development expenses were $14.4 million, $14.0 million, $12.3 million and $10.1 million in 2007, 2008, 2009 and the nine months ended September 30, 2010, respectively. As of September 30, 2010, 60 of our employees were engaged in research and development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Dr.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Stephen Quake, Ph.D. </w:t>
      </w:r>
      <w:r>
        <w:rPr>
          <w:rFonts w:ascii="Arial" w:cs="Arial" w:eastAsia="Arial" w:hAnsi="Arial"/>
          <w:sz w:val="16"/>
          <w:szCs w:val="16"/>
          <w:color w:val="auto"/>
        </w:rPr>
        <w:t>is a co-founder of Fluidigm and the chair of our scientific advisory board. He is a co-chair of the bioengineering department at</w:t>
      </w:r>
      <w:r>
        <w:rPr>
          <w:rFonts w:ascii="Arial" w:cs="Arial" w:eastAsia="Arial" w:hAnsi="Arial"/>
          <w:sz w:val="16"/>
          <w:szCs w:val="16"/>
          <w:i w:val="1"/>
          <w:iCs w:val="1"/>
          <w:color w:val="auto"/>
        </w:rPr>
        <w:t xml:space="preserve"> </w:t>
      </w:r>
      <w:r>
        <w:rPr>
          <w:rFonts w:ascii="Arial" w:cs="Arial" w:eastAsia="Arial" w:hAnsi="Arial"/>
          <w:sz w:val="16"/>
          <w:szCs w:val="16"/>
          <w:color w:val="auto"/>
        </w:rPr>
        <w:t>Stanford University and 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10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color w:val="auto"/>
        </w:rPr>
        <w:t xml:space="preserve">Frances H. Arnold, Ph.D. </w:t>
      </w:r>
      <w:r>
        <w:rPr>
          <w:rFonts w:ascii="Arial" w:cs="Arial" w:eastAsia="Arial" w:hAnsi="Arial"/>
          <w:sz w:val="16"/>
          <w:szCs w:val="16"/>
          <w:color w:val="auto"/>
        </w:rPr>
        <w:t>is the Dick and Barbara Dickinson Professor of chemical engineering and biochemistry at the California Institute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 member of 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w:t>
      </w:r>
    </w:p>
    <w:p>
      <w:pPr>
        <w:spacing w:after="0" w:line="1" w:lineRule="exact"/>
        <w:rPr>
          <w:sz w:val="20"/>
          <w:szCs w:val="20"/>
          <w:color w:val="auto"/>
        </w:rPr>
      </w:pPr>
    </w:p>
    <w:p>
      <w:pPr>
        <w:jc w:val="right"/>
        <w:ind w:right="5600"/>
        <w:spacing w:after="0" w:line="433" w:lineRule="auto"/>
        <w:rPr>
          <w:sz w:val="20"/>
          <w:szCs w:val="20"/>
          <w:color w:val="auto"/>
        </w:rPr>
      </w:pPr>
      <w:r>
        <w:rPr>
          <w:rFonts w:ascii="Arial" w:cs="Arial" w:eastAsia="Arial" w:hAnsi="Arial"/>
          <w:sz w:val="18"/>
          <w:szCs w:val="18"/>
          <w:color w:val="auto"/>
        </w:rPr>
        <w:t>Dr. Arnold has been a member of our scientific advisory board since August 1999. 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James M. Berger, Ph.D. </w:t>
      </w:r>
      <w:r>
        <w:rPr>
          <w:rFonts w:ascii="Arial" w:cs="Arial" w:eastAsia="Arial" w:hAnsi="Arial"/>
          <w:sz w:val="16"/>
          <w:szCs w:val="16"/>
          <w:color w:val="auto"/>
        </w:rPr>
        <w:t>is a Professor of Biochemistry and Molecular Biology at the University of California, Berkeley and a member of the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Division, Lawrence Berkeley National Laboratory. Dr. Berger received a B.S. in Biochemistry from the University of Utah and a Ph.D. in Biochemistry from Harvard University. Dr. Berger has been a member of our scientific advisory board since June 2002.</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Carl Hansen, Ph.D. </w:t>
      </w:r>
      <w:r>
        <w:rPr>
          <w:rFonts w:ascii="Arial" w:cs="Arial" w:eastAsia="Arial" w:hAnsi="Arial"/>
          <w:sz w:val="16"/>
          <w:szCs w:val="16"/>
          <w:color w:val="auto"/>
        </w:rPr>
        <w:t>is an Assistant Professor in the Department of Physics and Astronomy at the University of British Columbia. Dr. Hansen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M.S. in Applied Physics from the California Institute of Technology and a B.S. in Engineering Physics/Electrical Engineering/Honors Math from the University of British Columbia. Dr. Hansen has been a member of our Scientific Advisory Board since May 2008.</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Frank McCormick, Ph.D. </w:t>
      </w:r>
      <w:r>
        <w:rPr>
          <w:rFonts w:ascii="Arial" w:cs="Arial" w:eastAsia="Arial" w:hAnsi="Arial"/>
          <w:sz w:val="16"/>
          <w:szCs w:val="16"/>
          <w:color w:val="auto"/>
        </w:rPr>
        <w:t>is the David A. Wood Distinguished Professor of Tumor Biology and the E. Dixon Heise Distinguished Professor in Oncology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Howard M. Shapiro, M.D. </w:t>
      </w:r>
      <w:r>
        <w:rPr>
          <w:rFonts w:ascii="Arial" w:cs="Arial" w:eastAsia="Arial" w:hAnsi="Arial"/>
          <w:sz w:val="16"/>
          <w:szCs w:val="16"/>
          <w:color w:val="auto"/>
        </w:rPr>
        <w:t>is a lecturer on Pathology at Harvard Medical School, a visiting scientist at the Rosenstiel Basic Medical Sciences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Center at Brandeis 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Richard N. Zare, Ph.D. </w:t>
      </w:r>
      <w:r>
        <w:rPr>
          <w:rFonts w:ascii="Arial" w:cs="Arial" w:eastAsia="Arial" w:hAnsi="Arial"/>
          <w:sz w:val="18"/>
          <w:szCs w:val="18"/>
          <w:color w:val="auto"/>
        </w:rPr>
        <w:t>is the Marguerite Blake Wilbur Professor of Natural Science and chair of the chemistry department at Stanford University.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for gene expression, genotyping, and/or sequencing that compete in certain segments of the market in which we sell our products. In addition, a number of other companies and academic groups are in the process of developing novel technologies for life science markets.</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developed our own portfolio of issued patents and patent applications directed at commercial products and technologies in development. For example, in part because of our pioneering commercialization efforts in the field of digital PCR, we have 14 patents and patent applications pending relating to devices, techniques and applications for digital PC, including methodologies for copy number variation and noninvasive prenatal diagnostics. We have additional patents and patent filings cell culture and single-cell isolation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analysis devices and associated methodologies, high density and reusable genotyping and gene expression chips and massive multiplexing techniques for samples and assays in these chips, sample processing and sample preparation chips and encoding technology for use with next-generation sequencers, and associated instrumentation and software for controlling and reading our chips and analyzing the data obtained from them.</w:t>
      </w:r>
    </w:p>
    <w:p>
      <w:pPr>
        <w:spacing w:after="0" w:line="10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of November 30, 2010, we own or have licensed 114 issued U.S. patents and 80 issued international patents. There are 230 pending patent applications, including 104 in the United States, 113 international applications and 12 applications filed under the Patent Cooperation Treaty. The U.S. issued patents we have licensed from Caltech expire between 2017 and 2025; the U.S. issued patents we have licensed from other parties expire between 2012 and 2029.</w:t>
      </w:r>
    </w:p>
    <w:p>
      <w:pPr>
        <w:spacing w:after="0" w:line="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revenues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revenues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in the diagnosis of disease or other conditions, they do not fit the definition of a medical device under the FFDCA and thus are not subject to regulation by the U.S. Food and Drug Administration, or FDA, as medical devices. In particular, while FDA regulations require that research only products be labeled, “For Research Use Only. Not for use in diagnostic procedures”, the regulations do not subject such products to FDA’s pre- and post-market controls for medical devices. However, in the future, certain of our products or related applications could become subject to regulation as medical devices by FDA.</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products for pre-market review by the FDA, we may be required to delay marketing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some cases, our customers or collaborators may use our products in their own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0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780" w:right="7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 fines, or injunctions;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2010, we had 198 employees, of which 60 work in research and development, 31 work in general and administrative, 48 work in manufacturing and 59 work in sales and marketing.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 or are the subject of a collective bargaining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Environmental Matters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from October 2011 through July 2013. In addition, we lease office space in Paris, France, and Tokyo and Osaka, Japan on a month-to-month basis. We believe that our existing office, laboratory and manufacturing space, together with additional space and facilities available on commercially reasonable terms, will be sufficient to meet our needs for at least the next two years. We intend to use a portion of the proceeds from this offering for improvements to these facilities.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directors, and their ages and positions as of November 30, 2010 are as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2800" w:type="dxa"/>
            <w:vAlign w:val="bottom"/>
          </w:tcPr>
          <w:p>
            <w:pPr>
              <w:spacing w:after="0"/>
              <w:rPr>
                <w:sz w:val="14"/>
                <w:szCs w:val="14"/>
                <w:color w:val="auto"/>
              </w:rPr>
            </w:pPr>
          </w:p>
        </w:tc>
      </w:tr>
      <w:tr>
        <w:trPr>
          <w:trHeight w:val="201"/>
        </w:trPr>
        <w:tc>
          <w:tcPr>
            <w:tcW w:w="400" w:type="dxa"/>
            <w:vAlign w:val="bottom"/>
          </w:tcPr>
          <w:p>
            <w:pPr>
              <w:spacing w:after="0" w:line="201" w:lineRule="exact"/>
              <w:rPr>
                <w:sz w:val="20"/>
                <w:szCs w:val="20"/>
                <w:color w:val="auto"/>
              </w:rPr>
            </w:pPr>
            <w:r>
              <w:rPr>
                <w:rFonts w:ascii="Arial" w:cs="Arial" w:eastAsia="Arial" w:hAnsi="Arial"/>
                <w:sz w:val="18"/>
                <w:szCs w:val="18"/>
                <w:color w:val="auto"/>
                <w:w w:val="80"/>
              </w:rPr>
              <w:t>Gajus</w:t>
            </w:r>
          </w:p>
        </w:tc>
        <w:tc>
          <w:tcPr>
            <w:tcW w:w="4020" w:type="dxa"/>
            <w:vAlign w:val="bottom"/>
          </w:tcPr>
          <w:p>
            <w:pPr>
              <w:ind w:left="60"/>
              <w:spacing w:after="0" w:line="201" w:lineRule="exact"/>
              <w:rPr>
                <w:sz w:val="20"/>
                <w:szCs w:val="20"/>
                <w:color w:val="auto"/>
              </w:rPr>
            </w:pPr>
            <w:r>
              <w:rPr>
                <w:rFonts w:ascii="Arial" w:cs="Arial" w:eastAsia="Arial" w:hAnsi="Arial"/>
                <w:sz w:val="18"/>
                <w:szCs w:val="18"/>
                <w:color w:val="auto"/>
              </w:rPr>
              <w:t>V. Worthington</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17"/>
                <w:szCs w:val="17"/>
                <w:color w:val="auto"/>
              </w:rPr>
            </w:pPr>
          </w:p>
        </w:tc>
        <w:tc>
          <w:tcPr>
            <w:tcW w:w="36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President, Chief Executive Officer and Director</w:t>
            </w:r>
          </w:p>
        </w:tc>
        <w:tc>
          <w:tcPr>
            <w:tcW w:w="2800" w:type="dxa"/>
            <w:vAlign w:val="bottom"/>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Business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55</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Vice President, Legal Affairs, General Counsel and Secretary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w w:val="89"/>
              </w:rPr>
              <w:t>Vice President, Worldwide Manufacturing and Managing Director of Fluidigm Singapore</w:t>
            </w:r>
          </w:p>
        </w:tc>
      </w:tr>
      <w:tr>
        <w:trPr>
          <w:trHeight w:val="216"/>
        </w:trPr>
        <w:tc>
          <w:tcPr>
            <w:tcW w:w="4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Pte. Ltd.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Samuel Colella(2)(3)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Kenneth Nussbacher(1)(3)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Raymond J. Whitaker(1)(2)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John A. Young(1)(3)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78</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William M. Smith </w:t>
      </w:r>
      <w:r>
        <w:rPr>
          <w:rFonts w:ascii="Arial" w:cs="Arial" w:eastAsia="Arial" w:hAnsi="Arial"/>
          <w:sz w:val="18"/>
          <w:szCs w:val="18"/>
          <w:color w:val="auto"/>
        </w:rPr>
        <w:t>has served as our Vice President, Legal Affairs and General Counsel as well as our Secretary since May 2000 and served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 Manufacturing, and Managing Director, Fluidigm Singapore Pte. Ltd., our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Samuel Colella </w:t>
      </w:r>
      <w:r>
        <w:rPr>
          <w:rFonts w:ascii="Arial" w:cs="Arial" w:eastAsia="Arial" w:hAnsi="Arial"/>
          <w:sz w:val="18"/>
          <w:szCs w:val="18"/>
          <w:color w:val="auto"/>
        </w:rPr>
        <w:t>has served as a member and Chairman of our board of directors since July 2000. Mr. Colella is a managing director of Versant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 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Jeremy Loh </w:t>
      </w:r>
      <w:r>
        <w:rPr>
          <w:rFonts w:ascii="Arial" w:cs="Arial" w:eastAsia="Arial" w:hAnsi="Arial"/>
          <w:sz w:val="18"/>
          <w:szCs w:val="18"/>
          <w:color w:val="auto"/>
        </w:rPr>
        <w:t>has served as a member of our board of directors since November 2010. Dr. Loh is a Vice President (Investments), San Francisco Centre for</w:t>
      </w:r>
      <w:r>
        <w:rPr>
          <w:rFonts w:ascii="Arial" w:cs="Arial" w:eastAsia="Arial" w:hAnsi="Arial"/>
          <w:sz w:val="18"/>
          <w:szCs w:val="18"/>
          <w:i w:val="1"/>
          <w:iCs w:val="1"/>
          <w:color w:val="auto"/>
        </w:rPr>
        <w:t xml:space="preserve"> </w:t>
      </w:r>
      <w:r>
        <w:rPr>
          <w:rFonts w:ascii="Arial" w:cs="Arial" w:eastAsia="Arial" w:hAnsi="Arial"/>
          <w:sz w:val="18"/>
          <w:szCs w:val="18"/>
          <w:color w:val="auto"/>
        </w:rPr>
        <w:t>EDB Investments Pte Ltd, Singapore, which he joined in 2007. Dr. Loh had his postdoctoral training as a research scientist at Agency for Science, Technology and Research, or A*STAR, Singapore and Imperial College London. He has a Doctorate in Mechanical Engineering from the University of Southampton, U.K., and a Masters in Mechanical Engineering from Nanyang Technological University, Singapore. We believe Dr. Loh’s qualifications to serve on our board include his background as a bioengineer, his experience in developing micro and nano devices and his experience managing investments in biomedical sciences companies for EDB Investments.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Kenneth J. Nussbacher </w:t>
      </w:r>
      <w:r>
        <w:rPr>
          <w:rFonts w:ascii="Arial" w:cs="Arial" w:eastAsia="Arial" w:hAnsi="Arial"/>
          <w:sz w:val="16"/>
          <w:szCs w:val="16"/>
          <w:color w:val="auto"/>
        </w:rPr>
        <w:t>has been a member of our board of directors since July 2003. From 2000 to 2009, Mr. Nussbacher served as an Affymetrix Fellow,</w:t>
      </w:r>
      <w:r>
        <w:rPr>
          <w:rFonts w:ascii="Arial" w:cs="Arial" w:eastAsia="Arial" w:hAnsi="Arial"/>
          <w:sz w:val="16"/>
          <w:szCs w:val="16"/>
          <w:i w:val="1"/>
          <w:iCs w:val="1"/>
          <w:color w:val="auto"/>
        </w:rPr>
        <w:t xml:space="preserve"> </w:t>
      </w:r>
      <w:r>
        <w:rPr>
          <w:rFonts w:ascii="Arial" w:cs="Arial" w:eastAsia="Arial" w:hAnsi="Arial"/>
          <w:sz w:val="16"/>
          <w:szCs w:val="16"/>
          <w:color w:val="auto"/>
        </w:rPr>
        <w:t>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 XenoPort, Inc. from 2000 to 2009. He received a B.S. in Physics from Cooper Union and a J.D. from Duke University. We believe Mr. Nussbacher’s qualifications to serve on our board 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Raymond J. Whitaker </w:t>
      </w:r>
      <w:r>
        <w:rPr>
          <w:rFonts w:ascii="Arial" w:cs="Arial" w:eastAsia="Arial" w:hAnsi="Arial"/>
          <w:sz w:val="16"/>
          <w:szCs w:val="16"/>
          <w:color w:val="auto"/>
        </w:rPr>
        <w:t>has been a member of our board of directors since December 2008. He has been a general partner, since its inception in</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January 2000, of EuclidSR Partners, L.P., a venture capital firm that focuses on life sciences and information technology companies. From January 1997 to July 2003, he served as Vice President of S.R. One, the venture capital subsidiary of GlaxoSmithKline. Prior to that, for over fifteen years, he had held senior corporate and business development positions at SmithKline Beecham (USA),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Recordati SpA (Italy) and Laboratoires Delagrange (France). Between 1997 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 Mr. Whitaker’s qualifications to serve on our Board include his experience working with life science companies both as an executive and an investor.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Corporation and has served as our President and Chief Executive Officer and a Director since our</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inception in June 1999. We believe that Mr. Worthington’s qualifications to serve on our board include his understanding of our business, operations and strategy.</w:t>
      </w:r>
    </w:p>
    <w:p>
      <w:pPr>
        <w:spacing w:after="0" w:line="1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has been a member of our board of directors 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is currently composed of six members.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Annual Meeting of Stockholders to be held during the years 2011 for the Class I directors, 2012 for the Class II directors and 2013 for the Class III directors.</w:t>
      </w:r>
    </w:p>
    <w:p>
      <w:pPr>
        <w:spacing w:after="0" w:line="32"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 directors will be Raymond J. Whitaker and Jeremy Loh.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 directors will be John Young and Kenneth Nussbacher.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III directors will be Samuel Colella and Gajus Worthington.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provide that the number of our directors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“Description of Capital Stock—Anti-Takeover Effects of Delaware Law and Our Certificate of Incorporation and Bylaws” for a discussion of other anti-takeover provisions found in our certificate of incorporation.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this offering, our common stock will be listed on The NASDAQ Global Market. Under the rules of The NASDAQ Stock Market LLC, independent directors must comprise a majority of a listed company’s board of directors within a specified period of the closing of its initial offering. In addition, the rules of The NASDAQ Stock Market LLC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NASDAQ Stock Market LLC, a director will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qualify as an “independent director” if, the company’s board of directors affirmatively determines that the person does not have a relationship that would interfere with the exercise of independent judgment in carrying out the responsibilities of a director.</w:t>
      </w:r>
    </w:p>
    <w:p>
      <w:pPr>
        <w:spacing w:after="0" w:line="132"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2010, 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none of Dr. Whitaker or Messrs. Colella, Nussbacher and Young, representing four of our six directors, has a relationship that would interfere with the exercise of independent judgment in carrying out the responsibilities of a director and that each of these directors is “independent” as that term is defined under the rules of The NASDAQ Stock Market LLC.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Board has an audit committee, a compensation committee and a nominating and governance committee, each of which has the composition and the responsibilities described below.</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oversees our corporate accounting and financial reporting process and assists the Board in monitoring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systems and our legal and regulatory compliance. Our audit committee is authorized to, among other things:</w:t>
      </w:r>
    </w:p>
    <w:p>
      <w:pPr>
        <w:spacing w:after="0" w:line="51"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 the work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engagements of the independent auditors to render any audit or permissible non-audit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qualifications and independence of the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our engagement team as required by law;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results of our annual audit, our quarterly financial statements, and our publicly filed reports.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members of our audit committee are Kenneth Nussbacher, Raymond Whitaker and John Young. Mr. Nussbacher is our audit committee chairman.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oversees our corporate compensation programs. Our compensation committee is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recommend policy relating to compensation and benefits of our officers and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our compensation committee are Samuel Colella and Raymond Whitaker.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Nominating and Governance Committee</w:t>
      </w:r>
      <w:r>
        <w:rPr>
          <w:rFonts w:ascii="Arial" w:cs="Arial" w:eastAsia="Arial" w:hAnsi="Arial"/>
          <w:sz w:val="18"/>
          <w:szCs w:val="18"/>
          <w:color w:val="auto"/>
        </w:rPr>
        <w:t>. Our nominating and governance committee oversees and assists our Board of Directors in reviewing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recommending nominees for election as directors. The nominating and governance committee will also:</w:t>
      </w:r>
    </w:p>
    <w:p>
      <w:pPr>
        <w:spacing w:after="0" w:line="51"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 assignments;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Board members;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our nominating and governance committee are Samuel Colella, Kenneth Nussbacher and John Young. Mr. Colella is our nominating and governance committee chairman. Our board of directors has determined that each member of our nominating and governance committee is independent within the meaning of the independent director guidelines of The NASDAQ Stock Market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The table excludes Mr. Worthington, who is a named executive officer, and did not receive any compensation from us in his role as a director in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Fees Earned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or Paid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9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Cash ($)</w:t>
            </w:r>
          </w:p>
        </w:tc>
        <w:tc>
          <w:tcPr>
            <w:tcW w:w="6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0" w:type="dxa"/>
            <w:vAlign w:val="bottom"/>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Lawrence Chin (2)</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Samuel D. Colella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33,300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 (3)</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Jeremy Loh</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Raymond J. Whitaker</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200" w:hanging="452"/>
        <w:spacing w:after="0" w:line="225"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2"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November 9, 2010.</w:t>
      </w:r>
    </w:p>
    <w:p>
      <w:pPr>
        <w:ind w:left="460" w:hanging="452"/>
        <w:spacing w:after="0"/>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May 6,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number of shares subject to stock options outstanding at December 31, 2010 for each non-employee director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Aggregate Number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Outstanding as of</w:t>
            </w:r>
          </w:p>
        </w:tc>
        <w:tc>
          <w:tcPr>
            <w:tcW w:w="0" w:type="dxa"/>
            <w:vAlign w:val="bottom"/>
          </w:tcPr>
          <w:p>
            <w:pPr>
              <w:spacing w:after="0"/>
              <w:rPr>
                <w:sz w:val="1"/>
                <w:szCs w:val="1"/>
                <w:color w:val="auto"/>
              </w:rPr>
            </w:pPr>
          </w:p>
        </w:tc>
      </w:t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Chin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Raymond J. Whitaker</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Young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Pre-Offering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adopted a compensation policy for non-employee directors on January 28, 2010 providing for an annual retainer of $10,000 for each non-employee director’s service as a member of the board and a separate $10,000 annual leadership retainer for service as chairman of the board or a committee of the board effective as of January 1, 2009. The policy also provided that each non-employee director will be automatically granted a stock option to purchase 8,670 shares of our common stock each year. Such stock option grants shall vest 1/12</w:t>
      </w:r>
      <w:r>
        <w:rPr>
          <w:rFonts w:ascii="Arial" w:cs="Arial" w:eastAsia="Arial" w:hAnsi="Arial"/>
          <w:sz w:val="11"/>
          <w:szCs w:val="11"/>
          <w:color w:val="auto"/>
        </w:rPr>
        <w:t>th</w:t>
      </w:r>
      <w:r>
        <w:rPr>
          <w:rFonts w:ascii="Arial" w:cs="Arial" w:eastAsia="Arial" w:hAnsi="Arial"/>
          <w:sz w:val="18"/>
          <w:szCs w:val="18"/>
          <w:color w:val="auto"/>
        </w:rPr>
        <w:t xml:space="preserve"> per month, subject to such non-employee director’s continued service on the board, such that the grant will be fully vested on the first anniversary of the vesting commencement date. These grants were made to each non-employee director on January 28, 2010.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Post-Offering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consummation of our initial public offering, non-employee directors will receive an annual retainer of $20,000. In addition, non-employee directors will receive an annual retainer of $10,000 for audit committee service, $7,000 for compensation committee service and $5,000 for nominating and governance committee service. The chairman of the board will be paid an additional annual retainer of $10,000. The chairman of the audit committee will be paid an additional annual retainer of $5,000. The chairman of the compensation committee will be paid an additional annual retainer of $3,500. The chairman of the nominating and governance committee will be paid an additional annual retainer of $2,500.</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outside director equity compensation policy was adopted by our board of directors on December 16, 2010 and will become effective immediately upon the completion of this offering. The policy is intended to formalize the granting of equity compensation to our non-employee directors under the 2011 Equity Incentive Plan. Non-employee directors may receive all types of awards under the 2011 Equity Incentive Plan, including discretionary awards not covered by the policy, except for incentive stock options. The policy provides for automatic and nondiscretionary grants of nonstatutory stock options subject to the terms and conditions of the policy and the 2011 Equity Incentive Plan.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following the effective date of the registration statement filed by us and declared effective with respect to any class of our securities, on the date such person first becomes a non-employee director. An employee director who subsequently ceases to be an employee, but remains a director, will not receive such an initial award.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beginning on the date of the first annual meeting that is held at least six months after such non-employee director received his or her initial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Employee Conduct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December 2010, we adopted ethics and employee conduct that is applicable to all of our employees, officers and directors effective upon completion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None of the members of our compensation committee is or was, during 2010,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After this offering, we expect our compensation committee will have principal responsibility for approving executive compensation following consultations with our independent directors. In addition, to comply with Rule 16b-3 of the Securities Exchange Act of 1934, we expect equity incentive for executive officers to be approved, on recommendation of the compensation committee, by a committee or our directors who qualify as “non-employee directors” pursuant to the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Gajus Worthington, President and Chief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William Smith, Vice President, Legal Affairs and General Counsel,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Robert Jones, Executive Vice President, Research and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primary goal of our executive compensation program is to ensure that we hire and retain talented and experienced executives who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and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form and amount of compensation payable to our named executive officers, we are guided by the following objectives and principles:</w:t>
      </w:r>
    </w:p>
    <w:p>
      <w:pPr>
        <w:spacing w:after="0" w:line="113" w:lineRule="exact"/>
        <w:rPr>
          <w:sz w:val="20"/>
          <w:szCs w:val="20"/>
          <w:color w:val="auto"/>
        </w:rPr>
      </w:pPr>
    </w:p>
    <w:p>
      <w:pPr>
        <w:ind w:left="780" w:right="40" w:hanging="326"/>
        <w:spacing w:after="0" w:line="29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 team oriented approach is demonstrated by the fact that the salaries of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1"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relate directly to performance and incentive compensation should constitute a significant portion of total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In 2008, we began to grant stock options with performance related vesting to more closely align the options awards with performance.</w:t>
      </w:r>
    </w:p>
    <w:p>
      <w:pPr>
        <w:spacing w:after="0" w:line="38" w:lineRule="exact"/>
        <w:rPr>
          <w:rFonts w:ascii="Arial" w:cs="Arial" w:eastAsia="Arial" w:hAnsi="Arial"/>
          <w:sz w:val="16"/>
          <w:szCs w:val="16"/>
          <w:color w:val="auto"/>
        </w:rPr>
      </w:pPr>
    </w:p>
    <w:p>
      <w:pPr>
        <w:ind w:left="780" w:right="140" w:hanging="326"/>
        <w:spacing w:after="0" w:line="291"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Align compensation decisions with internal considerations rather than industry benchmarks. </w:t>
      </w:r>
      <w:r>
        <w:rPr>
          <w:rFonts w:ascii="Arial" w:cs="Arial" w:eastAsia="Arial" w:hAnsi="Arial"/>
          <w:sz w:val="16"/>
          <w:szCs w:val="16"/>
          <w:color w:val="auto"/>
        </w:rPr>
        <w:t>We believe that hiring and retaining well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board of directors has focused significantly on the affordability of our compensation arrangements. As a result, when weighting forms of compensation, our board of directors and the compensation committee have historically placed greater emphasis on non-cash equity incentive compensation together with base salary.</w:t>
      </w:r>
    </w:p>
    <w:p>
      <w:pPr>
        <w:spacing w:after="0" w:line="8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a publicly held company,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2010, the compensation committee consisted of Messrs. Colella, Nussbacher and Michael Hunkapiller, who was formerly a member of our board of directors. After Mr. Hunkapiller’s resignation from the board, the compensation committee was restructured to consist of Messrs. Colella and Whitaker, each of whom is an independent director under the rules of The NASDAQ Stock Market LLC but is not a “non-employee director” for purposes of Rule 16b-3 under the Securities Exchange Act of 1934, as amended.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 The compensation committee has the responsibility for formulating, evaluating and recommending to our board of directors the compensation of our executive officers. Historically, our annual compensation review process has been initiated by Mr. Worthington who performs a review of the performance of each executive officer in the prior year and makes proposals regarding the elements of compensation, corporate and individual goals and compensation levels for our executive officers including himself. Mr. Worthington’s proposals for compensation structure, goals and individual compensation levels are typically based on discussions with and directions from members of the compensation committee.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Compensation levels and mix for Mr. Worthington, our Chief Executive Officer, are recommended by the compensation committee based on the committee’s assessment of our overall corporate performance and 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any limitations or guidelines that may be adopted by our board of directors in the future, the compensation committee has the authority to approve the grant of stock options or stock purchase rights to individuals eligible for such grants, including officers and directors. The compensation committee met four times during 2009 and three times during 2010.</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2009 and 2010 nor did it rely on any compensation surveys.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90" w:lineRule="exact"/>
        <w:rPr>
          <w:sz w:val="20"/>
          <w:szCs w:val="20"/>
          <w:color w:val="auto"/>
        </w:rPr>
      </w:pPr>
    </w:p>
    <w:p>
      <w:pPr>
        <w:ind w:right="480" w:firstLine="456"/>
        <w:spacing w:after="0" w:line="286" w:lineRule="auto"/>
        <w:rPr>
          <w:sz w:val="20"/>
          <w:szCs w:val="20"/>
          <w:color w:val="auto"/>
        </w:rPr>
      </w:pPr>
      <w:r>
        <w:rPr>
          <w:rFonts w:ascii="Arial" w:cs="Arial" w:eastAsia="Arial" w:hAnsi="Arial"/>
          <w:sz w:val="16"/>
          <w:szCs w:val="16"/>
          <w:i w:val="1"/>
          <w:iCs w:val="1"/>
          <w:color w:val="auto"/>
        </w:rPr>
        <w:t>2009 Corporate Goals</w:t>
      </w:r>
      <w:r>
        <w:rPr>
          <w:rFonts w:ascii="Arial" w:cs="Arial" w:eastAsia="Arial" w:hAnsi="Arial"/>
          <w:sz w:val="16"/>
          <w:szCs w:val="16"/>
          <w:color w:val="auto"/>
        </w:rPr>
        <w:t>. Our corporate and individual performance goals for each year are formulated by the board of directors with input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our Chief Executive Officer. For 2009, five corporate goals were established. They were (i) achieving revenue of $32 million;</w:t>
      </w:r>
    </w:p>
    <w:p>
      <w:pPr>
        <w:ind w:right="120" w:firstLine="8"/>
        <w:spacing w:after="0" w:line="292"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achieving gross margins of 58% for the year and 65% for the 4th quarter and product margins of 54% for the year and 60% for the 4th quarter; (iii) limiting operating expenditures to $35.3 million; (iv) raising $25 million in funding and (v) generating 600 new customer leads. The compensation committee believed attaining these goals would take a high level of executive performance and that such goals would be very challenging given the difficult economic environment and the need to launch and obtain market acceptance of new products. The committee did not assign weights to these goals when they were approved but instead decided that it would assign weights to them when it determined cash bonuses and performance stock option vesting.</w:t>
      </w:r>
    </w:p>
    <w:p>
      <w:pPr>
        <w:spacing w:after="0" w:line="117"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i w:val="1"/>
          <w:iCs w:val="1"/>
          <w:color w:val="auto"/>
        </w:rPr>
        <w:t>2009 Departmental Goals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Departmental goals for 2009 for each of our named executive officers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40" w:type="dxa"/>
            <w:vAlign w:val="bottom"/>
          </w:tcPr>
          <w:p>
            <w:pPr>
              <w:spacing w:after="0"/>
              <w:rPr>
                <w:sz w:val="15"/>
                <w:szCs w:val="15"/>
                <w:color w:val="auto"/>
              </w:rPr>
            </w:pPr>
          </w:p>
        </w:tc>
        <w:tc>
          <w:tcPr>
            <w:tcW w:w="730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2009 Departmental Goals</w:t>
            </w: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Gajus Worthington,</w:t>
            </w:r>
          </w:p>
        </w:tc>
        <w:tc>
          <w:tcPr>
            <w:tcW w:w="340" w:type="dxa"/>
            <w:vAlign w:val="bottom"/>
          </w:tcPr>
          <w:p>
            <w:pPr>
              <w:spacing w:after="0"/>
              <w:rPr>
                <w:sz w:val="23"/>
                <w:szCs w:val="23"/>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89"/>
              </w:rPr>
              <w:t>Achievement of all the goals specified for the other Named Executive Officers below, and achieving</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5"/>
              </w:rPr>
              <w:t>sales goals on a region by region basis. These sales goals include unit volumes for particular</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7"/>
              </w:rPr>
              <w:t>systems, dollar amounts of chip sales, and average selling prices of chips and instruments.</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Vikram Jog,</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Raising $25 million in funding, ensuring no material weakness or significant deficiencies in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4"/>
              </w:rPr>
              <w:t>quarterly reviews and annual audit, ensuring the accurate and timely closing of our books, and</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completion of our 2008 audit.</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William Smith,</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0"/>
              </w:rPr>
              <w:t>Maintaining intellectual property position for the BioMark business, reducing legal expenditures by</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Vice President, Legal Affairs and General</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$200,000, raising $25 million of funding, selling two BioMark systems, and renegotiating a</w:t>
            </w: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Counsel</w:t>
            </w: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specified contract to reduce costs.</w:t>
            </w:r>
          </w:p>
        </w:tc>
      </w:tr>
      <w:tr>
        <w:trPr>
          <w:trHeight w:val="291"/>
        </w:trPr>
        <w:tc>
          <w:tcPr>
            <w:tcW w:w="3780" w:type="dxa"/>
            <w:vAlign w:val="bottom"/>
          </w:tcPr>
          <w:p>
            <w:pPr>
              <w:spacing w:after="0"/>
              <w:rPr>
                <w:sz w:val="20"/>
                <w:szCs w:val="20"/>
                <w:color w:val="auto"/>
              </w:rPr>
            </w:pPr>
            <w:r>
              <w:rPr>
                <w:rFonts w:ascii="Arial" w:cs="Arial" w:eastAsia="Arial" w:hAnsi="Arial"/>
                <w:sz w:val="18"/>
                <w:szCs w:val="18"/>
                <w:color w:val="auto"/>
              </w:rPr>
              <w:t>Robert Jones,</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2"/>
              </w:rPr>
              <w:t>Launching four specified products and achieving target cost levels for specified instrumentation.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Executive Vice President, Research and</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Development</w:t>
            </w:r>
          </w:p>
        </w:tc>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r>
    </w:tbl>
    <w:p>
      <w:pPr>
        <w:spacing w:after="0" w:line="169"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8"/>
          <w:szCs w:val="18"/>
          <w:i w:val="1"/>
          <w:iCs w:val="1"/>
          <w:color w:val="auto"/>
        </w:rPr>
        <w:t>2010 Corporate Goals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2010 corporate goals were proposed by Mr. Worthington and revised and approved by our compensation committee. They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are: (i) achieving specified financial metrics relating to margins and net income; (ii) achieving a specified level of net cash flow; (iii) achieving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milestones relating to new product launches, a partnership transaction and a peer-reviewed publication in a particular area; (iv) increasing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identified sales opportunities to specified levels for each of our three actively marketed microfluidic systems. The compensation committee believed attaining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goals would take a high level of executive performance and that certain goals, such as the financial metrics goals would be achievable only if there was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sustained improvement in economic conditions generally and in the life science industry in particular. As in 2009, the committee did not assign weights to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goals when they were approved but has reserved the authority to assign weights to them when determining bonuses and performance stock option vesting.</w:t>
      </w:r>
    </w:p>
    <w:p>
      <w:pPr>
        <w:spacing w:after="0" w:line="18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2010 Departmental Goals</w:t>
      </w:r>
      <w:r>
        <w:rPr>
          <w:rFonts w:ascii="Arial" w:cs="Arial" w:eastAsia="Arial" w:hAnsi="Arial"/>
          <w:sz w:val="15"/>
          <w:szCs w:val="15"/>
          <w:color w:val="auto"/>
        </w:rPr>
        <w:t>. The compensation committee did not define specific departmental goals in 2010 as it felt that the corporate goals were broad</w:t>
      </w:r>
      <w:r>
        <w:rPr>
          <w:rFonts w:ascii="Arial" w:cs="Arial" w:eastAsia="Arial" w:hAnsi="Arial"/>
          <w:sz w:val="15"/>
          <w:szCs w:val="15"/>
          <w:i w:val="1"/>
          <w:iCs w:val="1"/>
          <w:color w:val="auto"/>
        </w:rPr>
        <w:t xml:space="preserve"> </w:t>
      </w:r>
      <w:r>
        <w:rPr>
          <w:rFonts w:ascii="Arial" w:cs="Arial" w:eastAsia="Arial" w:hAnsi="Arial"/>
          <w:sz w:val="15"/>
          <w:szCs w:val="15"/>
          <w:color w:val="auto"/>
        </w:rPr>
        <w:t>and challenging enough that it was sufficient that each department focus on achieving those goals. As such, the compensation committee intends to determine the departmental component of bonuses based on the extent to which each executive’s performance contributed to achieving or not achieving the corporate goals.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560" w:val="left"/>
        </w:tabs>
        <w:rPr>
          <w:sz w:val="20"/>
          <w:szCs w:val="20"/>
          <w:color w:val="auto"/>
        </w:rPr>
      </w:pPr>
      <w:r>
        <w:rPr>
          <w:rFonts w:ascii="Arial" w:cs="Arial" w:eastAsia="Arial" w:hAnsi="Arial"/>
          <w:sz w:val="18"/>
          <w:szCs w:val="18"/>
          <w:i w:val="1"/>
          <w:iCs w:val="1"/>
          <w:color w:val="auto"/>
        </w:rPr>
        <w:t>2011 Corporate and Departmental Goals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has not yet determined corporate or departmental goals for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executive compensation program consists of four main elements: base salary, an annual incentive bonus plan, option awards and change of control arrangements. The following is a discussion of each element.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2007, the compensation committee and the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For 2008, Messrs. Smith and Jones were paid the same base salary of $275,600. Mr. Jog received a slightly higher salary of $278,000 pursuant to an offer letter we entered into with him when he joined us in 2008, which salary amount was designed to attract Mr. Jog to us and provide him with a salary comparable to his salary at his former position. Mr. Worthington’s base salary of $294,840 reflected the substantial additional responsibility he has as Chief Executive Officer as compared to the other executive officers.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April 2009, the compensation committee reviewed 2009 base salaries in light of general market conditions in the San Francisco Bay Area life science industry and our financial condition. The compensation committee concluded that due to the depressed economic conditions locally and nationally and our constrained financial position that no increases in compensation were appropriate. However, given the ongoing competition for executive talent in the industry and region, the specialized skills and experiences required to manage life science companies and the overall strong performance of the executive team, the compensation committee decided not to reduce salaries.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w:t>
      </w:r>
    </w:p>
    <w:p>
      <w:pPr>
        <w:spacing w:after="0" w:line="1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2010, the compensation committee again reviewed base salaries for our executive officers using the same methodology used in 2009. The compensation committee concluded that economic conditions locally and nationally had stabilized and were improving but were not yet robust. The compensation committee also concluded that hiring in the life science industry in the San Francisco Bay Area had increased somewhat and that there was greater competition for executive talent. As our executive officers had forgone raises in 2009, the compensation committee felt that modest raises of between 2% and 4% were appropriate to keep our executive salaries competitive. Where each executive fell in this range was based on the extent to which the executive achieved his or her departmental goals in 2009. The compensation committee approved the following base salaries for 2010: Gajus Worthington, $303,644, an increase of 3%; Vikram Jog, $289,120, an increase of 4%; Bob Jones, 281,112, an increase of 2%; and Bill Smith, $286,624, an increase of 4%.</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2010, we hired Fredric Walder to be our Chief Business Officer with a salary of $290,000 which is similar to the salaries of our other named executive officers. In addition, in order to induce him to relocate to California from Wisconsin, we agreed to reimburse up to $105,000 of relocation expenses and reimburse, with a tax gross up, the costs of his commuting from Wisconsin to California prior to his relocation.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has not made any decisions regarding changes to base salaries for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2009,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his or her departmental goals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or her departmental goals were attained. If a particular corporate or department goal was only partially attained, then the compensation committee would determine in its discretion whether all, part, or none of the portion of the bonus tied to that goal would be awarded; provided that, no bonus was payable with respect to a goal where performance was less than 80% of the targeted level. The 80% requirement was set so that executives would receive a bonus only for high levels of performance. For departmental goals, each goal was treated as having equal weight, so an equal portion of the executive’s bonus is tied to attaining each goal.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Corporate Goals in 2009</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January 2010, the compensation committee reviewed our performance in 2009 and determined that three of our five corporate goals had been fully met and two had been partially met. Specifically, it concluded that:</w:t>
      </w:r>
    </w:p>
    <w:p>
      <w:pPr>
        <w:spacing w:after="0" w:line="51" w:lineRule="exact"/>
        <w:rPr>
          <w:sz w:val="20"/>
          <w:szCs w:val="20"/>
          <w:color w:val="auto"/>
        </w:rPr>
      </w:pPr>
    </w:p>
    <w:p>
      <w:pPr>
        <w:ind w:right="120" w:firstLine="464"/>
        <w:spacing w:after="0" w:line="306" w:lineRule="auto"/>
        <w:tabs>
          <w:tab w:leader="none" w:pos="6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partially met our revenue goal, which the compensation committee recognized was aggressive at the time it was adopted and which proved difficult to achieve in an extremely unfavorable economic environment in 2009. Our revenue was more than 80% of the targeted level but not equal to the target. The compensation committee determined in its discretion to award 40% of the bonus tied to achievement of this goal.</w:t>
      </w:r>
    </w:p>
    <w:p>
      <w:pPr>
        <w:spacing w:after="0" w:line="106" w:lineRule="exact"/>
        <w:rPr>
          <w:rFonts w:ascii="Arial" w:cs="Arial" w:eastAsia="Arial" w:hAnsi="Arial"/>
          <w:sz w:val="16"/>
          <w:szCs w:val="16"/>
          <w:color w:val="auto"/>
        </w:rPr>
      </w:pPr>
    </w:p>
    <w:p>
      <w:pPr>
        <w:ind w:right="360" w:firstLine="464"/>
        <w:spacing w:after="0" w:line="259" w:lineRule="auto"/>
        <w:tabs>
          <w:tab w:leader="none" w:pos="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partially met our margin goal. Our margins were better than had been targeted, but this level was achieved only by including in revenue the unanticipated receipt of a license fee in the fourth quarter of 2009 which positively impacted our margins. The compensation committee determined in its discretion to award 94% of the bonus tied to achievement of this goal.</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operating expense goal. Our operating expenses were below targeted levels.</w:t>
      </w:r>
    </w:p>
    <w:p>
      <w:pPr>
        <w:spacing w:after="0" w:line="171" w:lineRule="exact"/>
        <w:rPr>
          <w:rFonts w:ascii="Arial" w:cs="Arial" w:eastAsia="Arial" w:hAnsi="Arial"/>
          <w:sz w:val="18"/>
          <w:szCs w:val="18"/>
          <w:color w:val="auto"/>
        </w:rPr>
      </w:pPr>
    </w:p>
    <w:p>
      <w:pPr>
        <w:ind w:right="360" w:firstLine="464"/>
        <w:spacing w:after="0" w:line="332" w:lineRule="auto"/>
        <w:tabs>
          <w:tab w:leader="none" w:pos="7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fully achieved our financing goals. We raised less than the targeted amount of financing, but the compensation committee deemed the goal fully achieved because of the extremely difficult financing environment in 2009 and the favorable valuation which we achieved.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customer leads goal. We generated more leads than were targeted.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weighting these goals, the compensation committee decided that our revenue goal should be weighted at 60% and the other goals at 10% each, because it viewed achieving greater revenue as the most critical element of our long term success at this stage of our development. Applying the percentage achievement to the weighting of the goals, the compensation committee determined that our corporate goals had been 60% met which equated to a bonus equal to 17% of base salary for each executive officer for attainment of those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Department Goals in 2009</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compensation committee also considered the achievement of 2009 departmental performance goals in January 2010 and made the following determinations with respect to each of the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Gajus Worthington, Chief Executive Officer</w:t>
      </w:r>
      <w:r>
        <w:rPr>
          <w:rFonts w:ascii="Arial" w:cs="Arial" w:eastAsia="Arial" w:hAnsi="Arial"/>
          <w:sz w:val="16"/>
          <w:szCs w:val="16"/>
          <w:color w:val="auto"/>
        </w:rPr>
        <w:t>. Mr. Worthington partially met his goal related to the attainment by each individual executive officer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 goals as our executives met or partially met some but not all of their departmental goals. In addition, Mr. Worthington met the sales goal for the United States but not for Europe. The compensation committee equally weighted and averaged the attainment of each of the sales goals and each of the departmental goals and awarded Mr. Worthington 45% of the bonus associated with his attaining his departmental goals.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Vikram Jog, Chief Financial Officer</w:t>
      </w:r>
      <w:r>
        <w:rPr>
          <w:rFonts w:ascii="Arial" w:cs="Arial" w:eastAsia="Arial" w:hAnsi="Arial"/>
          <w:sz w:val="18"/>
          <w:szCs w:val="18"/>
          <w:color w:val="auto"/>
        </w:rPr>
        <w:t>. Mr. Jog fully met his departmental goals as the compensation committee deemed that he raised the targeted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there were no material weaknesses or deficiencies in our quarterly reviews or audits, our books were accurately closed in a timely manner each quarter and our 2008 audit was completed. Therefore, the compensation committee awarded Mr. Jog 100% of the bonus associated with his attaining his departmental goals.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William Smith, Vice President Legal Affairs and General Counsel</w:t>
      </w:r>
      <w:r>
        <w:rPr>
          <w:rFonts w:ascii="Arial" w:cs="Arial" w:eastAsia="Arial" w:hAnsi="Arial"/>
          <w:sz w:val="16"/>
          <w:szCs w:val="16"/>
          <w:color w:val="auto"/>
        </w:rPr>
        <w:t>. Mr. Smith fully met four of his five goals as he maintained the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our BioMark business, reduced legal expenditures by the targeted amount, raised the targeted amount of capital, and achieved targeted cost reductions through a contract renegotiation. However, his sales goal was only 50% met because he did not achieve the targeted unit volume of sales. The compensation committee equally weighted each goal and awarded Mr. Smith 90% of the bonus associated with his attaining of his departmental goals.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Robert Jones, Executive Vice President, Research and Development</w:t>
      </w:r>
      <w:r>
        <w:rPr>
          <w:rFonts w:ascii="Arial" w:cs="Arial" w:eastAsia="Arial" w:hAnsi="Arial"/>
          <w:sz w:val="18"/>
          <w:szCs w:val="18"/>
          <w:color w:val="auto"/>
        </w:rPr>
        <w:t>. Mr. Jones met only one of his four goals with respect to product launches as only</w:t>
      </w:r>
      <w:r>
        <w:rPr>
          <w:rFonts w:ascii="Arial" w:cs="Arial" w:eastAsia="Arial" w:hAnsi="Arial"/>
          <w:sz w:val="18"/>
          <w:szCs w:val="18"/>
          <w:i w:val="1"/>
          <w:iCs w:val="1"/>
          <w:color w:val="auto"/>
        </w:rPr>
        <w:t xml:space="preserve"> </w:t>
      </w:r>
      <w:r>
        <w:rPr>
          <w:rFonts w:ascii="Arial" w:cs="Arial" w:eastAsia="Arial" w:hAnsi="Arial"/>
          <w:sz w:val="18"/>
          <w:szCs w:val="18"/>
          <w:color w:val="auto"/>
        </w:rPr>
        <w:t>one product was launched when targeted. In addition, Mr. Jones did not meet his goals with respect to the cost of goods. Therefore, the compensation committee award Mr. Jones 20% of the bonus associated with his attaining his departmental goals.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 and on working together to achieve key corporate objectives. We expect that corporate and departmental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in 2009. We believe that maintaining this flexibility is helpful in ensuring that executives are appropriately compensated for their performance and are neither rewarded nor penalized as a result of unusual circumstances that were not foreseeable at the time the goals were developed.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has concluded that the 2009 bonus plan was effective and, therefore, our 2010 bonus plan has the same structure and bonus percentages with updated corporate and departmental goals. The compensation committee has not yet determined whether the 2010 corporate or departmental goals have been achieved.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We believe that option awards are an effective means of aligning the interests of executives and stockholders, rewarding executives for our achieving success over the long term and providing executives an incentive to remain with us.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2009, the compensation committee recommended and the Board approved two performance based option grants to each of our executive officers — one based on attainment of our 2009 corporate goals and one based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attainment of the executive’s 2009 departmental goals. Each executive was awarded an option to purchase 5,780 shares related to the achievement of departmental goals and an option to purchase 5,780 shares related to attainment of corporate goals.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62" w:lineRule="exact"/>
        <w:rPr>
          <w:sz w:val="20"/>
          <w:szCs w:val="20"/>
          <w:color w:val="auto"/>
        </w:rPr>
      </w:pPr>
    </w:p>
    <w:p>
      <w:pPr>
        <w:ind w:left="780" w:right="20" w:hanging="326"/>
        <w:spacing w:after="0" w:line="294"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2010 and 1/48th of the shares would vest each month thereafter; provided, that a percentage of the option equal to the percentage of corporate goals that are achieved would become fully vested as of December 31, 2009. Thus, for 2009, because the committee determined that 60% of our corporate goals had been achieved, 60% of the performance options related to the attainment of corporate goals vested effective as of December 31, 2009. 25% of the remaining 40% of such performance options vested on April 1, 2010 and 1/48th of the remaining unvested shares will vest each month thereafter.</w:t>
      </w:r>
    </w:p>
    <w:p>
      <w:pPr>
        <w:spacing w:after="0" w:line="34"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second option grant, all of the shares subject to the option will vest on December 31, 2012, provided that a percentage of the option equal to the percentage of the executive’s departmental goals that are achieved would become fully vested effective as of December 31, 2009. Thus, for each executive officer all or a portion of their option became vested on December 31, 2009 based on their attainment of their departmental goals.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 In January 2011, the compensation committee made grants of the same amount and with the same structure tied to achievement of our 2010 corporate and departmental goals.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November 2009, the board granted to Mr. Worthington an option to purchase 15,014 shares vesting over four years. The number of shares subject to this grant is equal to the number of shares Mr. Worthington surrendered in 2008 in connection with the repayment of a loan we had made to him. The compensation committee made this grant in order to give Mr. Worthington the opportunity restore his original equity position by providing continuing services to us. In addition, in November 2009, the compensation committee granted Mr. Worthington two options to purchase 8,257 shares. These options were performance related grants which the compensation committee had intended to grant to Mr. Worthington in 2008 at the same time it made similar grants to all other executive officers. As a result of an administrative error, the grants were not made in 2008, so the compensation committee made these grants to correct that oversight.</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2009, we offered all employees of the company including our executive officers the opportunity to exchange their outstanding options with exercise prices above the then fair value of our common stock, for new options for the same number of shares with an exercise price equal to the then fair value of our common stock and a lengthened vesting schedule. Pursuant to this exchange offer we issued options to purchase 48,719 shares to Gajus Worthington, 99,090 shares to Vikram Jog, 47,892 shares to Bob Jones and 75,638 to Bill Smith.</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was one of our co-founders.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following a change of control. The terms of these agreements are described under “Potential 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1"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expected time required for an officer to find comparable employment following a termination event;</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period of time following a change of control during which management positions are evaluated and subject to a heightened risk of elimination.</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Code Section 162(m) limit provided the arrangement is adequately described in this prospectus. Accordingly, we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believe that deductibility of all income recognized by executives pursuant to equity compensation granted by us prior to this offering, as well as any equity compensation granted by us under the 2011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table presents information concerning the total compensation of our Chief Executive Officer, Chief Financial Officer and our three other most highly compensated officers during the last fiscal year who were serving as executive officers at the end of 2010 (the “Named Executive Officers”) for services rendered to us in all capacities in 2009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Non-Equity</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Salary</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8"/>
              </w:rPr>
              <w:t>Year</w:t>
            </w:r>
          </w:p>
        </w:tc>
        <w:tc>
          <w:tcPr>
            <w:tcW w:w="10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30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2010</w:t>
            </w:r>
          </w:p>
        </w:tc>
        <w:tc>
          <w:tcPr>
            <w:tcW w:w="4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303,644</w:t>
            </w:r>
          </w:p>
        </w:tc>
        <w:tc>
          <w:tcPr>
            <w:tcW w:w="4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303,644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294,840</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203,948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59,402</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289,120</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278,000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246,340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66,720</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281,112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Research</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133,224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51,675</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Development</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286,624</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286,624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Vice President, Legal Affairs,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190,875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64,215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and General Counsel</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200" w:hanging="452"/>
        <w:spacing w:after="0" w:line="227"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the aggregate fair market value of options granted in 2009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ind w:left="460" w:right="100" w:hanging="452"/>
        <w:spacing w:after="0" w:line="258" w:lineRule="auto"/>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amounts in this column for 2009 represent total performance-based bonuses earned for service rendered during fiscal 2009 under our incentive bonus plan. Our compensation committee has not yet determined performance based bonuses for 2010. For a description of our 2009 and 2010 bonus plans, please see “Incentive Bonus Plan” under “Compensation Discussion and Analysis” above.</w:t>
      </w:r>
    </w:p>
    <w:p>
      <w:pPr>
        <w:ind w:left="460" w:hanging="45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amounts paid to Mr. Walder to reimburse him for the cost of commuting to California prior to his relocation, including a tax gross 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All Option</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5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Awards($)</w:t>
            </w:r>
          </w:p>
        </w:tc>
        <w:tc>
          <w:tcPr>
            <w:tcW w:w="0" w:type="dxa"/>
            <w:vAlign w:val="bottom"/>
          </w:tcPr>
          <w:p>
            <w:pPr>
              <w:spacing w:after="0"/>
              <w:rPr>
                <w:sz w:val="1"/>
                <w:szCs w:val="1"/>
                <w:color w:val="auto"/>
              </w:rPr>
            </w:pPr>
          </w:p>
        </w:tc>
      </w:tr>
      <w:tr>
        <w:trPr>
          <w:trHeight w:val="161"/>
        </w:trPr>
        <w:tc>
          <w:tcPr>
            <w:tcW w:w="57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Target ($)</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($/Sh)(1)</w:t>
            </w:r>
          </w:p>
        </w:tc>
        <w:tc>
          <w:tcPr>
            <w:tcW w:w="11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70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101,192</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98,389</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70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100,318</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80" w:hanging="452"/>
        <w:spacing w:after="0" w:line="230"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120" w:hanging="452"/>
        <w:spacing w:after="0" w:line="277"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 the notes to our audited consolidated financial statements for a discussion of assumptions made in determining the grant date fair value or incremental fair value of our stock options.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information concerning equity awards held by the Named Executive Officers at December 31,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4"/>
                <w:szCs w:val="14"/>
                <w:b w:val="1"/>
                <w:bCs w:val="1"/>
                <w:color w:val="auto"/>
                <w:w w:val="86"/>
              </w:rPr>
              <w:t>Option Awards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tcPr>
          <w:p>
            <w:pPr>
              <w:spacing w:after="0"/>
              <w:rPr>
                <w:sz w:val="12"/>
                <w:szCs w:val="12"/>
                <w:color w:val="auto"/>
              </w:rPr>
            </w:pPr>
          </w:p>
        </w:tc>
        <w:tc>
          <w:tcPr>
            <w:tcW w:w="16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Option Exercise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Exercisable(1)</w:t>
            </w: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660" w:type="dxa"/>
            <w:vAlign w:val="bottom"/>
          </w:tcPr>
          <w:p>
            <w:pPr>
              <w:spacing w:after="0"/>
              <w:rPr>
                <w:sz w:val="14"/>
                <w:szCs w:val="14"/>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Price ($)</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Gajus V. Worthington</w:t>
            </w:r>
          </w:p>
        </w:tc>
        <w:tc>
          <w:tcPr>
            <w:tcW w:w="1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33,030(2)</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25,598(3)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05/08/2017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4,065(25)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10,948(4)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Vikram Jog</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82,576(8)</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5,780(6)</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80" w:type="dxa"/>
            <w:vAlign w:val="bottom"/>
            <w:gridSpan w:val="3"/>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C. Jones</w:t>
            </w:r>
          </w:p>
        </w:tc>
        <w:tc>
          <w:tcPr>
            <w:tcW w:w="1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66,060(11)</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08/03/2015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13,211(12)</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6,605(14)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William M. Smith</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6,440(16)</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12/04/2011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28,901(17)</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7/15/2013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7,431(18)</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2.42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16,515(19)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16,515(20)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12,143(21)</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7,344(22)</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11,560(15)</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11,560(23)</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5,202(6)</w:t>
            </w:r>
          </w:p>
        </w:tc>
        <w:tc>
          <w:tcPr>
            <w:tcW w:w="6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578(4)</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Fredric Walder</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115,606(4)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20" w:hanging="452"/>
        <w:spacing w:after="0" w:line="268" w:lineRule="auto"/>
        <w:tabs>
          <w:tab w:leader="none" w:pos="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ind w:left="460" w:right="40" w:hanging="452"/>
        <w:spacing w:after="0" w:line="221"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options were granted on January 18, 2005 and vested over 4 years. 20% of the shares subject to the stock option vested one year after grant, 1.667% of the shares vested at the end of each monthly period during the subsequent year, and 2.5% of the shares vested at the end of each monthly period thereafter.</w:t>
      </w:r>
    </w:p>
    <w:p>
      <w:pPr>
        <w:ind w:left="460" w:right="220" w:hanging="452"/>
        <w:spacing w:after="0" w:line="230"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12,436 of the shares subject to this grant were vested as of re-grant date, 11,560 shares vest as of February 1, 2010, and 533 shares vest each month thereafter.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may not be exercised prior to vesting.</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These options were granted on November 17, 2009. 6,399 shares subject to the options were vested as of the date of grant and 68 shares vest each month on after December 1, 2009.</w:t>
      </w:r>
    </w:p>
    <w:p>
      <w:pPr>
        <w:spacing w:after="0" w:line="10" w:lineRule="exact"/>
        <w:rPr>
          <w:rFonts w:ascii="Arial" w:cs="Arial" w:eastAsia="Arial" w:hAnsi="Arial"/>
          <w:sz w:val="12"/>
          <w:szCs w:val="12"/>
          <w:color w:val="auto"/>
        </w:rPr>
      </w:pP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options tied to achievement of 2009 departmental goals. The remaining unvested shares subject to these grants will vest on December 31,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ind w:left="460" w:right="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This option was granted on August 3, 2005 and vested over 4 years. Twenty-five percent of the shares vested one year after grant and 2.083% of the shares vested each month thereafter.</w:t>
      </w:r>
    </w:p>
    <w:p>
      <w:pPr>
        <w:spacing w:after="0" w:line="10" w:lineRule="exact"/>
        <w:rPr>
          <w:rFonts w:ascii="Arial" w:cs="Arial" w:eastAsia="Arial" w:hAnsi="Arial"/>
          <w:sz w:val="12"/>
          <w:szCs w:val="12"/>
          <w:color w:val="auto"/>
        </w:rPr>
      </w:pPr>
    </w:p>
    <w:p>
      <w:pPr>
        <w:ind w:left="460" w:right="8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granted on May 8, 2007 and was re-granted on December 23, 2009 as part of our option re-pricing. 825 shares subject to this grant were vested as of the re-grant date, 11,560 shares vest as of February 1, 2010, and 275 shares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December 4, 2001 and vest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July 16, 2003 and vested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April 19, 2004 and vested over 4 years at the rate of 2.083% of the shares per month.</w:t>
      </w: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August 15, 2006 and was re-granted on December 23, 2009 as part of our option re-pricing. 14,656 of the shares subject to the grant were vested as of re- grant date, 412 shares vest each month on and after January 1, 2010 until March 1, 2010, and 343 shares vest each month on and after March 1, 2010.</w:t>
      </w:r>
    </w:p>
    <w:p>
      <w:pPr>
        <w:ind w:left="460" w:right="3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None of the shares subject to the grant were vested as of re-grant date, 11,343 shares vest February 1, 2010, and 253 shares vest each month thereafter.</w:t>
      </w:r>
    </w:p>
    <w:p>
      <w:pPr>
        <w:ind w:left="460" w:right="10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460" w:right="1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November 17, 2010 and 1/48th of the shares subject to the option vest every month thereafter.</w:t>
      </w: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August 25, 2011 and 1/48th of the shares vest every month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of Outstanding Stock Options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Offer Letters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Fredric Walder</w:t>
      </w:r>
      <w:r>
        <w:rPr>
          <w:rFonts w:ascii="Arial" w:cs="Arial" w:eastAsia="Arial" w:hAnsi="Arial"/>
          <w:sz w:val="16"/>
          <w:szCs w:val="16"/>
          <w:color w:val="auto"/>
        </w:rPr>
        <w:t>. We are party to an offer letter dated May 3, 2010, with Fredric Walder, our Chief Business Officer. As Chief Business Officer, Mr.</w:t>
      </w:r>
      <w:r>
        <w:rPr>
          <w:rFonts w:ascii="Arial" w:cs="Arial" w:eastAsia="Arial" w:hAnsi="Arial"/>
          <w:sz w:val="16"/>
          <w:szCs w:val="16"/>
          <w:i w:val="1"/>
          <w:iCs w:val="1"/>
          <w:color w:val="auto"/>
        </w:rPr>
        <w:t xml:space="preserve"> </w:t>
      </w:r>
      <w:r>
        <w:rPr>
          <w:rFonts w:ascii="Arial" w:cs="Arial" w:eastAsia="Arial" w:hAnsi="Arial"/>
          <w:sz w:val="16"/>
          <w:szCs w:val="16"/>
          <w:color w:val="auto"/>
        </w:rPr>
        <w:t>Walder 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$105,000 in 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w:t>
      </w:r>
      <w:r>
        <w:rPr>
          <w:rFonts w:ascii="Arial" w:cs="Arial" w:eastAsia="Arial" w:hAnsi="Arial"/>
          <w:sz w:val="10"/>
          <w:szCs w:val="10"/>
          <w:color w:val="auto"/>
        </w:rPr>
        <w:t>th</w:t>
      </w:r>
      <w:r>
        <w:rPr>
          <w:rFonts w:ascii="Arial" w:cs="Arial" w:eastAsia="Arial" w:hAnsi="Arial"/>
          <w:sz w:val="16"/>
          <w:szCs w:val="16"/>
          <w:color w:val="auto"/>
        </w:rPr>
        <w:t xml:space="preserve">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1" w:lineRule="exact"/>
        <w:rPr>
          <w:sz w:val="20"/>
          <w:szCs w:val="20"/>
          <w:color w:val="auto"/>
        </w:rPr>
      </w:pPr>
    </w:p>
    <w:p>
      <w:pPr>
        <w:jc w:val="both"/>
        <w:ind w:left="780" w:right="40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59"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61" w:lineRule="exact"/>
        <w:rPr>
          <w:rFonts w:ascii="Arial" w:cs="Arial" w:eastAsia="Arial" w:hAnsi="Arial"/>
          <w:sz w:val="18"/>
          <w:szCs w:val="18"/>
          <w:color w:val="auto"/>
        </w:rPr>
      </w:pPr>
    </w:p>
    <w:p>
      <w:pPr>
        <w:ind w:left="780" w:right="1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conviction of, or plea of nolo contendere to, a felony or any crime involving fraud, embezzlement or any other act of moral turpitude;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59" w:lineRule="exact"/>
        <w:rPr>
          <w:sz w:val="20"/>
          <w:szCs w:val="20"/>
          <w:color w:val="auto"/>
        </w:rPr>
      </w:pPr>
    </w:p>
    <w:p>
      <w:pPr>
        <w:ind w:left="780" w:hanging="326"/>
        <w:spacing w:after="0" w:line="25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2" w:lineRule="exact"/>
        <w:rPr>
          <w:sz w:val="20"/>
          <w:szCs w:val="20"/>
          <w:color w:val="auto"/>
        </w:rPr>
      </w:pPr>
    </w:p>
    <w:p>
      <w:pPr>
        <w:ind w:left="780" w:right="4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51" w:lineRule="exact"/>
        <w:rPr>
          <w:sz w:val="20"/>
          <w:szCs w:val="20"/>
          <w:color w:val="auto"/>
        </w:rPr>
      </w:pPr>
    </w:p>
    <w:p>
      <w:pPr>
        <w:ind w:left="780" w:right="80" w:hanging="326"/>
        <w:spacing w:after="0" w:line="332"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50"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Employment Terminated without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Cause Prior to or After 12 Months</w:t>
            </w:r>
          </w:p>
        </w:tc>
        <w:tc>
          <w:tcPr>
            <w:tcW w:w="3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Employment Terminated within 12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Following Change of Control</w:t>
            </w: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Following Change of Control(1)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97"/>
              </w:rPr>
              <w:t>Severance</w:t>
            </w: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5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Severance</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99"/>
              </w:rPr>
              <w:t>Payments</w:t>
            </w:r>
          </w:p>
        </w:tc>
        <w:tc>
          <w:tcPr>
            <w:tcW w:w="54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Benefits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Payments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200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8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82"/>
              </w:rPr>
              <w:t>147,420</w:t>
            </w:r>
          </w:p>
        </w:tc>
        <w:tc>
          <w:tcPr>
            <w:tcW w:w="200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279,522</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147,420</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139,000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tcPr>
          <w:p>
            <w:pPr>
              <w:jc w:val="right"/>
              <w:spacing w:after="0"/>
              <w:rPr>
                <w:sz w:val="20"/>
                <w:szCs w:val="20"/>
                <w:color w:val="auto"/>
              </w:rPr>
            </w:pPr>
            <w:r>
              <w:rPr>
                <w:rFonts w:ascii="Arial" w:cs="Arial" w:eastAsia="Arial" w:hAnsi="Arial"/>
                <w:sz w:val="18"/>
                <w:szCs w:val="18"/>
                <w:color w:val="auto"/>
              </w:rPr>
              <w:t>335,817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William M. Smith</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10,737</w:t>
            </w:r>
          </w:p>
        </w:tc>
        <w:tc>
          <w:tcPr>
            <w:tcW w:w="760" w:type="dxa"/>
            <w:vAlign w:val="bottom"/>
          </w:tcPr>
          <w:p>
            <w:pPr>
              <w:jc w:val="right"/>
              <w:spacing w:after="0"/>
              <w:rPr>
                <w:sz w:val="20"/>
                <w:szCs w:val="20"/>
                <w:color w:val="auto"/>
              </w:rPr>
            </w:pPr>
            <w:r>
              <w:rPr>
                <w:rFonts w:ascii="Arial" w:cs="Arial" w:eastAsia="Arial" w:hAnsi="Arial"/>
                <w:sz w:val="18"/>
                <w:szCs w:val="18"/>
                <w:color w:val="auto"/>
              </w:rPr>
              <w:t>176,836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Vice President, Legal Affairs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and General Counsel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145,000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1,161,840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involuntary termination other than for cause, death or disability, and voluntary termination by the employee for good reason.</w:t>
      </w:r>
    </w:p>
    <w:p>
      <w:pPr>
        <w:ind w:left="46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six months of the named executive officer’s base salary as of December 31, 2010.</w:t>
      </w:r>
    </w:p>
    <w:p>
      <w:pPr>
        <w:ind w:left="460" w:right="10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460" w:right="160" w:hanging="452"/>
        <w:spacing w:after="0" w:line="227"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spread value between (i) the unvested portion of all outstanding stock options, equity appreciation rights or similar equity awards held by the named executive officer on December 31, 2010 and (ii) the initial public offering price of our common stock, which we have assumed to be the midpoint of the price range set forth on the cover page of this prospectus.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adopted our 2011 Equity Incentive Plan on January 20, 2011, and we expect our stockholders will approve it prior to the completion of this offering. Subject to stockholder approval, the 2011 Equity Incentive Plan will be effective upon completion of this offering. Our 2011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total of 1,250,000 shares of our common stock are reserved for issuance pursuant to the 2011 Equity Incentive Plan, of which no options are issued and outstanding. In addition, the shares reserved for issuance under our 2011 Equity Incentive Plan will also include (a) those shares reserved but unissued under the 1999 Stock Option Plan and the 2009 Equity Incentive Plan as of the effective date of the first registration statement filed by us and declared effective with respect to any class of our securities and (b) shares returned to the 1999 Stock Option Plan and the 2009 Equity Incentive Plan as the result of expiration or termination of options (provided that the maximum number of shares that may be added to the 2011 Equity Incentive Plan pursuant to (a) and (b) is 3,022,096 shares). The number of shares available for issuance under the 2011 Equity Incentive Plan will also include an annual increase on the first day of each fiscal year beginning in 2012, equal to the least of:</w:t>
      </w:r>
    </w:p>
    <w:p>
      <w:pPr>
        <w:spacing w:after="0" w:line="37"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1,000,000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fiscal year;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7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Board of Directors or a committee appointed by our board administers our 2011 Equity Incentive Plan. Our compensation committee will administer our 2011 Equity Incentive Plan after the completion of the offering. In the case of awards intended to qualify as “performance-based compensation” within the meaning of Section 162(m) of the Internal Revenue Code, the committee will consist of two or more “outside directors” within the meaning of Section 162(m).</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Subject to the provisions of our 2011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exercise price of options granted under our 2011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market value on the grant date. Subject to the provisions of our 2011 Equity Incentive Plan, the administrator determines the term of all other options.</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 appreciation rights may be granted under our 2011 Equity Incentive Plan. Stock appreciation rights allow the recipient to receive the appreciation in the fair market value of our common stock between the exercise date and the date of grant. Subject to the provisions of our 2011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Restricted stock may be granted under our 2011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stock units may be granted under our 2011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Performance units and performance shares may be granted under our 2011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2011 Equity Incentive Plan provides that all non-employee directors will be eligible to receive all types of awards (except for incentive stock options) under the 2011 Equity Incentive Plan. Please see the description of our outside director equity compensation policy above under “Director Compensation—Post Offering.”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the administrator provides otherwise, our 2011 Equity Incentive Plan generally does not allow for the transfer of awards and only the recipient of an award may exercise an award during his or her lifetime.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2011 Equity Incentive Plan provides that in the event of a merger or “change in control,” as defined in the 2011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Equity Incentive Plan, as Amended</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2009 Equity Incentive Plan was adopted by our Board of Directors on April 30, 2009 and approved by our stockholders on August 14, 2009, and subsequently amended on November 13, 2009. Our 2009 Equity Incentive Plan provides for the grant of incentive stock options, within the meaning of Section 422 of the Internal Revenue Code, to our employees and any parent and subsidiary corporations’ employees, and for the grant of nonstatutory stock options, stock appreciation rights, restricted stock, and restricted stock units to our employees, directors and consultants and our parent and subsidiary corporations’ employees and consultants. Our Board of Directors has decided not to grant any additional options under our 2009 Equity Incentive Plan upon the completion of this offering. However, our 2009 Equity Incentive Plan will continue to govern the terms and conditions of the outstanding stock options previously granted thereunder.</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provisions of our 2009 Equity Incentive Plan, the maximum aggregate number of shares which may be subject to options and sold under our 2009 Equity Incentive Plan is 1,009,524 shares, plus 1,696,667 shares that were subject to stock options or similar awards granted under the 1999 Stock Option Plan that expired or terminated without having been exercised in full and unvested shares issued pursuant to awards granted under the 1999 Stock Option Plan that were forfeited to or repurchased by us.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issued pursuant to awards under the 2009 Equity Incentive Plan that we repurchase or that expire or are forfeited, as well as shares used to pay the exercise price of an award or to satisfy the tax withholding obligations related to an award, will become available for future grant under the 2009 Equity Incentive Plan. In addition, to the extent that an award is paid out in cash rather than shares, such cash payment will not reduce the number of shares available for issuance under the 2009 Equity Incentive Plan.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compensation committee appointed by our board of directors currently administers our 2009 Equity Incentive Plan. Under our 2009 Equity Incentive Plan, the administrator has the power to determine the terms of awards, including the recipients, the exercise price, if any, the number of shares covering each award, the fair market value of a share of our common stock, the vesting schedule applicable to the awards, together with any vesting acceleration, the form of consideration, if any, payable upon exercise of the award, and the terms of the award agreement for use under the 2009 Equity Incentive Plan. The administrator also has the authority, subject to the terms of the 2009 Equity Incentive Plan, to amend existing awards to reduce or increase their exercise price, to allow participants the opportunity to transfer outstanding awards to a financial institution or other person or entity selected by the administrator, to institute an exchange program by which outstanding awards may be surrendered in exchange for awards that may have different exercise prices and terms, to prescribe rules and to construe and interpret the 2009 Equity Incentive Plan and awards granted under the 2009 Equity Incentive Plan.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administrator may grant incentive and/or nonstatutory stock options under our 2009 Equity Incentive Plan, provided that incentive stock options are only granted to employees. The exercise price of such options must equal at least the fair market value of our common stock on the date of grant. The term of an incentive stock option may not exceed ten years; provided, however, that an incentive stock option held by a participant who owns more than 10% of the total combined voting power of all classes of our stock, or of certain of our parent or subsidiary corporations, may not have a term in excess of five years and must have an exercise price of at least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110% of the fair market value of our common stock on the grant date. The administrator will determine the methods of payment of the exercise price of an option, which may include cash, shares or other property acceptable to the administrator. Subject to the provisions of our 2009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award agreement. However, in no event may an option be exercised later than the expiration of its term. The specific terms will be set forth in an award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6 months. In all other cases, the option will generally remain exercisable for 30 days following the termination of service. In some cases, options issued to consultants pursuant to our 2009 Equity Incentive Plan provide that they may be exercised at anytime prior to the expiration of the ten year term of the option. However, in no event may an option be exercised later than the expiration of its term.</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 appreciation rights may be granted under our 2009 Equity Incentive Plan. Stock appreciation rights allow the recipient to receive the appreciation in the fair market value of our common stock between the exercise date and the date of grant. Subject to the provisions of our 2009 Equity Incentive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may be granted under our 2009 Equity Incentive Plan. Restricted stock awards are grants of shares of our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stock units may be granted under our 2009 Equity Incentive Plan.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to us, and the form and timing of payment. The administrator, in its sole discretion, may reduce or waive any vesting criteria that must be met to receive a payout. The administrator determines in its sole discretion whether an award will be settled in stock, cash or a combination of both. The specific terms will be set forth in an award agreement.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administrator provides otherwise, our 2009 Equity Incentive Plan generally does not allow for the transfer of awards and only the recipient of an award may exercise an award during his or her lifetime.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event of certain changes in our capitalization, to prevent diminution or enlargement of the benefits or potential benefits available under the 2009 Equity Incentive Plan, the administrator will make adjustments to one or more of the number and class of shares that may be delivered under the plan and/or the number, class and price of shares covered by each outstanding award. In the event of our proposed liquidation or dissolution, the administrator will notify participants as soon as practicable and all awards will terminate immediately prior to the consummation of such proposed transaction.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2009 Equity Incentive Plan provides that in the event of a merger or change in control, as defined under the 2009 Equity Incentive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board of directors has the authority to amend, alter, suspend or terminate the 2009 Equity Incentive Plan provided such action does not impair the existing rights of any participant. Our 2009 Equity Incentive Plan will automatically terminate in 2019, unless we terminate it sooner.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1999 Stock Option Plan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1999 Stock Option Plan was adopted by our board of directors and approved by our stockholders on May 12, 1999. The 1999 Stock Option Plan was terminated on April 30, 2009. Following the termination of our 1999 Stock Option Plan, we did not grant any additional awards under the 1999 Stock Option Plan, but the 1999 Stock Option Plan will continue to govern the terms and conditions of the outstanding awards previously granted thereunder.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1999 Stock Option Plan provided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provisions of our 1999 Stock Option Plan, the maximum aggregate number of shares issuable under our 1999 Stock Option Plan was 2,444,260 shares. As of September 30, 2010, options to purchase 428,479 shares of our common stock were outstanding under the 1999 Stock Option Plan. If an option expires or becomes unexercisable without having been exercised in full or is surrendered pursuant to an option exchange program, such shares will become available for future grant or sale.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 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exercise price of options granted under our 1999 Stock Option Plan had to be at least equal to the fair market value of our common stock on the date of grant. The term of an incentive stock option had to not exceed 10 years, except that with respect to any optionee who owned 10% of the voting power of all classes of our outstanding stock as of the grant date, the term could not exceed 5 years and the exercise price had to equal at least 110% of the fair market value on the grant date. Subject to the provisions of our 1999 Stock Option Plan, the administrator determined the terms of all other options in its discretion.</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our 1999 Stock Option Plan provide that they may be exercised at anytime prior to the expiration of the ten year term of the option. However, in no event may an option be exercised later than the expiration of its term.</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administrator provides otherwise, our 1999 Stock Option Plan generally does not allow for the transfer of awards and only the recipient of an award may exercise an award during his or her lifetime.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has the authority to amend, suspend or terminate the 1999 Stock Option Plan provided such action does not impair the rights of any optionee without his or her written consent.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We maintain a tax-qualified retirement plan that provides eligible employees with an opportunity to save for retirement on a tax advantaged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Eligible employees 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6"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 that we indemnify our directors and officers to the fullest extent permitted by Delaware law. Our amended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addition to the director and executive compensation arrangements discussed above in “Management,” we have been a party to the following transactions since January 1, 2008,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Note Financing</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w:t>
      </w:r>
    </w:p>
    <w:p>
      <w:pPr>
        <w:ind w:right="60"/>
        <w:spacing w:after="0" w:line="290" w:lineRule="auto"/>
        <w:rPr>
          <w:sz w:val="20"/>
          <w:szCs w:val="20"/>
          <w:color w:val="auto"/>
        </w:rPr>
      </w:pPr>
      <w:r>
        <w:rPr>
          <w:rFonts w:ascii="Arial" w:cs="Arial" w:eastAsia="Arial" w:hAnsi="Arial"/>
          <w:sz w:val="16"/>
          <w:szCs w:val="16"/>
          <w:color w:val="auto"/>
        </w:rPr>
        <w:t>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 property. We currently expect that the 2011 Notes will become due and payable upon the closing of this offering and we intend to use a portion of the net proceeds from this offering to satisfy our repayment obligations under the 2011 Notes.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connection with these sales, we granted the investors certain registration rights with respect to the shares issuable upon exercise of the warrants. See “Description of Capital Stock—Registration Rights.”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 (ii) the number of shares of our Series E-1 convertible preferred stock currently issuable upon the exercise of warrants issued in connection with the purchase of our 2011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Series E-1 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Currently Issuable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Exercise of Warrant(s)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2"/>
          </w:tcPr>
          <w:p>
            <w:pPr>
              <w:jc w:val="right"/>
              <w:ind w:right="1320"/>
              <w:spacing w:after="0" w:line="149" w:lineRule="exact"/>
              <w:rPr>
                <w:sz w:val="20"/>
                <w:szCs w:val="20"/>
                <w:color w:val="auto"/>
              </w:rPr>
            </w:pPr>
            <w:r>
              <w:rPr>
                <w:rFonts w:ascii="Arial" w:cs="Arial" w:eastAsia="Arial" w:hAnsi="Arial"/>
                <w:sz w:val="14"/>
                <w:szCs w:val="14"/>
                <w:b w:val="1"/>
                <w:bCs w:val="1"/>
                <w:color w:val="auto"/>
                <w:w w:val="87"/>
              </w:rPr>
              <w:t>Principal Amount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in connection with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2011 Note(s) Purchased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2011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Colella Family Trust U/D/T dated September 21, 1992(1)(4)</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Fidelity Funds(2)</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533,625</w:t>
            </w:r>
          </w:p>
        </w:tc>
        <w:tc>
          <w:tcPr>
            <w:tcW w:w="1540" w:type="dxa"/>
            <w:vAlign w:val="bottom"/>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Entities affiliated with Lehman Brothers Holdings, Inc.(3)</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310,153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Versant Ventures(1)(4)</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Vikram and Pratima Jog Family Trust u/a dated 6/23/2009(5)</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Worthington Family Trust UAD 03/06/07(6)</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25,000</w:t>
            </w:r>
          </w:p>
        </w:tc>
        <w:tc>
          <w:tcPr>
            <w:tcW w:w="15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1,768,778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Samuel D. Colella, a member of our Board of Directors and a managing director of Versant Ventures is a co-trustee of the Colella Family Trust U/D/T dated September 21, 1992.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$41,275 and a related warrant currently exercisable for 852 shares issued to Fidelity Contrafund: Fidelity Advisor New Insights Fund, a 2011 Note in</w:t>
      </w:r>
    </w:p>
    <w:p>
      <w:pPr>
        <w:spacing w:after="0" w:line="2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the principal amount of $376,568 and a related warrant currently exercisable for 7,773 shares issued to Fidelity Contrafund: Fidelity Contrafund, and a 2011 Note in the principal amount of $115,782 and</w:t>
      </w:r>
    </w:p>
    <w:p>
      <w:pPr>
        <w:spacing w:after="0" w:line="10" w:lineRule="exact"/>
        <w:rPr>
          <w:rFonts w:ascii="Arial" w:cs="Arial" w:eastAsia="Arial" w:hAnsi="Arial"/>
          <w:sz w:val="12"/>
          <w:szCs w:val="12"/>
          <w:color w:val="auto"/>
        </w:rPr>
      </w:pPr>
    </w:p>
    <w:p>
      <w:pPr>
        <w:ind w:left="460" w:right="360"/>
        <w:spacing w:after="0" w:line="221" w:lineRule="auto"/>
        <w:rPr>
          <w:rFonts w:ascii="Arial" w:cs="Arial" w:eastAsia="Arial" w:hAnsi="Arial"/>
          <w:sz w:val="12"/>
          <w:szCs w:val="12"/>
          <w:color w:val="auto"/>
        </w:rPr>
      </w:pPr>
      <w:r>
        <w:rPr>
          <w:rFonts w:ascii="Arial" w:cs="Arial" w:eastAsia="Arial" w:hAnsi="Arial"/>
          <w:sz w:val="14"/>
          <w:szCs w:val="14"/>
          <w:color w:val="auto"/>
        </w:rPr>
        <w:t>a related warrant currently exercisable for 2,390 shares issued to Variable Insurance Products Fund II: Contrafund Portfolio, which entities are aggregated for purposes of reporting share ownership information and collectively hold 5% or more of our capital stock.</w:t>
      </w:r>
    </w:p>
    <w:p>
      <w:pPr>
        <w:ind w:left="460" w:right="12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1" w:lineRule="exact"/>
        <w:rPr>
          <w:rFonts w:ascii="Arial" w:cs="Arial" w:eastAsia="Arial" w:hAnsi="Arial"/>
          <w:sz w:val="14"/>
          <w:szCs w:val="14"/>
          <w:color w:val="auto"/>
        </w:rPr>
      </w:pPr>
    </w:p>
    <w:p>
      <w:pPr>
        <w:ind w:left="460" w:right="18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Vikram and Pratima Jog Family Trust u/a dated 6/23/2009 is controlled by Vikram Jog, our Chief Financial Officer.</w:t>
      </w:r>
    </w:p>
    <w:p>
      <w:pPr>
        <w:ind w:left="460" w:hanging="452"/>
        <w:spacing w:after="0"/>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Worthington Family Trust UAD 03/06/07 is controlled by Gajus V. Worthington, our President and Chief Executive Officer and a member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Repricing</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August 2010, we allowed the holders of outstanding preferred stock warrants with exercise prices greater than $12.11 per share to amend such warrants to provide that (i) the exercise price of such warrants would be $12.11 per share and (ii) such warrants would be exercisable for (a) a number of shares of an alternative series of our preferred stock equal to the number of shares of the preferred stock issuable upon exercise of the non-repriced warrants and (b) an equivalent number of shares of our common stock, subject to such holder’s agreement to exercise the amended warrants immediately in full and for cash.</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issued in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167"/>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connection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227"/>
              <w:spacing w:after="0" w:line="149" w:lineRule="exact"/>
              <w:rPr>
                <w:sz w:val="20"/>
                <w:szCs w:val="20"/>
                <w:color w:val="auto"/>
              </w:rPr>
            </w:pPr>
            <w:r>
              <w:rPr>
                <w:rFonts w:ascii="Arial" w:cs="Arial" w:eastAsia="Arial" w:hAnsi="Arial"/>
                <w:sz w:val="14"/>
                <w:szCs w:val="14"/>
                <w:b w:val="1"/>
                <w:bCs w:val="1"/>
                <w:color w:val="auto"/>
              </w:rPr>
              <w:t>shares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r>
      <w:tr>
        <w:trPr>
          <w:trHeight w:val="161"/>
        </w:trPr>
        <w:tc>
          <w:tcPr>
            <w:tcW w:w="27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Purchasers</w:t>
            </w:r>
          </w:p>
        </w:tc>
        <w:tc>
          <w:tcPr>
            <w:tcW w:w="34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Warrants Repriced</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8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100" w:type="dxa"/>
            <w:vAlign w:val="bottom"/>
          </w:tcPr>
          <w:p>
            <w:pPr>
              <w:spacing w:after="0"/>
              <w:rPr>
                <w:sz w:val="14"/>
                <w:szCs w:val="14"/>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25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13,977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Entities affiliated with Fidelity Funds(2)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18,240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18,240</w:t>
            </w:r>
          </w:p>
        </w:tc>
        <w:tc>
          <w:tcPr>
            <w:tcW w:w="84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InterWest Funds(3)</w:t>
            </w:r>
          </w:p>
        </w:tc>
        <w:tc>
          <w:tcPr>
            <w:tcW w:w="34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46,630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46,630</w:t>
            </w:r>
          </w:p>
        </w:tc>
        <w:tc>
          <w:tcPr>
            <w:tcW w:w="840" w:type="dxa"/>
            <w:vAlign w:val="bottom"/>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183 shares issued to Alloy Partners 2002, L.P., 6,805 shares issued to Alloy Ventures 2002, L.P. and 6,989 shares issued to Alloy Ventures 2005, L.P.</w:t>
      </w:r>
    </w:p>
    <w:p>
      <w:pPr>
        <w:ind w:left="46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1,801 shares issued to Fidelity Contrafund: Fidelity Advisor New Insights Fund and 16,438 shares issued to Fidelity Contrafund: Fidelity Contrafund.</w:t>
      </w: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646 shares issued to InterWest Investors VII, L.P. and 13,497 shares issued to InterWest Partners VII,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Bridge Financing and Issuance of Series E Convertible Preferred Stock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2009, we sold convertible promissory notes, or the 2009 Notes, to certain of our existing investors for an aggregate purchase price of $10.7 million. The 2009 Notes (a) accrued interest (i) during the first 60 days the 2009 Notes were outstanding, at a rate equal to 1% per month, and (ii) following such initial 60 day period, at a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equal to 2% per month, in each case compounded monthly and computed on the basis of the actual number of days elapsed and a year consisting of twelve (12) 30-day months; and (b) had a maturity date of approximately 4 months.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the terms of the 2009 bridge financing, upon the closing of a qualified equity financing or upon the election of the holders of a majority of the 2009 Notes, the 2009 Notes and the interest accrued thereon would automatically convert into the security sold in such financing at the price at which such securities were sold. In November 2009, in connection with our Series E convertible preferred stock financing with a strategic investor, a majority of the investors who had purchased 2009 Notes elected to have their 2009 Notes convert into Series E convertible preferred stock at a conversion price of $24.22 per share. Each investor who purchased 2009 Notes also received warrants to purchase a number of shares of our Series E convertible preferred stock equal to the product of 50% of the principal amount of 2009 Notes purchased by such investor plus an additional 5% of the original principal amount of the 2009 Notes for each full month that elapsed after the date that was two (2) months after the issuance date of the 2009 Notes, for so long as the 2009 Notes remained outstanding or converted into equity securities of the Company under the 2009 Notes, provided, however, that in no event will the additional coverage exceed 15% of the original principal amount of the 2009 Note.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these sales, we granted the purchasers certain registration rights with respect to their securities. See “Description of Capital Stock— Registration Rights.” Each outstanding share of our preferred stock will be converted automatically into one share of our common stock upon the completion of this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table below summarizes (i) the amount invested by each of our directors, executive officers, holders of more than 5% of any class of our voting securities, or any member of the immediate family of or any entities affiliated with any of the foregoing persons in the 2009 bridge financing, (ii) the number of shares of Series E Preferred Stock received by each such person upon conversion of their 2009 Note, and (iii) the number of shares of Series E Preferred Stock for which the warrants issued to such persons are now exercisable.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Series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 Preferred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stock issuable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Series 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652,619</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27,868</w:t>
            </w:r>
          </w:p>
        </w:tc>
        <w:tc>
          <w:tcPr>
            <w:tcW w:w="80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888,762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37,952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1,634,383</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69,793</w:t>
            </w:r>
          </w:p>
        </w:tc>
        <w:tc>
          <w:tcPr>
            <w:tcW w:w="800" w:type="dxa"/>
            <w:vAlign w:val="bottom"/>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685,191</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29,259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670,137</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28,616</w:t>
            </w:r>
          </w:p>
        </w:tc>
        <w:tc>
          <w:tcPr>
            <w:tcW w:w="800" w:type="dxa"/>
            <w:vAlign w:val="bottom"/>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33,921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1,066,728</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45,552</w:t>
            </w:r>
          </w:p>
        </w:tc>
        <w:tc>
          <w:tcPr>
            <w:tcW w:w="800" w:type="dxa"/>
            <w:vAlign w:val="bottom"/>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1,133,858</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48,418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6,002,835</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350,295</w:t>
            </w:r>
          </w:p>
        </w:tc>
        <w:tc>
          <w:tcPr>
            <w:tcW w:w="800" w:type="dxa"/>
            <w:vAlign w:val="bottom"/>
          </w:tcPr>
          <w:p>
            <w:pPr>
              <w:jc w:val="right"/>
              <w:spacing w:after="0"/>
              <w:rPr>
                <w:sz w:val="20"/>
                <w:szCs w:val="20"/>
                <w:color w:val="auto"/>
              </w:rPr>
            </w:pPr>
            <w:r>
              <w:rPr>
                <w:rFonts w:ascii="Arial" w:cs="Arial" w:eastAsia="Arial" w:hAnsi="Arial"/>
                <w:sz w:val="18"/>
                <w:szCs w:val="18"/>
                <w:color w:val="auto"/>
              </w:rPr>
              <w:t>169,323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30"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$8,901 invested by Alloy Partners 2002, L.P. and $329,685 invested by Alloy Ventures 2002, L.P. and $338,586 invested by Alloy Ventures 2005 L.P. Michael Hunkapiller, an affiliate of Alloy Ventures, was a member of our Board of Directors.</w:t>
      </w:r>
    </w:p>
    <w:p>
      <w:pPr>
        <w:ind w:left="46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Bruce Burrows is a holder of 5% or more of our capital stock. He served as a member of our Board of Directors from January 3, 2000 to January 15, 2008.</w:t>
      </w:r>
    </w:p>
    <w:p>
      <w:pPr>
        <w:ind w:left="460" w:right="2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$444,381 invested by EuclidSR Biotechnology Partners, L.P. and $444,381 invested by EuclidSR Partners, L.P. Raymond Whitaker, an affiliate of Euclid SR Partners, is a member of our Board of Directors.</w:t>
      </w:r>
    </w:p>
    <w:p>
      <w:pPr>
        <w:ind w:left="460" w:right="44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Biomedical Sciences Investment Fund Pte Ltd is a holder of 5% or more of our capital stock. Jeremy Loh, an affiliate of Biomedial Sciences Investment Fund Pte Ltd is a member of our Board of Directors.</w:t>
      </w:r>
    </w:p>
    <w:p>
      <w:pPr>
        <w:ind w:left="460" w:hanging="452"/>
        <w:spacing w:after="0"/>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$653,880 invested by InterWest Investors VII, L.P. and $31,312 invested by InterWest Partners VII, L.P. These affiliated entities collectively hold 5% or more of our capital stock.</w:t>
      </w:r>
    </w:p>
    <w:p>
      <w:pPr>
        <w:spacing w:after="0" w:line="10" w:lineRule="exact"/>
        <w:rPr>
          <w:rFonts w:ascii="Arial" w:cs="Arial" w:eastAsia="Arial" w:hAnsi="Arial"/>
          <w:sz w:val="12"/>
          <w:szCs w:val="12"/>
          <w:color w:val="auto"/>
        </w:rPr>
      </w:pPr>
    </w:p>
    <w:p>
      <w:pPr>
        <w:ind w:left="460" w:right="80" w:hanging="452"/>
        <w:spacing w:after="0" w:line="297" w:lineRule="auto"/>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$167,534 invested by Lehman Brothers Healthcare Venture Capital L.P., $37,468 invested by Lehman Brothers Offshore Partnership Account 2000/2001, L.P., $320,662 invested by Lehman Brothers P.A., LLC, and $144,473 invested by Lehman Brothers Partnership Account 2001/2001, L.P. These affiliated entities collectively hold 5% or more of our capital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SMALLCAP World Fund, Inc. is a holder of 5% or more of our capital stock.</w:t>
      </w:r>
    </w:p>
    <w:p>
      <w:pPr>
        <w:ind w:left="460" w:right="40" w:hanging="452"/>
        <w:spacing w:after="0" w:line="221"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$17,898 invested by Versant Affiliates Fund 1-A, L.P., $52,818 invested by Versant Affiliates Fund 1-B, L.P., $20,345 invested by Versant Side Fund I, L.P. and $975,666 invested by Versant Venture Capital I, L.P. Sam Colella, an affiliate of Versant Ventures, is a member of our Board of Directors.</w:t>
      </w:r>
    </w:p>
    <w:p>
      <w:pPr>
        <w:ind w:left="460" w:hanging="452"/>
        <w:spacing w:after="0"/>
        <w:tabs>
          <w:tab w:leader="none" w:pos="4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Consists of $87,292 invested by Fidelity Contrafund: Fidelity Advisor New Insights Fund, $796,398 invested by Fidelity Contrafund: Fidelity Contrafund, and $250,168 invested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the Singapore Government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Incentive Grants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 October 2005, Fluidigm Singapore entered into a letter agreement providing for up to SG$10 million (approximately US$7.6 million using a September 30, 2010 exchange rate) in incentive grants from the Singapore Economic Development Board, or EDB. The incentive grants are payable for the period August 1, 2005 through July 31, 2010 in connection with the establishment and operation of a research, development and manufacturing center for chips in Singapore.</w:t>
      </w:r>
    </w:p>
    <w:p>
      <w:pPr>
        <w:spacing w:after="0" w:line="1" w:lineRule="exact"/>
        <w:rPr>
          <w:sz w:val="20"/>
          <w:szCs w:val="20"/>
          <w:color w:val="auto"/>
        </w:rPr>
      </w:pPr>
    </w:p>
    <w:p>
      <w:pPr>
        <w:jc w:val="both"/>
        <w:ind w:right="160"/>
        <w:spacing w:after="0" w:line="331" w:lineRule="auto"/>
        <w:rPr>
          <w:sz w:val="20"/>
          <w:szCs w:val="20"/>
          <w:color w:val="auto"/>
        </w:rPr>
      </w:pPr>
      <w:r>
        <w:rPr>
          <w:rFonts w:ascii="Arial" w:cs="Arial" w:eastAsia="Arial" w:hAnsi="Arial"/>
          <w:sz w:val="15"/>
          <w:szCs w:val="15"/>
          <w:color w:val="auto"/>
        </w:rPr>
        <w:t>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90"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February 12, 2007, Fluidigm Singapore entered into a second letter agreement with EDB which provided for up to an additional SG$3.7 million (approximately US$2.8 million using a September 30, 2010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our microfluidic instrumentation. The primary focus of this grant agreement was the ongoing development and manufacture in Singapore of instrumentation to be used with our microfluidic systems. This letter agreement applies to research, development and manufacturing activity by Fluidigm Singapore in Singapore from June 1, 2006 through May 31, 2011.</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first letter agreement with EDB was completed in July 2010. The maximum amount of grant revenue available to us under our second letter agreement with EDB from September 30, 2010 through May 31, 2011 is SG$1.1 million (approximately US$0.8 million using a September 30, 2010 exchange rate) although we expect actual grant revenue to be significantly lower.</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of December 31, 2009 and September 30, 2010, we had accounts receivable from EDB in the amounts of $666,000 and $594,000, respectively, and deferred revenue of $144,000 and $75,000, respectively, related to incentive payments from EDB for equipment expenditures. The deferred revenue is being recognized ratably over the estimated useful life of the equipment of four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to Gajus Worthington</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On January 20, 2004, we entered into an Employee Loan Agreement, Secured Promissory Note and Stock Pledge Agreement with Mr. Worthington pursuant to which we loaned Mr. Worthington $250,000 at an interest rate of 3.52% per annum and the principal and interest were not due and payable until</w:t>
      </w:r>
    </w:p>
    <w:p>
      <w:pPr>
        <w:spacing w:after="0" w:line="287" w:lineRule="auto"/>
        <w:rPr>
          <w:sz w:val="20"/>
          <w:szCs w:val="20"/>
          <w:color w:val="auto"/>
        </w:rPr>
      </w:pPr>
      <w:r>
        <w:rPr>
          <w:rFonts w:ascii="Arial" w:cs="Arial" w:eastAsia="Arial" w:hAnsi="Arial"/>
          <w:sz w:val="16"/>
          <w:szCs w:val="16"/>
          <w:color w:val="auto"/>
        </w:rPr>
        <w:t>7 years after the date of the loan or upon the earlier occurrence of certain events. The loan was secured by the pledge of 137,627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value of such stock on the date of such sale, which was determined by the board of directors to be $19.31 per share. The note and Mr. Worthington’s loan were repaid in full and cancelled in exchange for 15,014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Townsend and Townsend and Crew LLP</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before 2007, the law firm of Townsend and Townsend and Crew LLP, or Townsend, has served as our primary outside patent counsel. William Smith, our Vice President, Legal Affairs, General Counsel and Secretary as well a director from May 2000 until April 7, 2008, was a partner at Townsend from 1985 to April 1, 2008. Amounts paid to Townsend for services and direct patent fees were $576,000 and $312,000 for 2007 and the six months ended June 28, 2008. The accrued amount payable to Townsend as of June 28, 2008, was $411,000.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stock option grants to our directors and executive officers and related option grant policies are described above in this prospectus under the caption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Stock Option Repricing</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November 2009, we offered eligible holders of our stock options the opportunity to exchange certain options for new options with an exercise price per share equal to the fair value of our common stock on December 23, 2009. The participation of our executive officers and directors in this repricing is described in this prospectus under the caption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employment arrangements with certain of our executive officers. See “Management—Employment Agreements and Offer Letters”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Limitations on Liability and Indemnification Matters”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current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January 11, 2011, as adjusted to reflect the sale of common stock offered by us in this offering, for:</w:t>
      </w:r>
    </w:p>
    <w:p>
      <w:pPr>
        <w:spacing w:after="0" w:line="51"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Applicable percentage ownership is based on 13,417,235 shares of common stock outstanding at January 11, 2011. For purposes of the table below, we have assumed that 18,589,649 shares of common stock will be outstanding upon completion of this offering, based upon an assumed initial public offering price of $14.50 per share. In computing the number of shares of common 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January 11, 2011. We did not deem these shares outstanding, however, for the purpose of computing the percentage ownership of any other person. Beneficial ownership representing less than one percent is denoted with an “*.”</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Fluidigm Corporation, 7000 Shoreline Court, Suite 100, South San Francisco, California 94080.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Beneficial Ownership</w:t>
            </w: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2980" w:type="dxa"/>
            <w:vAlign w:val="bottom"/>
          </w:tcPr>
          <w:p>
            <w:pPr>
              <w:spacing w:after="0"/>
              <w:rPr>
                <w:sz w:val="14"/>
                <w:szCs w:val="14"/>
                <w:color w:val="auto"/>
              </w:rPr>
            </w:pPr>
          </w:p>
        </w:tc>
        <w:tc>
          <w:tcPr>
            <w:tcW w:w="2260" w:type="dxa"/>
            <w:vAlign w:val="bottom"/>
            <w:gridSpan w:val="4"/>
          </w:tcPr>
          <w:p>
            <w:pPr>
              <w:ind w:left="320"/>
              <w:spacing w:after="0"/>
              <w:rPr>
                <w:sz w:val="20"/>
                <w:szCs w:val="20"/>
                <w:color w:val="auto"/>
              </w:rPr>
            </w:pPr>
            <w:r>
              <w:rPr>
                <w:rFonts w:ascii="Arial" w:cs="Arial" w:eastAsia="Arial" w:hAnsi="Arial"/>
                <w:sz w:val="14"/>
                <w:szCs w:val="14"/>
                <w:b w:val="1"/>
                <w:bCs w:val="1"/>
                <w:color w:val="auto"/>
              </w:rPr>
              <w:t>Prior to the Offering</w:t>
            </w:r>
          </w:p>
        </w:tc>
        <w:tc>
          <w:tcPr>
            <w:tcW w:w="1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Alloy Funds(1)</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EuclidSR Funds(2)</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892,752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the Singapore government(3)</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1,843,364</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1,843,364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Funds(4)</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1,459,066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1,459,066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InterWest Funds(5)</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Lehman Funds(6)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679,541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SMALLCAP World Fund, Inc.(7)</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1,005,548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1,005,548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 Funds(8)</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1,079,557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1,079,557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Bruce Burrows(9)</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675,663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760" w:type="dxa"/>
            <w:vAlign w:val="bottom"/>
          </w:tcPr>
          <w:p>
            <w:pPr>
              <w:jc w:val="right"/>
              <w:spacing w:after="0"/>
              <w:rPr>
                <w:sz w:val="20"/>
                <w:szCs w:val="20"/>
                <w:color w:val="auto"/>
              </w:rPr>
            </w:pPr>
            <w:r>
              <w:rPr>
                <w:rFonts w:ascii="Arial" w:cs="Arial" w:eastAsia="Arial" w:hAnsi="Arial"/>
                <w:sz w:val="18"/>
                <w:szCs w:val="18"/>
                <w:color w:val="auto"/>
              </w:rPr>
              <w:t>675,663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Gajus V. Worthington(10)</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760" w:type="dxa"/>
            <w:vAlign w:val="bottom"/>
          </w:tcPr>
          <w:p>
            <w:pPr>
              <w:jc w:val="right"/>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Colella(11)</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1,097,206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1,097,206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Vikram Jog(12)</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111,810</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111,810</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Jones(13)</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119,981</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119,981</w:t>
            </w:r>
          </w:p>
        </w:tc>
        <w:tc>
          <w:tcPr>
            <w:tcW w:w="10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Kenneth Nussbacher(14)</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42,422</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42,422</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Smith(15)</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9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Whitaker(16)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902,144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80" w:type="dxa"/>
            <w:vAlign w:val="bottom"/>
          </w:tcPr>
          <w:p>
            <w:pPr>
              <w:jc w:val="right"/>
              <w:ind w:right="1292"/>
              <w:spacing w:after="0"/>
              <w:rPr>
                <w:sz w:val="20"/>
                <w:szCs w:val="20"/>
                <w:color w:val="auto"/>
              </w:rPr>
            </w:pPr>
            <w:r>
              <w:rPr>
                <w:rFonts w:ascii="Arial" w:cs="Arial" w:eastAsia="Arial" w:hAnsi="Arial"/>
                <w:sz w:val="18"/>
                <w:szCs w:val="18"/>
                <w:color w:val="auto"/>
              </w:rPr>
              <w:t>125</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Beneficial Ownership</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Prior to the Offering</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306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Young(17)</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Jeremy Loh(18)</w:t>
            </w:r>
          </w:p>
        </w:tc>
        <w:tc>
          <w:tcPr>
            <w:tcW w:w="4140" w:type="dxa"/>
            <w:vAlign w:val="bottom"/>
            <w:gridSpan w:val="3"/>
          </w:tcPr>
          <w:p>
            <w:pPr>
              <w:jc w:val="right"/>
              <w:ind w:right="320"/>
              <w:spacing w:after="0"/>
              <w:rPr>
                <w:sz w:val="20"/>
                <w:szCs w:val="20"/>
                <w:color w:val="auto"/>
              </w:rPr>
            </w:pPr>
            <w:r>
              <w:rPr>
                <w:rFonts w:ascii="Arial" w:cs="Arial" w:eastAsia="Arial" w:hAnsi="Arial"/>
                <w:sz w:val="18"/>
                <w:szCs w:val="18"/>
                <w:color w:val="auto"/>
              </w:rPr>
              <w:t>1,845,531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1,845,531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(11 persons)</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4,905,039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4,905,039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one percent.</w:t>
      </w:r>
    </w:p>
    <w:p>
      <w:pPr>
        <w:ind w:left="460" w:right="6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346,082 shares held of record by Alloy Ventures 2005, L.P., 336,983 shares held of record by Alloy Ventures 2002, L.P., and 9,092 shares held of record by Alloy Partners 2002,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together with Michael Hunkapiller and Ammar Hanafi.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1" w:lineRule="exact"/>
        <w:rPr>
          <w:rFonts w:ascii="Arial" w:cs="Arial" w:eastAsia="Arial" w:hAnsi="Arial"/>
          <w:sz w:val="12"/>
          <w:szCs w:val="12"/>
          <w:color w:val="auto"/>
        </w:rPr>
      </w:pPr>
    </w:p>
    <w:p>
      <w:pPr>
        <w:ind w:left="460" w:right="2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434,454 shares and a warrant to purchase 11,922 shares held of record by EuclidSR Partners, L.P. and 434,454 shares and a warrant to purchase 11,922 shares held of record by EuclidSR Biotechnology Partners, L.P. Mr. Whitaker, a member of our Board of Directors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1410, New York, NY 10111.</w:t>
      </w:r>
    </w:p>
    <w:p>
      <w:pPr>
        <w:spacing w:after="0" w:line="1" w:lineRule="exact"/>
        <w:rPr>
          <w:rFonts w:ascii="Arial" w:cs="Arial" w:eastAsia="Arial" w:hAnsi="Arial"/>
          <w:sz w:val="12"/>
          <w:szCs w:val="12"/>
          <w:color w:val="auto"/>
        </w:rPr>
      </w:pPr>
    </w:p>
    <w:p>
      <w:pPr>
        <w:ind w:left="460" w:right="6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1,671,486 shares and a warrant to purchase 43,853 shares held of record by Biomedical Sciences Investment Fund Pte Ltd and 128,025 shares held of record by Singapore Bio-Innovations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Jeremy Loh is a member of our Board of Directors and a Vice President (Investments), San Francisco Center for EDB Investments Pte Ltd, Singapore. Dr. Loh disclaims beneficial ownership of these shares, except to the extent of his pecuniary interest in such shares.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250, North Bridge Road, #20-02, Raffles City Tower, Singapore 179101.</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111,757 shares and a warrant to purchase 852 shares held of record by Fidelity Contrafund: Fidelity Advisor New Insights Fund, 1,019,624 shares and a warrant to purchase 7,773 shares held</w:t>
      </w:r>
    </w:p>
    <w:p>
      <w:pPr>
        <w:spacing w:after="0" w:line="10" w:lineRule="exact"/>
        <w:rPr>
          <w:rFonts w:ascii="Arial" w:cs="Arial" w:eastAsia="Arial" w:hAnsi="Arial"/>
          <w:sz w:val="12"/>
          <w:szCs w:val="12"/>
          <w:color w:val="auto"/>
        </w:rPr>
      </w:pPr>
    </w:p>
    <w:p>
      <w:pPr>
        <w:ind w:left="460"/>
        <w:spacing w:after="0" w:line="261" w:lineRule="auto"/>
        <w:rPr>
          <w:rFonts w:ascii="Arial" w:cs="Arial" w:eastAsia="Arial" w:hAnsi="Arial"/>
          <w:sz w:val="12"/>
          <w:szCs w:val="12"/>
          <w:color w:val="auto"/>
        </w:rPr>
      </w:pPr>
      <w:r>
        <w:rPr>
          <w:rFonts w:ascii="Arial" w:cs="Arial" w:eastAsia="Arial" w:hAnsi="Arial"/>
          <w:sz w:val="12"/>
          <w:szCs w:val="12"/>
          <w:color w:val="auto"/>
        </w:rPr>
        <w:t>of record by Fidelity Contrafund: Fidelity Contrafund and 309,959 shares and warrants to purchase 9,101 shares 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38" w:lineRule="exact"/>
        <w:rPr>
          <w:rFonts w:ascii="Arial" w:cs="Arial" w:eastAsia="Arial" w:hAnsi="Arial"/>
          <w:sz w:val="12"/>
          <w:szCs w:val="12"/>
          <w:color w:val="auto"/>
        </w:rPr>
      </w:pPr>
    </w:p>
    <w:p>
      <w:pPr>
        <w:ind w:left="460" w:right="140" w:hanging="452"/>
        <w:spacing w:after="0" w:line="258"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31,643 shares held of record by InterWest Investors VII, L.P. and 660,912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 of InterWest Management Partners VII, LLC, has shared voting and investment control over the shares owned by InterWest Partners VII, L.P. and InterWest Investors VII, L.P. All Managing Directors and Members disclaim beneficial ownership of the shares owned by InterWest Partners VII, LP and InterWest Investors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2"/>
          <w:szCs w:val="12"/>
          <w:color w:val="auto"/>
        </w:rPr>
      </w:pPr>
    </w:p>
    <w:p>
      <w:pPr>
        <w:ind w:left="460" w:right="20" w:hanging="452"/>
        <w:spacing w:after="0" w:line="271" w:lineRule="auto"/>
        <w:tabs>
          <w:tab w:leader="none" w:pos="4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Consists of 163,789 shares and warrants to purchase 6,093 shares held of record by Lehman Brothers Healthcare Venture Capital, L.P., 36,630 shares and warrants to purchase 1,361 shares held of record by Lehman Brothers Offshore Partnership Account 2000/2001, L.P., 313,500 shares and warrants to purchase 11,667 shares held of record by Lehman Brothers P.A., LLC, and 141,245 shares and warrants to purchase 5,256 shares held of record by Lehman Brothers Partnership Account 2000/2001, L.P. In each of the limited partnerships referenced above, Lehman Brothers Holdings Inc. controls the general partner of the limited partnership. In the limited liability company, Lehman Brothers Holdings Inc. controls the manager of the limited liability company. In all four entities listed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360"/>
        <w:spacing w:after="0" w:line="227" w:lineRule="auto"/>
        <w:rPr>
          <w:sz w:val="20"/>
          <w:szCs w:val="20"/>
          <w:color w:val="auto"/>
        </w:rPr>
      </w:pPr>
      <w:r>
        <w:rPr>
          <w:rFonts w:ascii="Arial" w:cs="Arial" w:eastAsia="Arial" w:hAnsi="Arial"/>
          <w:sz w:val="14"/>
          <w:szCs w:val="14"/>
          <w:color w:val="auto"/>
        </w:rPr>
        <w:t>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1271 Sixth Avenue, 45th Floor, New York, NY 10020.</w:t>
      </w:r>
    </w:p>
    <w:p>
      <w:pPr>
        <w:spacing w:after="0" w:line="1" w:lineRule="exact"/>
        <w:rPr>
          <w:sz w:val="20"/>
          <w:szCs w:val="20"/>
          <w:color w:val="auto"/>
        </w:rPr>
      </w:pPr>
    </w:p>
    <w:p>
      <w:pPr>
        <w:ind w:left="460" w:right="18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984,234 shares and a warrant to purchase 21,314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Noriko H. Chen, Bradford F. Freer, Lawrence Kymisis, Kristian Stromsoe, Terrance P. McGuire, Kathryn M. Peters and Dylan J. Yolles are the primary portfolio counselors of CRMC. In such capacity, CRMC may be deemed to beneficially own the shares held by SMALLCAP. CRMC, however, disclaims such beneficial ownership. The address of SMALLCAP is 333 South Hope Street, Los Angeles, California 90071.</w:t>
      </w:r>
    </w:p>
    <w:p>
      <w:pPr>
        <w:spacing w:after="0" w:line="1"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953,753 shares held of record by Versant Venture Capital I, L.P., 17,532 shares held of record by Versant Affiliates Fund I-A, L.P., 51,532 shares held of record by Versant Affiliates Fund I-B, L.P. and 19,869 shares held of record by Versant Side Fund I, L.P., warrants to purchase 36,871 shares held by these funds.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658,152 shares and a warrant to purchase 17,511 shares held of record by Bruce Burrows.</w:t>
      </w:r>
    </w:p>
    <w:p>
      <w:pPr>
        <w:ind w:left="460" w:right="28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374,645 shares and a warrant to purchase 515 shares held of record by Gajus Worthington and Jami A. Worthington as TTEES of the Worthington Family Trust dtd 3-6-07 and options to purchase 108,910 shares of common stock that are exercisable within 60 days of January 11, 2011, of which 97,350 shares are vested as of March 12, 2011.</w:t>
      </w:r>
    </w:p>
    <w:p>
      <w:pPr>
        <w:ind w:left="460" w:right="12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shares described in Note (8) above and options to purchase 9,392 shares of common stock that are exercisable within 60 days of January 11, 2011, of which 9,392 shares are vested as of March 12, 2011, held by Samuel D. Colella and a warrant to purchase 8,257 shares held by the Colella Family Trust.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1" w:lineRule="exact"/>
        <w:rPr>
          <w:rFonts w:ascii="Arial" w:cs="Arial" w:eastAsia="Arial" w:hAnsi="Arial"/>
          <w:sz w:val="14"/>
          <w:szCs w:val="14"/>
          <w:color w:val="auto"/>
        </w:rPr>
      </w:pPr>
    </w:p>
    <w:p>
      <w:pPr>
        <w:ind w:left="460" w:right="4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a warrant to purchase 2,064 shares held by the Vikram and Pratima Jog Family Trust U/A DATED 6/23/2009 of which Mr. Jog is a trustee and options to purchase 109,746 shares of common stock that are exercisable within 60 days of January 11, 2011, of which 81,082 shares are vested as of March 12, 2011.</w:t>
      </w:r>
    </w:p>
    <w:p>
      <w:pPr>
        <w:ind w:left="460" w:hanging="452"/>
        <w:spacing w:after="0"/>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options to purchase 119,981 shares of common stock that are exercisable within 60 days of January 11, 2011, of which 104,668 shares are vested as of March 12, 2011.</w:t>
      </w:r>
    </w:p>
    <w:p>
      <w:pPr>
        <w:spacing w:after="0" w:line="10" w:lineRule="exact"/>
        <w:rPr>
          <w:rFonts w:ascii="Arial" w:cs="Arial" w:eastAsia="Arial" w:hAnsi="Arial"/>
          <w:sz w:val="12"/>
          <w:szCs w:val="12"/>
          <w:color w:val="auto"/>
        </w:rPr>
      </w:pPr>
    </w:p>
    <w:p>
      <w:pPr>
        <w:ind w:left="460" w:hanging="452"/>
        <w:spacing w:after="0"/>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options to purchase 42,422 shares of common stock that are exercisable within 60 days of January 11, 2011, of which 42,422 shares are vested as of March 12, 2011.</w:t>
      </w:r>
    </w:p>
    <w:p>
      <w:pPr>
        <w:spacing w:after="0" w:line="10" w:lineRule="exact"/>
        <w:rPr>
          <w:rFonts w:ascii="Arial" w:cs="Arial" w:eastAsia="Arial" w:hAnsi="Arial"/>
          <w:sz w:val="12"/>
          <w:szCs w:val="12"/>
          <w:color w:val="auto"/>
        </w:rPr>
      </w:pPr>
    </w:p>
    <w:p>
      <w:pPr>
        <w:ind w:left="460" w:right="22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49,545 shares held of record by William M. Smith and options to purchase 144,999 shares of common stock, that are exercisable within 60 days of January 11, 2011, of which 129,179 are vested as of March 12, 2011.</w:t>
      </w:r>
    </w:p>
    <w:p>
      <w:pPr>
        <w:ind w:left="460" w:right="12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shares described in Note (2) above and options to purchase 9,392 shares of common stock that are exercisable within 60 days of January 11, 2011, of which 9,392 shares are vested as of March 12, 2011, held by Raymond J. Whitaker. Raymond J. Whitaker disclaims beneficial ownership of the shares held by EuclidSR Partners, L.P and EuclidSR Biotechnology Partners, L.P., as described in Note (2) above, except to the extent of his pecuniary interest therein.</w:t>
      </w:r>
    </w:p>
    <w:p>
      <w:pPr>
        <w:ind w:left="460" w:hanging="452"/>
        <w:spacing w:after="0" w:line="221"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options to purchase 13,727 shares of common stock that are exercisable within 60 days of January 11, 2011, of which 13,727 are vested as of March 12, 2011.</w:t>
      </w:r>
    </w:p>
    <w:p>
      <w:pPr>
        <w:ind w:left="460" w:right="120" w:hanging="452"/>
        <w:spacing w:after="0" w:line="227"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the shares described in Note (3) above and options to purchase 2,167 shares of common stock that are exercisable within 60 days of January 11, 2011, of which 2,167 shares are vested as of March 12, 2011, held by Jeremy Loh. Jeremy Loh disclaims beneficial ownership of the shares held by Biomedical Sciences Investment Fund Pte Ltd and Singapore Bio-Innovations Pte Ltd, as described in Note (3) above, except to the extent of his pecuniary interest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210,000,000 shares, all with a par value of $0.001 per share, of which:</w:t>
      </w:r>
    </w:p>
    <w:p>
      <w:pPr>
        <w:spacing w:after="0" w:line="51"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11, 2011, we had outstanding 13,417,235 shares of common stock held of record by 270 stockholders, assuming the automatic conversion of all outstanding shares of our preferred stock into 11,480,406 shares of common stock. In addition, as of January 11, 2011, 2,183,537 shares of our common stock were subject to outstanding options and 538,759 shares of our capital stock were subject to outstanding warrants. No options will expire prior to the completion of this offering. For more information on our capitalization, see “Capitalization”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Immediately after the completion of this offering, no shares of preferred stock will be outstanding (assuming the automatic conversion of all outstanding shares of our preferred stock into 11,480,406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7"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January 11, 2011, we had outstanding warrants to purchase an aggregate of 489,984 shares of our preferred stock at exercise prices ranging from $0.02 per share to $24.22 per share. These warrants will expire at various times between March 18, 2012 and January 6, 2021. In the event of a distribution of dividends, a stock split, a reorganization, a reclassification, a consolidation, or a similar event, each warrant provides for adjustment of the exercise price and the number of shares issuable upon exercise.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Issuance of 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January 11, 2011, the holders of an aggregate of 13,042,832 shares of our common stock, which includes 11,480,406 shares of common stock issued on conversion of outstanding preferred stock and 538,759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775,448 shares of common stock entitled to the rights described below, in the section titled “Piggyback Registration Rights.” We refer to these shares collectively as “registrable securities.”</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at any time after this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2" w:lineRule="exact"/>
        <w:rPr>
          <w:sz w:val="20"/>
          <w:szCs w:val="20"/>
          <w:color w:val="auto"/>
        </w:rPr>
      </w:pPr>
    </w:p>
    <w:p>
      <w:pPr>
        <w:ind w:left="780" w:right="10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and bylaws to become effective upon completion of this offering include provisions that:</w:t>
      </w:r>
    </w:p>
    <w:p>
      <w:pPr>
        <w:spacing w:after="0" w:line="113"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78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list our common stock on The NASDAQ Global Market under the symbol “FLDM.”</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Upon the completion of this offering, a total of 18,589,649 shares of common stock will be outstanding, assuming that there are no exercises of options or warrants after January 11, 2011. Of these shares, all 5,172,414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remaining 13,417,235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lock up agreements described below and the provisions of Rules 144 and 701 under the Securities Act, these restricted securities will be available for sale in the public market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Between 90 and 180 days after the date of this prospectus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various times beginning more than 180 days after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13,417,235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In addition, of the 2,183,537 shares of our common stock that were subject to stock options outstanding as of January 11, 2011, options to purchase 1,185,092 shares of common stock were vested as of January 11, 2011 and will be eligible for sale 180 days following the effective date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restrictions of Rule 144 regardless of how long we have been subject to public company reporting requirements.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59" w:lineRule="exact"/>
        <w:rPr>
          <w:sz w:val="20"/>
          <w:szCs w:val="20"/>
          <w:color w:val="auto"/>
        </w:rPr>
      </w:pPr>
    </w:p>
    <w:p>
      <w:pPr>
        <w:ind w:left="460"/>
        <w:spacing w:after="0"/>
        <w:tabs>
          <w:tab w:leader="none" w:pos="760" w:val="left"/>
          <w:tab w:leader="none" w:pos="8100" w:val="left"/>
        </w:tabs>
        <w:rPr>
          <w:sz w:val="20"/>
          <w:szCs w:val="20"/>
          <w:color w:val="auto"/>
        </w:rPr>
      </w:pPr>
      <w:r>
        <w:rPr>
          <w:rFonts w:ascii="Arial" w:cs="Arial" w:eastAsia="Arial" w:hAnsi="Arial"/>
          <w:sz w:val="18"/>
          <w:szCs w:val="18"/>
          <w:color w:val="auto"/>
        </w:rPr>
        <w:t>•</w:t>
        <w:tab/>
        <w:t>1% of the number of shares of common stock then outstanding, which will equal approximately</w:t>
      </w:r>
      <w:r>
        <w:rPr>
          <w:sz w:val="20"/>
          <w:szCs w:val="20"/>
          <w:color w:val="auto"/>
        </w:rPr>
        <w:tab/>
      </w:r>
      <w:r>
        <w:rPr>
          <w:rFonts w:ascii="Arial" w:cs="Arial" w:eastAsia="Arial" w:hAnsi="Arial"/>
          <w:sz w:val="16"/>
          <w:szCs w:val="16"/>
          <w:color w:val="auto"/>
        </w:rPr>
        <w:t>shares immediately after this offering; or</w:t>
      </w:r>
    </w:p>
    <w:p>
      <w:pPr>
        <w:spacing w:after="0" w:line="90" w:lineRule="exact"/>
        <w:rPr>
          <w:sz w:val="20"/>
          <w:szCs w:val="20"/>
          <w:color w:val="auto"/>
        </w:rPr>
      </w:pPr>
    </w:p>
    <w:p>
      <w:pPr>
        <w:ind w:left="780" w:right="16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that 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 Up Agreements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and all of our directors and officers, as well as the other holders of substantially all shares of common stock outstanding immediately prior to this offering, have agreed that, without the prior written consent of the representatives on behalf of the underwriters, we and they will not, during the period ending 180 days after the date of this prospectus:</w:t>
      </w:r>
    </w:p>
    <w:p>
      <w:pPr>
        <w:spacing w:after="0" w:line="59" w:lineRule="exact"/>
        <w:rPr>
          <w:sz w:val="20"/>
          <w:szCs w:val="20"/>
          <w:color w:val="auto"/>
        </w:rPr>
      </w:pPr>
    </w:p>
    <w:p>
      <w:pPr>
        <w:ind w:left="780" w:right="14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40" w:firstLine="456"/>
        <w:spacing w:after="0" w:line="298" w:lineRule="auto"/>
        <w:rPr>
          <w:sz w:val="20"/>
          <w:szCs w:val="20"/>
          <w:color w:val="auto"/>
        </w:rPr>
      </w:pPr>
      <w:r>
        <w:rPr>
          <w:rFonts w:ascii="Arial" w:cs="Arial" w:eastAsia="Arial" w:hAnsi="Arial"/>
          <w:sz w:val="16"/>
          <w:szCs w:val="16"/>
          <w:color w:val="auto"/>
        </w:rPr>
        <w:t>Upon completion of this offering, the holders of 13,042,832 shares of common stock or common stock issuable upon exercise of warrants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AND ESTATE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TO NON-U.S. HOLDERS</w:t>
      </w:r>
    </w:p>
    <w:p>
      <w:pPr>
        <w:spacing w:after="0" w:line="16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is a general discussion of certain material United States federal income and estate tax considerations with respect to the ownership and disposition of shares of our common stock applicable to non-U.S. holders. In general, a “non-U.S. holder” is any holder other than:</w:t>
      </w:r>
    </w:p>
    <w:p>
      <w:pPr>
        <w:spacing w:after="0" w:line="4" w:lineRule="exact"/>
        <w:rPr>
          <w:sz w:val="20"/>
          <w:szCs w:val="20"/>
          <w:color w:val="auto"/>
        </w:rPr>
      </w:pPr>
    </w:p>
    <w:p>
      <w:pPr>
        <w:ind w:left="780" w:hanging="326"/>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United States federal income tax purposes;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62"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banks, thrifts, insurance companies or other financial institutions;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partnerships or other pass-through entities (or entities treated as such for United States federal income tax purposes) or persons that hold shares of our common stock through such entities;</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United States federal income tax;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form citizens or long-term residents of the United States;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partnership or other pass-through entity (or entity treated as such for United States federal income tax purposes)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THIS DISCUSSION IS FOR GENERAL INFORMATION PURPOSES ONLY AND IS NOT TAX ADVICE. 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“—Gain on Sale or Other Disposition of Common Stock”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dividends we pay, if any, to a non-U.S. holder will be subject to United States withholding tax at a rate of 30% of the gross amount.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might not apply or might apply at a reduced rate under the terms of an applicable income tax treaty between the United States and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holder’s country of residence. A non-U.S. holder must demonstrate its entitlement to treaty benefits by certifying, among other things, its nonresident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non-U.S. holder generally can meet this certification requirement by providing an Internal Revenue Service Form W-8BEN or appropriate substitute form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our paying agent. Also, special rules apply if the dividends are effectively connected with a trade or business carried on by the non-U.S. holder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if a treaty applies, are attributable to a permanent establishment of the non-U.S. holder within the United States. Dividends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connected with this United States trade or business, and, if a treaty applies, attributable to such a permanent establishment of a non-U.S. holder, generally will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subject to United States withholding tax if the non-U.S. holder files certain forms, including Internal Revenue Service Form W-8ECI (or any successor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or our paying agent, and generally will be subject to United States federal income tax on a net income basis, in the same manner as if the non-U.S.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 resident of the United States. A non-U.S. holder that is a corporation may be subject to an additional “branch profits tax” at a rate of 30% (or a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as may be specified by an applicable income tax treaty) on the repatriation from the United States of its “effectively connected earnings and profits,”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certain adjustments.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non-U.S. holder of shares of our common stock eligible for a reduced rate of United States withholding tax pursuant to an income tax treaty must provide certification to us or our paying agent prior to the payment of dividends and such certifications must be updated periodically. Non-U.S. holders that do not timely provide us or our paying agent with the required certification, but that qualify for a reduced treaty rate, may obtain a refund of any excess amounts withheld by timely filing an appropriate claim for refund with the Internal Revenue Service. Non-U.S. holders should consult their tax advisors regarding their entitlement to benefits under an applicable income tax treaty.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the discussion below regarding back up withholding, a non-U.S. holder generally will not be subject to United States federal income tax on any gain realized upon the sale or other disposition of the holder’s shares of our common stock unless:</w:t>
      </w:r>
    </w:p>
    <w:p>
      <w:pPr>
        <w:spacing w:after="0" w:line="51" w:lineRule="exact"/>
        <w:rPr>
          <w:sz w:val="20"/>
          <w:szCs w:val="20"/>
          <w:color w:val="auto"/>
        </w:rPr>
      </w:pPr>
    </w:p>
    <w:p>
      <w:pPr>
        <w:ind w:left="780" w:right="20" w:hanging="326"/>
        <w:spacing w:after="0" w:line="294" w:lineRule="auto"/>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the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4" w:lineRule="exact"/>
        <w:rPr>
          <w:rFonts w:ascii="Arial" w:cs="Arial" w:eastAsia="Arial" w:hAnsi="Arial"/>
          <w:sz w:val="16"/>
          <w:szCs w:val="16"/>
          <w:color w:val="auto"/>
        </w:rPr>
      </w:pPr>
    </w:p>
    <w:p>
      <w:pPr>
        <w:ind w:left="780" w:hanging="326"/>
        <w:spacing w:after="0" w:line="323" w:lineRule="auto"/>
        <w:tabs>
          <w:tab w:leader="none" w:pos="7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non-U.S. holder is an individual and is present in the United States for 183 days or more in the taxable year of disposition and certain other tests are met, in which case the non-U.S. holder will be subject to a flat 30% tax (or such lower rate specified by an applicable income tax treaty) on any gain realized upon the sale or other disposition, which tax may be offset by United States source capital losses (even though the individual is not considered a resident of the United States), provided the non-U.S. holder has timely filed United States federal income tax returns with respect to such losses; or</w:t>
      </w:r>
    </w:p>
    <w:p>
      <w:pPr>
        <w:spacing w:after="0" w:line="16" w:lineRule="exact"/>
        <w:rPr>
          <w:rFonts w:ascii="Arial" w:cs="Arial" w:eastAsia="Arial" w:hAnsi="Arial"/>
          <w:sz w:val="15"/>
          <w:szCs w:val="15"/>
          <w:color w:val="auto"/>
        </w:rPr>
      </w:pPr>
    </w:p>
    <w:p>
      <w:pPr>
        <w:ind w:left="780" w:right="20" w:hanging="326"/>
        <w:spacing w:after="0" w:line="288" w:lineRule="auto"/>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Code). Our common stock will be treated as regularly traded on an established securities market during any period in which it is listed on a registered national securities exchange or any over-the-counter market. If gain on the sale or other taxable disposition of our stock were subject to taxation pursuant to this bullet point, the non-U.S. holder would be subject to regular United States federal income tax with respect to such gain in generally the same manner as a United States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Estate Tax</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United States backup withholding tax is imposed (at a current rate of 28%, which rate is scheduled to increase to 31% for payments made on or after January 1, 2011) on certain payments to persons that fail to furnish the information required under the United States information reporting requirements. A non-U.S.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39" w:lineRule="exact"/>
        <w:rPr>
          <w:sz w:val="20"/>
          <w:szCs w:val="20"/>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federal income tax purposes;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non-U.S. person 50% or more of whose gross income from certain periods is effectively connected with a United States trade or business; or</w:t>
      </w:r>
    </w:p>
    <w:p>
      <w:pPr>
        <w:spacing w:after="0" w:line="113" w:lineRule="exact"/>
        <w:rPr>
          <w:rFonts w:ascii="Arial" w:cs="Arial" w:eastAsia="Arial" w:hAnsi="Arial"/>
          <w:sz w:val="16"/>
          <w:szCs w:val="16"/>
          <w:color w:val="auto"/>
        </w:rPr>
      </w:pPr>
    </w:p>
    <w:p>
      <w:pPr>
        <w:ind w:left="780" w:right="140" w:hanging="326"/>
        <w:spacing w:after="0" w:line="332"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non-U.S. partnership if at any time during its tax year (a) one or more of its partners are U.S. persons who, in the aggregate, hold more than 50% of the income or capital interests of the partnership or (b) the non-U.S. partnership is engaged in a U.S. trade or business;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14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 Affecting Taxation of Our Common Stock Held by or Through Foreign Entities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enacted legislation generally will impose a U.S. federal withholding tax of 30% on dividends and the gross proceeds of a disposition of our common stock paid after December 31, 2012 to a “foreign financial institution” (as specially defined under these rules)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and the gross proceeds of a disposition of our common stock paid after December 31, 2012 to a non-financial foreign entity unless such entity provides the withholding agent with a certification identifying the direct and indirect U.S. owners of the entity.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and Piper Jaffray &amp; Co., have severally agreed to purchase from us the following respective numbers of shares of common stock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4032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Leerink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6985</wp:posOffset>
            </wp:positionV>
            <wp:extent cx="4032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have been advised by the representatives of the underwriters that the underwriters propose to offer the shares of common stock to the public at the</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public offering price set forth on the cover of this prospectus and to dealers at a price that represents a concession not in excess of $ per share under the public offering price. The underwriters may allow, and these dealers may re-allow, a concession of not more than $ per share to other dealers. After the initial public offering, representatives of the underwriters, may change the offering price and other selling terms.</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775,862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of the initial public offering price. We have agreed to pay the underwriters the following discounts and commissions, assuming either no exercise or full exercise by the underwriters of the underwriters’ over-allotment option: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3"/>
          </w:tcPr>
          <w:p>
            <w:pPr>
              <w:ind w:left="300"/>
              <w:spacing w:after="0"/>
              <w:rPr>
                <w:sz w:val="20"/>
                <w:szCs w:val="20"/>
                <w:color w:val="auto"/>
              </w:rPr>
            </w:pPr>
            <w:r>
              <w:rPr>
                <w:rFonts w:ascii="Arial" w:cs="Arial" w:eastAsia="Arial" w:hAnsi="Arial"/>
                <w:sz w:val="14"/>
                <w:szCs w:val="14"/>
                <w:b w:val="1"/>
                <w:bCs w:val="1"/>
                <w:color w:val="auto"/>
              </w:rPr>
              <w:t>Total Fees</w:t>
            </w:r>
          </w:p>
        </w:tc>
      </w:tr>
      <w:tr>
        <w:trPr>
          <w:trHeight w:val="129"/>
        </w:trPr>
        <w:tc>
          <w:tcPr>
            <w:tcW w:w="4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Without Exercise of</w:t>
            </w:r>
          </w:p>
        </w:tc>
        <w:tc>
          <w:tcPr>
            <w:tcW w:w="1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With Full Exercise of</w:t>
            </w:r>
          </w:p>
        </w:tc>
        <w:tc>
          <w:tcPr>
            <w:tcW w:w="10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Fee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Over-</w:t>
            </w:r>
          </w:p>
        </w:tc>
        <w:tc>
          <w:tcPr>
            <w:tcW w:w="1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Share</w:t>
            </w:r>
          </w:p>
        </w:tc>
        <w:tc>
          <w:tcPr>
            <w:tcW w:w="1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Allotment Option</w:t>
            </w:r>
          </w:p>
        </w:tc>
        <w:tc>
          <w:tcPr>
            <w:tcW w:w="1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 Option</w:t>
            </w:r>
          </w:p>
        </w:tc>
        <w:tc>
          <w:tcPr>
            <w:tcW w:w="10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22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$2,250,000.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2011, entities related to Leerink Swann LLC purchased from us promissory notes with an aggregate principal amount of $21,976 and warrants to purchase 453 shares of our Series E-1 preferred stock exercisable at $0.02 per share. A portion of the proceeds from this offering will be used to repay the principal of these promissory notes plus accrued interest at a rate equal to 8% per annum. The promissory notes and the warrants purchased by the Leerink Swann entities may be deemed additional underwriting compensation under applicable rules of the Financial Industry Regulatory Authority or “FINRA”.</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of our officers, directors, stockholders and holders of our options and warrants have agreed not to offer, sell, contract to sell, grant any option to purchase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the representatives of the underwriters. This consent may be given at any time without public notice. Transfers can be made during the lock-up period in the case of:</w:t>
      </w:r>
    </w:p>
    <w:p>
      <w:pPr>
        <w:spacing w:after="0" w:line="39" w:lineRule="exact"/>
        <w:rPr>
          <w:sz w:val="20"/>
          <w:szCs w:val="20"/>
          <w:color w:val="auto"/>
        </w:rPr>
      </w:pPr>
    </w:p>
    <w:p>
      <w:pPr>
        <w:ind w:left="780" w:right="100" w:hanging="326"/>
        <w:spacing w:after="0" w:line="259"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transfers of shares of common stock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as a bona fide gift;</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by will or intestacy to the transferor’s immediate family or to a trust, the beneficiaries of which are the transferor and the transferor’s immediate family;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of shares of common stock or our other securities to limited partners, members or shareholders of the transferor, or</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provided that such plan does not provide for the transfer of common stock during the restricted period.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in the case of a transfer pursuant to the second, third and fourth bullets above, the transfer will not be permitted unless the transferee signs a lock-up agreement and no filing under Section 16(a) of the Exchange Act shall be required or shall be voluntarily made by the transferor in connection with such transfers. We have entered into a similar agreement with the representatives of the underwriters, except that without such consent, we may issue shares of common stock and grant options pursuant to our employee benefit plans, provided that each recipient of such shares or options signs a lock-up agreement, and file a registration statement on Form S-8 for the registration of shares issued pursuant to our employee benefit plans.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agreements between the representatives and any of our stockholders or affiliates releasing them from these lock-up agreements prior to the expiration of the 180-day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Global Market, in the over-the-counter market or otherwise.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October 2007 through January 2011, entities related to Leerink Swann LLC purchased from us in the aggregate 24,418 shares of our Series E preferred stock, promissory notes with an aggregate principal amount of $47,599, and warrants to purchase 453 shares of our Series E-1 preferred stock. One or more of the underwriters may in the future provide investment banking services to us for which they would receive customary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59" w:lineRule="exact"/>
        <w:rPr>
          <w:sz w:val="20"/>
          <w:szCs w:val="20"/>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results of operations in recent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an offer of the shares to the public may not be made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the Relevant Member State:</w:t>
      </w:r>
    </w:p>
    <w:p>
      <w:pPr>
        <w:spacing w:after="0" w:line="147" w:lineRule="exact"/>
        <w:rPr>
          <w:sz w:val="20"/>
          <w:szCs w:val="20"/>
          <w:color w:val="auto"/>
        </w:rPr>
      </w:pPr>
    </w:p>
    <w:p>
      <w:pPr>
        <w:ind w:right="280" w:firstLine="464"/>
        <w:spacing w:after="0" w:line="268"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 or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provided that no such offer of shares shall result in a requirement for the publication by us or any underwriter of a prospectus pursuant to Article 3 of the Prospectus Directive.</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underwriter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from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28,280 shares of our common stock.</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27, 2008 and December 31, 2009, and for each of the three fiscal years in the period ended December 31, 2009, as set forth in their report, which contains an explanatory paragraph describing conditions that raise substantial doubt about our ability to continue as a going concern as described in Note 1 of the notes to our consolidated financial statements included elsewhere in this prospectus. We have included our consolidated financial statements in the prospectus and elsewhere in the registration statement in reliance on Ernst &amp; Young LLP’s report, given on their authority as experts in accounting and auditing.</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Washington, D.C. 20549.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site is http://www.sec.gov.</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1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Consolidated Balance Sheets</w:t>
              </w:r>
            </w:hyperlink>
          </w:p>
        </w:tc>
        <w:tc>
          <w:tcPr>
            <w:tcW w:w="68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Consolidated Statements of Operations</w:t>
              </w:r>
            </w:hyperlink>
          </w:p>
        </w:tc>
        <w:tc>
          <w:tcPr>
            <w:tcW w:w="81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Convertible Preferred Stock and Stockholders’ Deficit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Cash Flows</w:t>
              </w:r>
            </w:hyperlink>
          </w:p>
        </w:tc>
        <w:tc>
          <w:tcPr>
            <w:tcW w:w="51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88">
              <w:r>
                <w:rPr>
                  <w:rFonts w:ascii="Arial" w:cs="Arial" w:eastAsia="Arial" w:hAnsi="Arial"/>
                  <w:sz w:val="18"/>
                  <w:szCs w:val="18"/>
                  <w:color w:val="0000EE"/>
                  <w:w w:val="86"/>
                </w:rPr>
                <w:t>Interim Condensed Consolidated Balance Sheets</w:t>
              </w:r>
            </w:hyperlink>
          </w:p>
        </w:tc>
        <w:tc>
          <w:tcPr>
            <w:tcW w:w="75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F-41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9">
              <w:r>
                <w:rPr>
                  <w:rFonts w:ascii="Arial" w:cs="Arial" w:eastAsia="Arial" w:hAnsi="Arial"/>
                  <w:sz w:val="18"/>
                  <w:szCs w:val="18"/>
                  <w:color w:val="0000EE"/>
                  <w:w w:val="87"/>
                </w:rPr>
                <w:t>Interim Condensed Consolidated Statements of Operations</w:t>
              </w:r>
            </w:hyperlink>
          </w:p>
        </w:tc>
        <w:tc>
          <w:tcPr>
            <w:tcW w:w="68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0">
              <w:r>
                <w:rPr>
                  <w:rFonts w:ascii="Arial" w:cs="Arial" w:eastAsia="Arial" w:hAnsi="Arial"/>
                  <w:sz w:val="18"/>
                  <w:szCs w:val="18"/>
                  <w:color w:val="0000EE"/>
                  <w:w w:val="87"/>
                </w:rPr>
                <w:t>Interim Condensed Consolidated Statements of Cash Flows</w:t>
              </w:r>
            </w:hyperlink>
          </w:p>
        </w:tc>
        <w:tc>
          <w:tcPr>
            <w:tcW w:w="67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F-43</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Notes to Interim Condensed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F-44</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8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Fluidigm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Fluidigm Corporation as of December 27, 2008 and December 31, 2009, and the related consolidated statements of operations, convertible preferred stock and stockholders’ deficit, and cash flows for each of the three fiscal years in the period ended December 31,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Fluidigm Corporation at December 27, 2008 and December 31, 2009, and the consolidated results of its operations and its cash flows for each of the three fiscal years in the period ended December 31, 2009, in conformity with U.S. generally accepted accounting principles.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financial statements have been prepared assuming that Fluidigm Corporation will continue as a going concern. As more fully described in Note 1 to the financial statements, the Company’s recurring losses, operating cash flow deficiencies, and total stockholders’ deficit raise substantial doubt about its ability to continue as a going concern. Management’s plans in regard to these matters also are described in Note 1. The December 31, 2009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 2010,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for the last paragraph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Note 1, as to which the</w:t>
      </w:r>
    </w:p>
    <w:p>
      <w:pPr>
        <w:spacing w:after="0" w:line="9"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date is January</w:t>
      </w:r>
      <w:r>
        <w:rPr>
          <w:sz w:val="20"/>
          <w:szCs w:val="20"/>
          <w:color w:val="auto"/>
        </w:rPr>
        <w:tab/>
      </w:r>
      <w:r>
        <w:rPr>
          <w:rFonts w:ascii="Arial" w:cs="Arial" w:eastAsia="Arial" w:hAnsi="Arial"/>
          <w:sz w:val="15"/>
          <w:szCs w:val="15"/>
          <w:color w:val="auto"/>
        </w:rPr>
        <w:t>, 2011</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foregoing report is in the form that will be signed upon completion of the restatement of the capital accounts described in the last paragraph of Note 1 to the consolidated financial statements.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$0 and $103 at December 27, 2008 and December 31, 2009,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b w:val="1"/>
                <w:bCs w:val="1"/>
                <w:color w:val="auto"/>
              </w:rPr>
              <w:t>AND STOCKHOLDERS’ DEFICIT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980" w:type="dxa"/>
            <w:vAlign w:val="bottom"/>
            <w:gridSpan w:val="2"/>
          </w:tcPr>
          <w:p>
            <w:pPr>
              <w:spacing w:after="0"/>
              <w:rPr>
                <w:sz w:val="20"/>
                <w:szCs w:val="20"/>
                <w:color w:val="auto"/>
              </w:rPr>
            </w:pPr>
            <w:r>
              <w:rPr>
                <w:rFonts w:ascii="Arial" w:cs="Arial" w:eastAsia="Arial" w:hAnsi="Arial"/>
                <w:sz w:val="18"/>
                <w:szCs w:val="18"/>
                <w:color w:val="auto"/>
                <w:w w:val="96"/>
              </w:rPr>
              <w:t>Convertible preferred stock issuable in series: $0.001 par value, 11,117 shares authorized, 9,610 and 10,239 shares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issued and outstanding as of December 27, 2008 and December 31, 2009, respectively; aggregate liquidation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preference of $188,246 as of December 31, 2009</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167,538</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183,845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16,465 shares authorized, 1,676 and 1,862 shares issued and outstanding 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December 27, 2008 and December 31, 2009, 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(163,297)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(182,425)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(158,339)</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32,354</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13,364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w w:val="95"/>
              </w:rPr>
              <w:t>Grant revenue (includes grant revenue from related party of $1,758, $1,654 and $1,522 for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w w:val="94"/>
              </w:rPr>
              <w:t>years ended December 29, 2007, December 27, 2008 and December 31, 2009,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8,364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14,015</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44,890</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(23,526)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(29,543)</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Interest expense (includes related party interest expense of $1,286, $417 and $367 for the years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ended December 29, 2007, December 27, 2008 and December 31, 2009, respectively)</w:t>
            </w: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(25,346)</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(29,646)</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(25,451)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(29,499)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in computing pro forma net loss per share available to common stockholders, basic and</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diluted (unaudited)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Convertible</w:t>
            </w: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7,148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$ 112,295</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(108,272)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(106,172)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principle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Issuance of common stock upon exercise of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options for cash and for vesting of stock options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that were exercised early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Issuance of Series E convertible preferred stock for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3"/>
              </w:rPr>
              <w:t>cash at $24.22 per share, net of issuance costs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of $1,189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35,911</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Issuance of Series D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upon conversion of promissory note at $16.95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4"/>
              </w:rPr>
              <w:t>upon conversion of promissory notes at $21.80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10,636</w:t>
            </w: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Beneficial conversion feature for convertible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860"/>
              <w:spacing w:after="0"/>
              <w:rPr>
                <w:sz w:val="20"/>
                <w:szCs w:val="20"/>
                <w:color w:val="auto"/>
              </w:rPr>
            </w:pPr>
            <w:r>
              <w:rPr>
                <w:rFonts w:ascii="Arial" w:cs="Arial" w:eastAsia="Arial" w:hAnsi="Arial"/>
                <w:sz w:val="18"/>
                <w:szCs w:val="18"/>
                <w:color w:val="auto"/>
              </w:rPr>
              <w:t>Unrealized loss on available-for-sale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106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(25,569)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9,359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$162,082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(133,798)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Convertible</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80" w:type="dxa"/>
            <w:vAlign w:val="bottom"/>
            <w:gridSpan w:val="4"/>
          </w:tcPr>
          <w:p>
            <w:pPr>
              <w:jc w:val="right"/>
              <w:ind w:right="155"/>
              <w:spacing w:after="0" w:line="149" w:lineRule="exact"/>
              <w:rPr>
                <w:sz w:val="20"/>
                <w:szCs w:val="20"/>
                <w:color w:val="auto"/>
              </w:rPr>
            </w:pPr>
            <w:r>
              <w:rPr>
                <w:rFonts w:ascii="Arial" w:cs="Arial" w:eastAsia="Arial" w:hAnsi="Arial"/>
                <w:sz w:val="14"/>
                <w:szCs w:val="14"/>
                <w:b w:val="1"/>
                <w:bCs w:val="1"/>
                <w:color w:val="auto"/>
              </w:rPr>
              <w:t>Preferred Stock</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vMerge w:val="restart"/>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vMerge w:val="restart"/>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9,359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$162,082</w:t>
            </w:r>
          </w:p>
        </w:tc>
        <w:tc>
          <w:tcPr>
            <w:tcW w:w="36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(133,798)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(130,331)</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3"/>
              </w:rPr>
              <w:t>Issuance of common stock upon exercise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rPr>
              <w:t>options for cash and for vesting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rPr>
              <w:t>Repurchase of common stock in exchange for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payment of related-party note receivable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notes at $21.80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2"/>
              </w:rPr>
              <w:t>Issuance of Series C convertible preferred stock at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w w:val="98"/>
              </w:rPr>
              <w:t>$13.20 per share upon net-share exercise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warrants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available-for-sale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(29,499)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Balance as of December 27, 2008</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$167,538</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1,676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(163,297)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8"/>
                <w:szCs w:val="18"/>
                <w:color w:val="auto"/>
                <w:w w:val="96"/>
              </w:rPr>
              <w:t>F-6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0" w:type="dxa"/>
            <w:vAlign w:val="bottom"/>
            <w:tcBorders>
              <w:right w:val="single" w:sz="8" w:color="auto"/>
            </w:tcBorders>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$167,538</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1,676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3"/>
              </w:rPr>
              <w:t>stock options for cash and for vesting of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common stock upon conversion of</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1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5"/>
              </w:rPr>
              <w:t>for cash at $24.22 per share, net of issuance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costs of $90</w:t>
            </w: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 at $24.22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net of issuance costs of $157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10,239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183,845</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9,308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(25,451)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(29,499)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1,643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Loss (gain) from changes in the fair value of convertible preferred stock warrants, net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495</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470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services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(3,278)</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(2,460)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(1,552)</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1,104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1,537</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1,618</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(1,690)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1,294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(21,759)</w:t>
            </w: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(28,720)</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(973)</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(910)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(6,286)</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(4,511)</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securities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3,032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Maturities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7,765</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(6,740)</w:t>
            </w:r>
          </w:p>
        </w:tc>
        <w:tc>
          <w:tcPr>
            <w:tcW w:w="16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6,001</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35,911</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Repayment of long-term debt</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(3,503)</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(3,855)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37,555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9,059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(16,281)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Cash and cash equivalents as of beginning of year</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25,018</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34,077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as of end of year</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34,077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17,796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14,602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1,483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13,876</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5,414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investment received in exchange for technology license</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Issuance of preferred stock warrants in connection with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484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preferred stock warrants in connection with convertible promissory notes</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December 31, 2009, the Company had a total stockholders’ deficit of $182.4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 reduce marketing, customer support or other resources devoted to its products or cease operations. Any of these factors could harm the Company’s operating results.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disclosed in the last paragraph of Note 1, the Company has evaluated subsequent events after the balance sheet date of December 31, 2009 through December 3, 2010, the date the consolidated financial statements were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00"/>
          </w:cols>
          <w:pgMar w:left="24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January 2011, the Company’s board of directors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 Subject to stockholder approval, the reverse stock split will be effected prior to the effectiveness of a registration statement relating to the initial public offering of the Company’s common stock.</w:t>
      </w:r>
    </w:p>
    <w:p>
      <w:pPr>
        <w:spacing w:after="0" w:line="195" w:lineRule="exact"/>
        <w:rPr>
          <w:sz w:val="20"/>
          <w:szCs w:val="20"/>
          <w:color w:val="auto"/>
        </w:rPr>
      </w:pPr>
    </w:p>
    <w:p>
      <w:pPr>
        <w:ind w:right="7760" w:firstLine="8"/>
        <w:spacing w:after="0" w:line="417" w:lineRule="auto"/>
        <w:tabs>
          <w:tab w:leader="none" w:pos="307"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and include the accounts of the Company and its wholly-owned subsidiaries. The Company has wholly-owned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2007 and 2008 fiscal years were based on a 52- or 53-week convention for its fiscal years and, therefore, the 2007 fiscal year ended on December 29, 2007 (2007) and the 2008 fiscal year ended on December 27, 2008 (2008). During 2009, the Company adopted the calendar year as its fiscal year and, accordingly, the 2009 fiscal year ended on December 31, 2009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at the balance sheet date with the resulting translation adjustments recorded in a separate component of accumulated other comprehensive loss within stockholders’ deficit. Income and expense accounts are translated at average exchange rates during the year. Net losses from foreign currency translation adjustments were $107,000 and $433,000 during 2007 and 2008, respectively. During 2009, net gain from foreign currency translation adjustment was $52,000. Foreign currency transaction gains and losses are recognized in other income (expense), net in the accompanying consolidated statements of operations. The Company had net foreign currency transaction gains of $72,000 and $386,000 during 2007 and 2008, respectively, and net foreign currency transaction losses of $89,000 during 2009.</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Available-for-sale securities are comprised of corporate notes and notes from government-sponsored agencies. Investments classified as “available-for-sale” are recorded at estimated fair value, as determined by quoted market rates, in the accompanying consolidated balance sheets, with any unrealized gains and losses reported in stockholders’ deficit as a component of accumulated other comprehensive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restricted cash balances of $256,000 as of December 27, 2008 and December 31, 2009. Included in restricted cash are amounts that collateralize the Company’s standby letters of credit issued under operating lease agreements for its office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30, 2007</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Fair value as of December 27, 2008</w:t>
            </w: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2009</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of convertible preferred stock warrants is discussed in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collectability is no longer reasonably assured based on historical experience and specific customer collection issues. The Company evaluates such reserves on a regular basis and adjusts its reserves as needed. At December 31, 2009, the Company had reserves for accounts receivable of $103,000. Reserves for accounts receivable were not significant at December 27,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may consist of deposits held with banks, commercial paper, money market funds, and other highly liquid investments that may at times exceed federally insured limits. The Company performs periodic evaluations of its investments and the relative credit standing of these financial institutions and limits the amount of credit exposure with any one institution.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does not require collateral to support credit sales. To reduce credit risk, the Company performs periodic credit evaluations of its customers. Revenue from one customer was 24% and 11% of total revenues for 2007 and 2008, respectively. No customer was greater than 10% of total revenues for 2009.</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Inventories are stated at the lower of cost (which approximates actual cost on a first-in, first-out method) or market. Inventories include raw materials, work-in-process, and finished goods that may also be used for research and development; such items are expensed when they are designated for use in research and development. Provisions, when required, for slow-moving, excess, and obsolete inventories are recorded to reduce inventory values from cost to their estimated net realizable values, based on product life cycle, development plans, product expiration, and quality issues.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The Company did not have any impairment of long 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not significant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generates revenue from sales of its products, research and development contracts, collaboration agreements and government grants. The Company’s products consist of instruments and consumables, including chips and reagents, related to its microfluidic systems. Product revenue includes services for instrument installation, training, and customer support services. The Company has also entered into collaboration, and research and development contracts and has received government grants to conduct research and development activities.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collectability is reasonably assured. The Company assesses collectability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terms.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the Company’s sales contracts involve the delivery or performance of multiple products and services within contractually binding arrangements. Significant judgment is sometimes required to determine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The Company does not sell software separately; however, the Company offers post-contract software support services for certain of its instruments containing software that is more than incidental to the functionality of the instruments. If an arrangement includes chips and instruments, the Company separates chip revenues from software related deliverables.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third quarter of 2009, the Company began shipping instruments in fully assembled and calibrated form and concluded that installation was no longer essential to their functionality. As a result, beginning in the fourth quarter of 2009, the Company began recognizing instrument revenues upon delivery assuming all other applicable revenue recognition criteria have been satisfied. Previously, instrument revenue was recognized upon installation assuming all other applicable revenue recognition criteria have been satisfied.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third quarter of 2008, the Company established fair value for post-contract software support related to its BioMark instrument. As a result, beginning in the third quarter of 2008, the Company recognized revenue for the fair value of a BioMark instrument upon installation. Previously, revenue from BioMark instruments was deferred and recognized ratably over the post-contract support period. The corresponding costs of products related to multiple element revenue arrangements are recognized consistent with the related revenue recognition.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evaluates whether a delivered element has value on a stand-alone basis prior to delivery of the remaining elements by determining whether separate sales of such undelivered elements exist or whether the undelivered elements are essential to the functionality of the delivered elements. The Company recognizes revenue for delivered elements only when the fair values of undelivered elements are known. The Company evaluates whether there is vendor-specific objective evidence, or VSOE, of fair value of the undelivered elements, determined by reference to stand-alone sales of such items. If the fair value of any undelivered element related to instruments and software included in a multiple element arrangement cannot be objectively determined, revenue will be deferred until all elements are delivered, or until fair value can objectively be determined for any remaining undelivered elements.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Company’s products are sold without the right of return. Accruals are provided for estimated warranty expenses at the time the associated revenue is recognized. Amounts received in advance of when revenue recognition criteria are met are classified as deferred revenue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including government entities that generally provide the Company with up-front and periodic milestone fees or fees based on agreed-upon rates for time incurred by the Company’s research staff. Upfront fees are generally recognized over the term of the agreement; milestone fees are generally recognized when the milestones are achieved; and fees based on agreed upon rates for time incurred by the Company’s research staff are recognized as time is incurred. The Company evaluates whether these arrangements contain multiple units of accounting by evaluating whether delivered elements have value on a stand-alone basis and whether there is objective and reliable evidence of fair value of the undelivered items. During 2007 and 2008, the Company concluded that these arrangements consisted of a single unit of accounting, namely, research and development services. Accordingly, the Company recognizes fees received under such arrangements over the period services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performed. Costs associated with research and development agreements are included in research and development expenses in the consolidated statements of operations. During 2009, there were no such arrangements.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$701,000, $1,117,000 and $747,000 during 2007, 2008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recognizes the financial statement effects of a tax position when it is more likely than not, based on the technical merits, that the position will be sustained upon examination. On January 1, 2007, the Company adopted new accounting guidance related to uncertain tax positions that resulted in a charge of $75,000 as a cumulative effect of a change in accounting principle in accumulated deficit. Any interest and penalties related to uncertain tax positions will be reflected in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adopted the fair value method of accounting for stock options granted to employees beginning January 1, 2006 using the prospective-transition method. Under the prospective-transition method,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 applies the intrinsic value method to employee equity awards outstanding at the date of the Company’s adoption of the fair value method. Any compensation costs recognized consist of: (a) compensation cost for all stock-based awards granted prior to, but not vested, as of December 31, 2005 based on the intrinsic value method and (b) compensation cost for all stock-based awards granted or modified subsequent to December 31, 2005, net of estimated forfeitures, based on the grant date fair value.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stock options issued to non-employees based on the fair value of the awards. The non-employee options are subject to periodic reevaluation over their vesting term with changes in fair value recognized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includes unrealized gains and losses on the Company’s available-for-sale securities and foreign currency translation adjustments. Total comprehensive loss for all periods presented has been disclosed in the consolidated statements of convertible preferred stock and stockholders’ deficit.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r>
      <w:tr>
        <w:trPr>
          <w:trHeight w:val="27"/>
        </w:trPr>
        <w:tc>
          <w:tcPr>
            <w:tcW w:w="5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Freestanding warrants to purchase the Company’s convertible preferred stock are valued at fair value and classified as liabilities in the consolidated balance sheets and are carried at fair value because the warrants may conditionally obligate the Company to transfer assets at some point in the future. The warrants are subject to remeasurement at each balance sheet date and any change in fair value is recognized in the consolidated statements of operations. The Company will continue to adjust this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of Common Stock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shares subject to repurchase rights related to stock options that were exercised prior to vesting, as such shares are not deemed to be issued for accounting purposes until the related stock options vest. The diluted net loss per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of common stock is computed by dividing the net loss by the weighted-average number of potential common shares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periods presented because including them would have been anti-dilutive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27,</w:t>
            </w:r>
          </w:p>
        </w:tc>
        <w:tc>
          <w:tcPr>
            <w:tcW w:w="8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320" w:type="dxa"/>
            <w:vAlign w:val="bottom"/>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1,228</w:t>
            </w: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7320" w:type="dxa"/>
            <w:vAlign w:val="bottom"/>
          </w:tcPr>
          <w:p>
            <w:pPr>
              <w:ind w:left="554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 of Common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2010, the Company’s board of directors authorized the filing of a registration statement with the Securities and Exchange Commission (SEC) for the Company to sell shares of common stock to the public. Pro forma basic and diluted net loss per share of common stock have been computed in contemplation of the completion of this offering and give effect to the conversion of all the Company’s outstanding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loss per share (unaudited, in thousands, except per share amounts):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Net loss used in computing pro forma net loss per share available to common stockholders, basic and diluted</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Shares used in computing pro forma net loss per share available to common stockholders, basic and diluted</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2011, the Company’s board of directors approved a change in the conversion price of the Company’s Series E convertible preferred stock such that the holders of Series E stock will receive approximately 2,000,000 more shares of common stock upon conversion. During 2011, the Company will account for the increase as a non-cash deemed dividend of approximately $9,900,000 based on the fair value of the Company’s common stock at the time of the change in conversion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September 2009, the FASB ratified authoritative accounting guidance regarding revenue recognition for arrangements with multiple deliverables.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The guidance is effective for annual periods beginning January 1, 2011, with early adoption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permitted. The Company is currently evaluating the impact of this guidance on its consolidated financial statements.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The guidance is effective for annual periods beginning January 1, 2011, with early adoption permitted. This guidance must be adopted in the same period an entity adopts the amended guidance for revenue arrangements with multiple deliverables guidance described in the preceding paragraph. The Company is currently evaluating the impact of this guidance on its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The milestone method of revenue recognition is effective for fiscal years beginning on or after June 15, 2010 and early adoption is permitted. The Company is currently evaluating the impact of this guidance on its consolidated financial statements.</w:t>
      </w:r>
    </w:p>
    <w:p>
      <w:pPr>
        <w:spacing w:after="0" w:line="195" w:lineRule="exact"/>
        <w:rPr>
          <w:sz w:val="20"/>
          <w:szCs w:val="20"/>
          <w:color w:val="auto"/>
        </w:rPr>
      </w:pPr>
    </w:p>
    <w:p>
      <w:pPr>
        <w:ind w:right="6440" w:firstLine="8"/>
        <w:spacing w:after="0" w:line="347" w:lineRule="auto"/>
        <w:tabs>
          <w:tab w:leader="none" w:pos="30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The Company may, in its sole discretion, cancel the license agreement with 30-days notice; otherwise, the license terminates at the end of the life of the last licensed patent to expire. Under the terms of the agreement, the Company is obligated to issue up to $2,100,000 in value of shares of the Company’s common or convertible preferred stock if the Company achieves certain milestones. As a result of achieving one of these milestones during 2006, the Company issued 35,389 shares of Series D convertible preferred stock valued at $16.95 per share for an aggregate value of $597,000, net of issuance costs, and recorded this amount as research and development expense. The milestones required to issue the remaining $1,503,000 of shares of the convertible preferred stock due under the agreement have not been achieved as of December 31, 2009.</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During 2003, the Company also entered into a separate research sponsorship agreement under which the Company agreed to pay a total of $900,000 over five years in 20 quarterly installments of $45,000 each to sponsor certain research. These quarterly payments were recorded as research and development expenses. As of December 27, 2008, the entire $900,000 has been paid and the agreement terminated in fiscal 2008 following payment of the final installment.</w:t>
      </w:r>
    </w:p>
    <w:p>
      <w:pPr>
        <w:spacing w:after="0" w:line="88"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In December 2003, the Company entered into a license agreement to obtain a nonexclusive worldwide license for certain technology regarding submicroliter protein crystallization. The Company may, in its sole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60" w:right="3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discretion, cancel the agreement with 30-days notice; otherwise, the license terminates at the end of the life of the last licensed patent to expire. Pursuant to the agreement, the Company made payments for nonrefundable license fees, each in the amount of $250,000, in January 2006 and January 2007. Also pursuant to this agreement, the Company began making quarterly payments in the amount of $25,000 starting in the first quarter of 2007. These quarterly payments, which we have made through December 31, 2009 and which are scheduled to continue until the agreement is terminated, could increase in future periods if the Company meets certain sales volumes. The nonrefundable license fee and quarterly payments were recorded as research and development expense.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2009, the Company entered into an agreement to grant a sub-license to certain intellectual property previously licensed by the Company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third party (Licensor). As consideration, the Company received shares of the sub-licensee’s preferred stock (Investment), with an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$1,676,000. The Investment is accounted for under the cost method of accounting. The Company based its estimate of the fair value of the investment on a variety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factors including the sale of similar securities by the sub-licensee, with appropriate consideration taken for differences in liquidation preference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the sub-licensee’s capital structure, and the Company’s expectations about the performance and future operations of the sub-licensee.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Concurrently, the sub-licensee purchased 310,000 shares of the Company’s convertible Series E convertible preferred stock (Series E stock) for cash of $24.22 per share for total cash proceeds of $7,500,000, which represented a premium of $466,000 over the then fair value of the Company’s Series E stock. The fair value of the Company’s Series E stock was determined based on comparable sales of such shares. Since the Company’s Series E stock was sold as part of a multiple element arrangement for which the fair value of the sub-license was not known, the value of the Company’s preferred stock and the value of the Investment were determined to be the most reliable measures of fair value for the exchanged assets. As a result, during the fourth quarter of 2009 the Company recognized other income of $2,142,000 representing the fair value of the Investment and the premium on the sale of the Series E stock.</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agreement with the Licensor, the Company transferred 20% of its Investment to the Licensor and recorded the estimated fair value of the transferred shares, or $335,000 as other expense. At December 31, 2009, the carrying value of the Investment was $1,340,000, and is included in other assets in the Company’s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Agreements</w:t>
      </w:r>
    </w:p>
    <w:p>
      <w:pPr>
        <w:spacing w:after="0" w:line="9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June 2005, the Company entered into an agreement to develop an application area of interest. Under the agreement, the Company performed research and development services and manufactured prototype instruments. The agreement provided for total payments to the Company of $942,000, to be paid in installments over the 30-month life of the agreement. The Company determined that the research and development services and the manufacturing of prototype instruments should be accounted for as a combined unit of accounting, and revenue was recognized ratably over the estimated project period. The Company recognized revenue of $377,000 and $89,000 related to this agreement during 2007 and 2008, respectively. The agreement terminated during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April 2009, the Company was awarded a grant from the California Institute for Regenerative Medicine in the amount of $750,000 to be earned over a two-year period. Under the grant, the Company designs and develops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prototype microfluidic systems for use in stem cell research. The agreement provides for quarterly payments in the amount of $97,000 during the first year beginning on April 1, 2009 and quarterly payments of $90,000 during the second year. The grant revenue is recognized as the related research and development services are performed, and costs associated with this grant were reported as research and development expense during the period incurred. During 2009, the Company recognized grant revenue of $291,000 related to this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2006, the Company was awarded a government grant from the National Institutes of Health (NIH) in the amount of $1,048,000 to be earned over a two-year period. Under the grant, the Company performed research and development activities to design a diffraction capable screening chip. The agreement provided for quarterly reimbursement of the eligible research and development expenses including salaries, equipment, scientific consumables, and certain third-party costs. The grant revenue was recognized as the related services were performed and costs associated with this grant were reported as research and development expense in the period incurred. The Company recognized revenue of $606,000 and $258,000 during 2007 and 2008, respectively, under this grant. This agreement terminated in June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US$7.1 million using the December 31, 2009 exchange rate) in grants from the Singapore Economic Development Board (EDB). The grants were payable for the period August 1, 2005 through July 31, 2010 in connection with the establishment and operation by Fluidigm Singapore, a wholly owned subsidiary of the Company, of a research, development and manufacturing center for chips in Singapore. Grant payments were calculated as a portion of qualifying expenses incurred in Singapore relating to salaries, overhead, outsourcing and subcontracting expenses, operating expenses and royalties paid. Fluidigm Singapore was required to submit incentive payment requests for qualifying expenditures on a quarterly basis along with reports regarding its compliance with the incentive payment conditions, as described below, through the end of the applicable quarter.</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US$2.6 million using the December 31, 2009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Fluidigm Singapore’s continued eligibility for such grants is subject to its compliance with the following conditions: increasing levels of research; its development and manufacturing activity in Singapore,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the Company’s business strategy for its Singapore operations. All ownership rights in the intellectual property developed by Fluidigm in Singapore remain with Fluidigm Singapore, and no such rights are conveyed to EDB under the agreements.</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2009.</w:t>
      </w:r>
    </w:p>
    <w:p>
      <w:pPr>
        <w:spacing w:after="0" w:line="14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Company recognized revenue of $1,758,000, $1,654,000 and $1,522,000 related to EDB grants during 2007, 2008 and 2009, respectively. As of December 27, 2008 and December 31, 2009, the Company had deferred revenue of $378,000 and $144,000, respectively, related to incentive payments for equipment expenditures, which is being recognized ratably over the estimated useful life of the equipment of four years. As of December 27, 2008 and December 31, 2009, the Company had accounts receivable from EDB in the amounts of $328,000 and $666,000, respectively.</w:t>
      </w:r>
    </w:p>
    <w:p>
      <w:pPr>
        <w:spacing w:after="0" w:line="188"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Data</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Cost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2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Cash</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As of December 27, 2008:</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Cash</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2640" w:type="dxa"/>
            <w:vAlign w:val="bottom"/>
            <w:gridSpan w:val="2"/>
          </w:tcPr>
          <w:p>
            <w:pPr>
              <w:ind w:left="100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consists of the following (in thousands):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(8,674)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$1,643,000, $1,497,000 and $1,632,000 for 2007, 2008 and 2009, respectively.</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2002, the Company entered into a master security agreement with a lender under which the Company had drawn down $3,584,000 for the purchase of equipment. The loan, which was secured by the underlying equipment and a letter of credit, carried an interest rate between 8.0% and 10.5% per annum. In connection with this agreement, the Company issued warrants to the lender in 2004 to purchase 6,193 shares of Series D convertible preferred stock at $16.95 per share (see Note 8). The fair value of the warrants resulted in a $90,000 discount that was amortized to interest expense over the expected life of the debt. In February 2008, prior to the due date, the Company paid the outstanding principal balance, accrued interest, and a $41,000 prepayment fee in settlement of this debt. Upon settlement of this debt, the remaining unamortized discount was immediately recognized as interest expense.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$13,000,000 for general corporate purposes (the 2005 Agreement). The 2005 Agreement was secured by the assets of the Company, excluding intellectual property but including any proceeds from the sale of intellectual property, bore interest at 9.75% per annum and was originally scheduled to mature in March 2010. In connection with the 2005 Agreement, the Company issued warrants to the lender to purchase 61,342 shares of Series D convertible preferred stock at $16.95 per share (see Note 8). The $104,000 fair value of the warrants resulted in a debt discount that is being amortized over the life of the borrowing.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2008, the Company amended the 2005 Agreement to provide the Company with an additional $10,000,000 of borrowing availability for general corporate purposes (the 2008 Amendment). The $10,000,000 of additional availability under the 2008 Amendment carried interest at 11.5% per annum and was originally scheduled to mature in June 2011. In connection with the 2008 Amendment, the Company issued warrants to purchase 49,545 shares of Series E convertible preferred stock at $24.22 per share (see Note 8) to the lender. The $484,000 fair value of the warrants resulted in a debt discount that is being amortized over the life of the borrowing.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amounts outstanding under the 2005 Agreement and the 2008 Amendment were combined and amended (the 2009 Agreement) so as to extend the final repayment date to March 1, 2012 and to provide for an interest only period from March 2009 through February 2010. At the time of the 2009 Agreement, the combined principal balance outstanding under the two loans was $14,557,000. Amounts outstanding under the 2009 Agreement bear interest at 13.5% per annum. At the end of the interest only period, the Company will begin making monthly principal and interest payments of $612,000 with an additional final payment of $2,263,000. The additional final payment of $2,263,000 is being accreted using the effective interest method as interest expense through the amended maturity date of March 1, 2012. The 2009 Agreement requires a prepayment fee of 1.5% of the outstanding principal amount being prepaid. In connection with the 2009 Agreement, the Company issued a warrant to purchase 41,288 shares of Series E convertible preferred stock at $24.22 per share (see Note 8) to the lender. The fair value of the warrant resulted in a $76,000 discount that is being amortized over the expected life of the borrowing.</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recognized interest expense of $27,000, $76,000 and $179,000 during 2007, 2008 and 2009, respectively, related to the amortization of debt discounts. As of December 31, 2009, the Company was in compliance with all loan covenants or had obtained waivers through December 31, 2010 from the lender.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June 2010, the Company amended the 2009 Agreement. See Note 15 for the scheduled principal payments under the amended loan and security agreement.</w:t>
      </w:r>
    </w:p>
    <w:p>
      <w:pPr>
        <w:spacing w:after="0" w:line="207" w:lineRule="exact"/>
        <w:rPr>
          <w:sz w:val="20"/>
          <w:szCs w:val="20"/>
          <w:color w:val="auto"/>
        </w:rPr>
      </w:pPr>
    </w:p>
    <w:p>
      <w:pPr>
        <w:ind w:right="8580" w:firstLine="8"/>
        <w:spacing w:after="0" w:line="391" w:lineRule="auto"/>
        <w:tabs>
          <w:tab w:leader="none" w:pos="30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leases its headquarters in South San Francisco, California, under multiple noncancelable lease agreements that expire through April 2015. These agreements include renewal options that provide the Company with the ability to extend the lease terms for an additional three years. The Company also leases office and manufacturing space under noncancelable leases in Singapore with various expiration dates through July 2013. The Company’s other operating leases are for office space in Japan and France and are on a month-to-month basis. The Company entered into a new lease agreement for its headquarters in South San Francisco, California in September 2010. See Note 15 for the schedule of future minimum lease payments under noncancelable operating leases.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for 2007, 2008 and 2009 totaled $1,574,000, $1,580,000 and $1,915,000,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has entered into indemnification provisions under certain of its agreements in the ordinary course of business, typically with business partners, customers, and suppliers. Pursuant to these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2009, the Company had no accrued liabilities for these indemnification provisions.</w:t>
      </w:r>
    </w:p>
    <w:p>
      <w:pPr>
        <w:spacing w:after="0" w:line="195" w:lineRule="exact"/>
        <w:rPr>
          <w:sz w:val="20"/>
          <w:szCs w:val="20"/>
          <w:color w:val="auto"/>
        </w:rPr>
      </w:pPr>
    </w:p>
    <w:p>
      <w:pPr>
        <w:ind w:right="8420" w:firstLine="8"/>
        <w:spacing w:after="0" w:line="391" w:lineRule="auto"/>
        <w:tabs>
          <w:tab w:leader="none" w:pos="307"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Promissory Notes Note and Warrant Purchase Agreement</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(Notes) with its existing investors to provide the Company with cash proceeds of $10,667,000. In connection with issuance of the Notes, the Company issued warrants to purchase 220,176 shares of Series E convertible preferred stock at $24.22 per share (see Note 8), which resulted in a $262,000 debt discount. The Notes were scheduled to mature on December 31, 2009 with interest accruing on the outstanding principal amount for the first 60 days at 1% per month and at 2% per month after the first 60 days, compounded monthly. The Notes’ outstanding principal and accrued interest were convertible into preferred stock upon the occurrence of a qualified financing transaction or at the option of a majority of investors, as defined in the Note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November 2009, the note holders agreed to convert the outstanding principal and accrued interest of $11,033,000 into 455,525 shares of Series E convertible preferred stock. The Company recognized $366,000 of interest expense related to the Notes and immediately expensed the remaining debt discount balance of $262,000.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BMSIF Convertible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2005, the Company entered into a convertible note purchase agreement with the Biomedical Sciences Investment Fund Pte Ltd (BMSIF). BMSIF is wholly owned by EDB Investments Pte. Ltd., whose parent entity is EDB. Ultimately, each of these entities is controlled by the government of Singapore. In June 2006, the Company issued an unsecured convertible promissory note to BMSIF in the amount of $3,000,000 carrying an interest rate of 8% per year. In June 2007, pursuant to the conversion provisions of this agreement, the Company elected to convert the principal balance of $3,000,000 and accrued interest of $240,000 into 191,105 shares of Series D convertible preferred stock at $16.95 per share.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2006, the Company entered into another convertible note purchase agreement with BMSIF. Under this agreement, BMSIF agreed to provide a $15,000,000 credit facility for general corporate purposes to be drawn down in three separate $5,000,000 tranches at an interest rate of 8% per year. In August and November 2006, the Company drew down two of the three tranches in exchange for unsecured convertible promissory notes of $5,000,000 each. In March 2007, BMSIF elected to convert the outstanding principal and accrued interest balance of $10,636,000 into 487,916 shares of Series E convertible preferred stock at $21.80 per share.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2007, the Company drew down the third and final tranche of $5,000,000 that was available from BMSIF in exchange for an unsecured promissory note. In May 2008, BMSIF elected to convert the outstanding principal and accrued interest balance of $5,414,000 into 248,380 shares of Series E convertible preferred stock at $21.80 per share.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BMSIF notes that were converted into Series E convertible preferred stock had a conversion price of $21.80 per share which was a discount to the estimated fair values of $22.45 and $24.22 per share for the Series E convertible preferred stock at the times of the borrowings. The intrinsic value of the embedded beneficial conversion option associated with each borrowing under the arrangement was measured as the difference between the conversion price and the fair value of Series E convertible preferred stock on the commitment date and the resulting debt discount was being amortized to interest expense over the two year contractual term of the debt. Upon conversion of the notes to convertible preferred stock, the remaining unamortized debt discount was immediately recognized as interest expense.</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2007, the Company recognized debt discounts of $485,000 related to the beneficial conversion feature of the BMSIF notes. Amortization of the debt discounts resulted in interest expense of $468,000, and $280,000 during 2007, and 2008, respectively. All amounts due under the BMSIF notes were converted to preferred stock during 2008.</w:t>
      </w:r>
    </w:p>
    <w:p>
      <w:pPr>
        <w:spacing w:after="0" w:line="215"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issued warrants to purchase shares of its convertible preferred stock at various times since 2001. The Company’s convertible preferred stock warrants are generally exercisable immediately and can only be exercised for cash or net share settled. Changes in the fair value of the preferred shares into which the warrants are convertible do not affect the settlement amounts of the warrants. Freestanding warrants to purchase the Company’s convertible preferred stock are valued at fair value and classified as liabilities in the consolidated balance sheets because the warrants may conditionally obligate the Company to transfer assets at some point in the future.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2009, the Company issued warrants to purchase 261,495 shares of Series E convertible preferred stock at $24.22 per share in connection with the 2009 Agreement (see Note 5) and the Note and Warrant Purchase Agreement with existing investors (see Note 7).</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2008, warrants to purchase 33,030 shares of the Company’s Series C convertible preferred stock expired unexercised. Upon expiration, the related warrant liability was eliminated and the change in fair value was included in other income (expense), net in the accompanying consolidated statement of operations.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2008, warrants to purchase 6,817 shares of the Company’s Series C convertible preferred stock were exercised utilizing a cashless exercise option that allowed the holder to receive 2,712 shares of Series C convertible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following warrants were outstanding: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Series of</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into</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into which the</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which the</w:t>
            </w: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Reason for</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per</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Issue Date</w:t>
            </w:r>
          </w:p>
        </w:tc>
        <w:tc>
          <w:tcPr>
            <w:tcW w:w="1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5"/>
                <w:szCs w:val="15"/>
                <w:color w:val="auto"/>
              </w:rPr>
            </w:pPr>
          </w:p>
        </w:tc>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2002</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Series C</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2,890</w:t>
            </w:r>
          </w:p>
        </w:tc>
        <w:tc>
          <w:tcPr>
            <w:tcW w:w="11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$15.62</w:t>
            </w: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Earlier of (i) the closing of 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 of the Company or (ii) March 27,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November 2002</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Series 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5,121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$15.62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December 16,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2004</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18,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2005</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2005</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February 2008</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16,516</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2008</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2009</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25, 2016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2009</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220,176</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August 25,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386,556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warrants to purchase convertible preferred stock outstanding and their fair values as of December 27,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Shares as of</w:t>
            </w:r>
          </w:p>
        </w:tc>
        <w:tc>
          <w:tcPr>
            <w:tcW w:w="160" w:type="dxa"/>
            <w:vAlign w:val="bottom"/>
          </w:tcPr>
          <w:p>
            <w:pPr>
              <w:spacing w:after="0"/>
              <w:rPr>
                <w:sz w:val="14"/>
                <w:szCs w:val="14"/>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w w:val="86"/>
              </w:rPr>
              <w:t>Fair Value as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4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Series 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67,535</w:t>
            </w:r>
          </w:p>
        </w:tc>
        <w:tc>
          <w:tcPr>
            <w:tcW w:w="5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67,535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578,000</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0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125,091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386,556</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141,000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616,000</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80" w:type="dxa"/>
            <w:vAlign w:val="bottom"/>
          </w:tcPr>
          <w:p>
            <w:pPr>
              <w:spacing w:after="0"/>
              <w:rPr>
                <w:sz w:val="24"/>
                <w:szCs w:val="24"/>
                <w:color w:val="auto"/>
              </w:rPr>
            </w:pPr>
          </w:p>
        </w:tc>
        <w:tc>
          <w:tcPr>
            <w:tcW w:w="4800" w:type="dxa"/>
            <w:vAlign w:val="bottom"/>
            <w:gridSpan w:val="3"/>
          </w:tcPr>
          <w:p>
            <w:pPr>
              <w:ind w:left="2460"/>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2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2.8 years</w:t>
            </w:r>
          </w:p>
        </w:tc>
        <w:tc>
          <w:tcPr>
            <w:tcW w:w="420" w:type="dxa"/>
            <w:vAlign w:val="bottom"/>
          </w:tcPr>
          <w:p>
            <w:pPr>
              <w:spacing w:after="0"/>
              <w:rPr>
                <w:sz w:val="18"/>
                <w:szCs w:val="18"/>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color w:val="auto"/>
                <w:w w:val="89"/>
              </w:rPr>
              <w:t>4.4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7.3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0%</w:t>
            </w: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9.  Convertible Preferred Stock</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Convertible preferred stock was comprised of the following (in thousands):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6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Issued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2"/>
                <w:szCs w:val="12"/>
                <w:color w:val="auto"/>
              </w:rPr>
            </w:pPr>
          </w:p>
        </w:tc>
        <w:tc>
          <w:tcPr>
            <w:tcW w:w="7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Liquidation</w:t>
            </w: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420" w:type="dxa"/>
            <w:vAlign w:val="bottom"/>
            <w:gridSpan w:val="2"/>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2"/>
              </w:rPr>
              <w:t>Preferences</w:t>
            </w:r>
          </w:p>
        </w:tc>
        <w:tc>
          <w:tcPr>
            <w:tcW w:w="100" w:type="dxa"/>
            <w:vAlign w:val="bottom"/>
          </w:tcPr>
          <w:p>
            <w:pPr>
              <w:spacing w:after="0"/>
              <w:rPr>
                <w:sz w:val="14"/>
                <w:szCs w:val="14"/>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11,413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10,239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183,845</w:t>
            </w:r>
          </w:p>
        </w:tc>
        <w:tc>
          <w:tcPr>
            <w:tcW w:w="4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188,246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and therefore classified as temporary equity on the consolidated balance sheets instead of in stockholders’ deficit. The Company has not adjusted the carrying values of the convertible preferred stock to their redemption values, since it is uncertain whether or when a redemption event will occur. The significant rights, privileges, and preferences of the convertible preferred stock are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share of convertible preferred stock is convertible, at any time at the option of the holder, into common stock based upon a conversion rate of one share of common stock for each share of convertible preferred stock regardless of the series, subject to certain adjustments to the conversion price.</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Conversion is automatic upon: (i) the closing of an underwritten initial public offering of the Company’s common stock at an offering price of not less than $34.44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$34.44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convertible preferred stock voting separately is required for Series E convertible preferred stock to convert if such conversion is not in connection with the closing of an underwritten initial public offering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Holders of Series A, B, C, D, and E convertible preferred stock are entitled to noncumulative dividends of $0.67, $1.09, $1.57, $1.82, and $2.60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December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 liquidation, dissolution, or winding up of the Company, holders of Series E convertible preferred stock shall be entitled to receive a liquidation preference of $24.22 per share, together with any declared but unpaid dividends, prior to any payment or distribution to holders of Series A, B, C, or D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E convertible preferred stock, holders of Series D convertible preferred stock shall be entitled to receive a liquidation preference of $16.95 per share, together with any declared but unpaid dividends, prior to any payment or distribution to holders of Series A, B, or C convertible preferred stock or common stock.</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After payment to the holders of Series D convertible preferred stock, holders of Series C convertible preferred stock shall be entitled to receive a liquidation preference of $15.62 per share, together with any declared but unpaid dividends, prior to any payment or distribution to holders of Series A or B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C convertible preferred stock, holders of Series B convertible preferred stock shall be entitled to receive a liquidation preference of $10.77 per share, together with any declared but unpaid dividends, prior to any payment or distribution to holders of Series A convertible preferred stock or common stock.</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After payment to the holders of Series B convertible preferred stock, holders of Series A convertible preferred stock shall be entitled to receive a liquidation preference of $6.66 per share, together with any declared but unpaid dividends, prior to any payment or distribution to holders of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of control or a sale, transfer, or lease of all or substantially all of the assets of the Company is considered to be a liquidation event.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the payment to the holders of convertible preferred stock of their respective liquidation preferences, the entire remaining assets of the Company shall be distributed on a pro rata basis to the holders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Holders of convertible preferred stock are entitled to the number of votes they would have upon conversion of their convertible preferred stock into common stock on the applicable record date. So long as 330,305 shares of Series D convertible preferred stock remain outstanding, the holders of Series D convertible preferred stock are entitled to elect two members to the Company’s Board of Directors, and so long as 330,305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219" w:lineRule="exact"/>
        <w:rPr>
          <w:sz w:val="20"/>
          <w:szCs w:val="20"/>
          <w:color w:val="auto"/>
        </w:rPr>
      </w:pPr>
    </w:p>
    <w:p>
      <w:pPr>
        <w:ind w:left="400" w:hanging="392"/>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2009 Equity Incentive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2009, the Company’s Board of Directors adopted the 2009 Equity Incentive Plan (the 2009 Plan) under which incentive stock options, nonstatutory stock options, stock appreciation rights, restricted stock and restricted stock units may be granted to Company employees, officers, directors, and consultants.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Incentive stock options and nonstatutory stock options granted under the 2009 Plan expire no later than ten years from the date of grant. The exercise price of each option granted to a participant shall be at least 110% of the fair value of the underlying common stock on the date of grant if, on the grant date, the participant owns stock representing more than 10% of the voting power of all classes of the Company’s capital stock; otherwise, the exercise price shall be at least 100% of the fair value of the underlying common stock on the date of grant. The estimated fair value of the underlying common stock shall be determined by the Board of Directors until such time as the Company’s common stock is listed on any established stock exchange or national market system. Generally, outstanding options vest at a rate of 25% on the first anniversary of the option grant date and ratably each month over the remaining 36 month period. The Company may grant options with different vesting terms from time to time.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Restricted stock may have certain terms and conditions set by the Board of Directors. The Company will hold the shares of restricted stock until the restrictions on such shares have elapsed.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outstanding stock appreciation rights, restricted stock or restricted stock units as of December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Option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1999 Stock Option Plan (the 1999 Plan) expired in 2009. Options granted or shares issued under the 1999 Plan that were outstanding on the date the 2009 Plan became effective will remain subject to the terms of the 1999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2009 Plan had a total of 1,813,262 shares of common stock authorized for issuance.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Shares</w:t>
            </w: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Available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for</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Grant</w:t>
            </w:r>
          </w:p>
        </w:tc>
        <w:tc>
          <w:tcPr>
            <w:tcW w:w="86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29, 2007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(460)</w:t>
            </w: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8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granted(1)</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8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number of options granted and canceled includes options granted and canceled in connection with the Exchange (see below).</w:t>
      </w:r>
    </w:p>
    <w:p>
      <w:pPr>
        <w:spacing w:after="0" w:line="15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exercised but unvested shares generally vest over a four-year period. There were 1,979 and 396 unvested shares as of December 27, 2008 and December 31, 2009, respectively, which are subject to a repurchase option held by the Company at the original exercise price and are not deemed to be issued until those shares vest.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63.0%</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53.8%</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59.1%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life</w:t>
            </w:r>
          </w:p>
        </w:tc>
        <w:tc>
          <w:tcPr>
            <w:tcW w:w="840" w:type="dxa"/>
            <w:vAlign w:val="bottom"/>
          </w:tcPr>
          <w:p>
            <w:pPr>
              <w:ind w:left="10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5.7 years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3.2%</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$ 5.57</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$ 9.83</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$ 2.32</w:t>
            </w: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The “simplified” method is calculated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The impact of a forfeiture rate adjustment is recognized in full in the period of adjustment, and if the actual number of future forfeitures differs from that estimated by the Company, the Company may be required to record adjustments to stock-based compensation expense in future periods. Adjustments to forfeiture rates have not had a significant impact on any of the periods presented herein. Each of these inputs is subjective and generally requires significant judgment by the Company.</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grants stock options at exercise prices not less than the estimated fair value of the Company’s common stock at the date of grant. In the absence of an active market for its common stock,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and additional factors relating to the Company’s business.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regarding the Company’s stock option grants during fiscal 2009 including, grant date; the number of stock options issued with each grant; and the exercise price, is summarized as follows (in thousands,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and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 Share of</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Granted</w:t>
            </w:r>
          </w:p>
        </w:tc>
        <w:tc>
          <w:tcPr>
            <w:tcW w:w="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2008</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November 17, 2009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23, 2009(2)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options granted in connection with the Exchange discussed below.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2009 is summarized in the following table: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Options</w:t>
            </w: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Exercise Price Per Share</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16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Exercisable</w:t>
            </w:r>
          </w:p>
        </w:tc>
      </w:tr>
      <w:tr>
        <w:trPr>
          <w:trHeight w:val="142"/>
        </w:trPr>
        <w:tc>
          <w:tcPr>
            <w:tcW w:w="152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9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$1.82</w:t>
            </w:r>
          </w:p>
        </w:tc>
        <w:tc>
          <w:tcPr>
            <w:tcW w:w="4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$3.39</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$4.45</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$5.03 - $21.99</w:t>
            </w:r>
          </w:p>
        </w:tc>
        <w:tc>
          <w:tcPr>
            <w:tcW w:w="4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Options exercisable as of December 31, 2009 had a weighted-average remaining contractual life of 6.8 years, a weighted-average exercise price per share of $4.03, and an aggregate intrinsic value of $701,000.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or are expected to vest as of December 31, 2009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Price per</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Value(3)</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4.53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aggregate intrinsic value was calculated as the difference between the exercise price of the options and the fair value of the Company’s common stock of $4.45 per share as of December 31, 2009.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2007, 2008 and 2009 was $259,000, $857,000 and $42,000, respectively.</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December 2009, the Company completed an offer to exchange (the Exchange) 801,000 employee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$645,000 of which $353,000 was recognized for the year ended December 31, 2009 with $292,000 is being amortized over the new remaining vesting periods. These vesting periods range from three months to four years from the date of the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2007, 2008 or 2009. Capitalized stock-based compensation costs were insignificant during 2007, 2008 and 2009.</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2009, there was $2,692,000 of total unrecognized compensation cost related to stock-based compensation arrangements which is expected to be recognized over an average period of 2.2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awards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departmental performance goals, the vesting of a total of 34,846 such shares was accelerated. In March 2009, the Compensation Committee of the Board of Directors accelerated the vesting of 28,240 options based upon the achievement of corporate performance goals. Stock-based compensation expense for these performance-based awards is recognized as expense over the requisite performance periods using an accelerated attribution method. The Company recognized $505,000 and $309,000 of stock-based compensation expense during 2008 and 2009, respectively, relating to performance-based awards.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November 2009, the Company granted 89,017 performance-based awards (the 2009 performance awards) to certain executives with performance conditions substantially similar to the 2008 performance awards. Based on achievement of departmental goals, a total of 25,723 shares were accelerated in December 2009. Based on achievement of corporate goals, the vesting of a total of 27,150 shares was accelerated in December 2009. The Company recognized $181,000 of stock-based compensation expense during 2009 relating to these 2009 performance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Granted to Nonemployees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accounts for options granted to nonemployees under the fair value method. The fair value of these options was estimated using the Black-Scholes option-pricing model with the following assumptions for 2007, 2008 and 2009: risk-free interest rates of 2.0% to 5.0%, dividend yield of 0%, expected volatility of 54.7% to 66.3%, and an expected life of the options equal to the remaining contractual terms of one to ten years. Options granted to nonemployees are remeasured at each financial statement reporting date until the award is vested.</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granted options to nonemployees to purchase 38,976 and 3,303 shares of common stock during 2007 and 2008, respectively. No options to nonemployees were granted during 2009. As of December 27, 2008 and December 31, 2009, there were 10,161 and 8,550 unvested options held by nonemployees with a weighted-average exercise price of $13.81 and $6.16, respectively, and an average remaining vesting period of 2.6 and 1.8 years, respectively.</w:t>
      </w:r>
    </w:p>
    <w:p>
      <w:pPr>
        <w:spacing w:after="0" w:line="218" w:lineRule="exact"/>
        <w:rPr>
          <w:sz w:val="20"/>
          <w:szCs w:val="20"/>
          <w:color w:val="auto"/>
        </w:rPr>
      </w:pPr>
    </w:p>
    <w:p>
      <w:pPr>
        <w:ind w:left="400" w:hanging="392"/>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loss before (provision) benefit for income taxes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(23,267)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(29,520)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(2,079)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benefit for income taxes</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(25,346)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(29,646)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20" w:type="dxa"/>
            <w:vAlign w:val="bottom"/>
            <w:gridSpan w:val="3"/>
          </w:tcPr>
          <w:p>
            <w:pPr>
              <w:jc w:val="right"/>
              <w:ind w:right="306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income tax (provision) benefit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147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of income taxes at the statutory rate to the (provision) benefit for income taxes recorded in the statements of operations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76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34.0%</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4"/>
            <w:shd w:val="clear" w:color="auto" w:fill="CCEEFF"/>
          </w:tcPr>
          <w:p>
            <w:pPr>
              <w:jc w:val="right"/>
              <w:ind w:right="176"/>
              <w:spacing w:after="0"/>
              <w:rPr>
                <w:sz w:val="20"/>
                <w:szCs w:val="20"/>
                <w:color w:val="auto"/>
              </w:rPr>
            </w:pPr>
            <w:r>
              <w:rPr>
                <w:rFonts w:ascii="Arial" w:cs="Arial" w:eastAsia="Arial" w:hAnsi="Arial"/>
                <w:sz w:val="18"/>
                <w:szCs w:val="18"/>
                <w:color w:val="auto"/>
              </w:rPr>
              <w:t>(3.0)</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4"/>
          </w:tcPr>
          <w:p>
            <w:pPr>
              <w:jc w:val="right"/>
              <w:ind w:right="176"/>
              <w:spacing w:after="0"/>
              <w:rPr>
                <w:sz w:val="20"/>
                <w:szCs w:val="20"/>
                <w:color w:val="auto"/>
              </w:rPr>
            </w:pPr>
            <w:r>
              <w:rPr>
                <w:rFonts w:ascii="Arial" w:cs="Arial" w:eastAsia="Arial" w:hAnsi="Arial"/>
                <w:sz w:val="18"/>
                <w:szCs w:val="18"/>
                <w:color w:val="auto"/>
              </w:rPr>
              <w:t>(31.4)</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760" w:type="dxa"/>
            <w:vAlign w:val="bottom"/>
            <w:gridSpan w:val="4"/>
          </w:tcPr>
          <w:p>
            <w:pPr>
              <w:jc w:val="right"/>
              <w:ind w:right="36"/>
              <w:spacing w:after="0"/>
              <w:rPr>
                <w:sz w:val="20"/>
                <w:szCs w:val="20"/>
                <w:color w:val="auto"/>
              </w:rPr>
            </w:pPr>
            <w:r>
              <w:rPr>
                <w:rFonts w:ascii="Arial" w:cs="Arial" w:eastAsia="Arial" w:hAnsi="Arial"/>
                <w:sz w:val="18"/>
                <w:szCs w:val="18"/>
                <w:color w:val="auto"/>
              </w:rPr>
              <w:t>(0.4)%</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0"/>
              </w:rPr>
              <w:t>Significant components of the Company’s deferred tax assets and liabilities are as follows at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7"/>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58,850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accruals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529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65,236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right"/>
              <w:ind w:right="342"/>
              <w:spacing w:after="0"/>
              <w:rPr>
                <w:sz w:val="20"/>
                <w:szCs w:val="20"/>
                <w:color w:val="auto"/>
              </w:rPr>
            </w:pPr>
            <w:r>
              <w:rPr>
                <w:rFonts w:ascii="Arial" w:cs="Arial" w:eastAsia="Arial" w:hAnsi="Arial"/>
                <w:sz w:val="18"/>
                <w:szCs w:val="18"/>
                <w:color w:val="auto"/>
                <w:w w:val="89"/>
              </w:rPr>
              <w:t>(65,236)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(72,115)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the historic financial results. The Company has incurred losses since its inception; accordingly, the net deferred tax assets have been fully offset by a valuation allowance. The valuation allowance increased by $9,570,000, $12,489,000 and $6,879,000 during 2007, 2008 and 2009, respectively.</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2009, the Company had net operating loss carryforwards for federal income tax purposes of $169,568,000, which expire in the years 2019 through 2029, and federal research and development tax credits of $3,648,000, which expire in the years 2019 through 2029. As of December 31, 2009, the Company had net operating loss carryforwards for California state income tax purposes of $133,019,000, which expire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60"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years 2014 through 2029, state research and development tax credits of $3,901,000, which do not expire, and California manufacturer’s investment credit of $127,000, which expires beginning in 2012. In addition, the Company has approximately $26,000,000 in other state net operating loss carryovers which have various expiration dates from 2010 through 2029. As of December 31, 2009, the Company had foreign net operating loss carryforwards of $2,711,000. A significant portion of the foreign net operating losses relate to activity in Japan and have a seven year carryforward with various expiration dates.</w:t>
      </w:r>
    </w:p>
    <w:p>
      <w:pPr>
        <w:spacing w:after="0" w:line="11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the utilization of net operation loss and credit carryforwards could be significantly reduced.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not provided for U.S. federal and state income taxes on all of the non-U.S. subsidiaries’ undistributed earnings as of December 31, 2009, because such earnings are intended to be indefinitely reinvested. Upon distribution of those earnings in the form of dividends or otherwise, the Company would be subject to applicable U.S. federal and state income taxes. Undistributed earnings of the Company’s foreign subsidiaries amounted to approximately $500,000 at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Effective January 1, 2007, the Company adopted new accounting guidance related to the recognition, measurement and presentation of uncertain tax positions. As a result, in 2007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aggregate changes in the balance of the Company’s gross unrecognized tax benefits during 2007, 2008 and 2009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29,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December 27, 2008</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classified as income tax expense and were immaterial.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2009, unrecognized tax benefits of $67,000, if recognized, would affect the Company’s effective tax rate. The remaining unrecognized tax benefits are netted against deferred tax assets with a full valuation allowance, and if recognized, would not affect the Company’s effective tax rate. The Company does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 anticipate existing unrecognized tax benefits will significantly increase or decrease within the next 12 months. The Company files income tax returns in the United States, various states, and certain foreign jurisdictions. As a result of our net operating loss carryforwards, all of our tax years are subject to federal and state tax examination.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sponsors a 401(k) plan that stipulates that eligible employees can elect to contribute to the plan, subject to certain limitations, up to the lesser of 60% of eligible compensation or the maximum amount allowed by the IRS. The Company has not made contributions to this plan since its inception.</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Related-Party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7, the Company entered into multiple convertible note purchase agreements with BMSIF pursuant to which the Company issued convertible notes and received total proceeds of $23.0 million. Principal and interest on these notes was converted into shares of Series D and Series E convertible preferred stock.</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BMSIF and its related companies held 1,557,648 shares of the Company’s convertible preferred stock as of December 31, 2009, which constitutes 11% of the outstanding shares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discussed in Note 7, the Company entered into a convertible Note and Warrant Purchase Agreement (Note) with its existing investors to provide the Company with cash proceeds of $10,667,000. In connection with the Note, the Company issued warrants to purchase 220,207 shares of Series E convertible preferred stock at $24.22 per share (see Note 8). In November 2009, the Note’s outstanding principal and accrued interest was converted into 455,525 shares of Series E convertible preferred stock.</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January 2004, the Company loaned $250,000 to an officer of the Company in connection with the purchase of a new home. The outstanding principal and interest payable under the loan of $287,000 was settled in full on April 10, 2008 in exchange for 15,014 shares of the Company’s common stock that were owned by the officer. The shares were valued at $19.31 per share as determined by the Company’s Board of Directors in April 2008.</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Stephen Quake, who is a professor of bioengineering at Stanford University, is one of the Company’s founding stockholders and held 384,290 shares of the Company’s common stock as of December 27, 2008 and December 31, 2009. Dr. Quake serves as a consultant to the Company and is a member of the Company’s Scientific Advisory Board. The Company paid consulting fees of $67,000, $117,000 and $108,000 to Dr. Quake during 2007, 2008 and 2009, respectively, and accrued amounts payable to Dr. Quake related to these payments were $17,000 and $8,000 as of December 27, 2008 and December 31, 2009, respectively.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general counsel was a member of a law firm whose services are utilized by the Company. On April 1, 2008, the Company’s general counsel resigned his position from such law firm. Amounts paid to the law firm for services and patent fees were $576,000, and $180,000 for 2007 and the period from January 1 through April 1, 2008,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represents the related party balances and transactions included in the Company’s consolidated balance sheets and consolidated statements of operations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358"/>
        </w:trPr>
        <w:tc>
          <w:tcPr>
            <w:tcW w:w="6800" w:type="dxa"/>
            <w:vAlign w:val="bottom"/>
          </w:tcPr>
          <w:p>
            <w:pPr>
              <w:spacing w:after="0"/>
              <w:rPr>
                <w:sz w:val="24"/>
                <w:szCs w:val="2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$1,758</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determined that it has a single reporting segment and operating unit structure, which is the development, manufacturing, and commercialization of microfluidic systems for the life science and Ag-Bio industries.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3,172</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1,431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13,364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grant revenue is primarily generated in Singapore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long-lived assets by geographic area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Singapore</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2,777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5000" w:type="dxa"/>
            <w:vAlign w:val="bottom"/>
            <w:gridSpan w:val="2"/>
          </w:tcPr>
          <w:p>
            <w:pPr>
              <w:ind w:left="2060"/>
              <w:spacing w:after="0"/>
              <w:rPr>
                <w:sz w:val="20"/>
                <w:szCs w:val="20"/>
                <w:color w:val="auto"/>
              </w:rPr>
            </w:pPr>
            <w:r>
              <w:rPr>
                <w:rFonts w:ascii="Arial" w:cs="Arial" w:eastAsia="Arial" w:hAnsi="Arial"/>
                <w:sz w:val="18"/>
                <w:szCs w:val="18"/>
                <w:color w:val="auto"/>
              </w:rPr>
              <w:t>F-38</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9500" w:firstLine="8"/>
        <w:spacing w:after="0" w:line="391" w:lineRule="auto"/>
        <w:tabs>
          <w:tab w:leader="none" w:pos="395"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Collaboration Agreement</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two milestone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Long-Term Debt Agreement</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June 2010, the Company amended the 2009 Agreement (see Note 5) (the 2010 Amendment). The 2010 Amendment extended the maturity date of the existing agreement to February 2013. The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is being accounted for as a modification as the terms of the 2010 Amendment were not substantially different from the terms of the 2009 Agreement.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which is being amortized as interest expense over the expected life of the borrowing. In addition, the Company reduced the exercise price of all of the warrants previously issued to the lender to $12.11 per share and extended the term of one of the warrants. As a result, these warrants were revalued resulting in additional debt discount of $62,000 that is being amortized over the expected remaining life of the borrowing.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considering the effects of the 2010 Amendment, the scheduled principal payments under the Company’s long-term debt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14,686</w:t>
            </w:r>
          </w:p>
        </w:tc>
        <w:tc>
          <w:tcPr>
            <w:tcW w:w="100" w:type="dxa"/>
            <w:vAlign w:val="bottom"/>
          </w:tcPr>
          <w:p>
            <w:pPr>
              <w:spacing w:after="0"/>
              <w:rPr>
                <w:sz w:val="19"/>
                <w:szCs w:val="19"/>
                <w:color w:val="auto"/>
              </w:rPr>
            </w:pPr>
          </w:p>
        </w:tc>
      </w:tr>
      <w:tr>
        <w:trPr>
          <w:trHeight w:val="217"/>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debt discount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222"/>
        </w:trPr>
        <w:tc>
          <w:tcPr>
            <w:tcW w:w="9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14,461</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balance sheet classification of long-term debt at December 31, 2009 reflects the payments due under the 2010 Amendment.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Conversion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2010, the Company offered holders of convertible preferred stock warrants with exercise prices greater than $12.11 per share an opportunity to amend their eligible warrants by lowering the exercise price of the warrants to $12.11 per share. The amended warrants would be exercisable for shares of new Series E-1 convertible preferred stock and would receive an equal number of shares of the Company’s common stock for each warrant exercised, subject to the warrant holder’s agreement to immediately exercise the warrants in full and for cash. The offer expired on August 16, 2010. Warrants to purchase 57,724 shares of Series E-1 convertible preferred stock at $24.22 were amended. The Company received proceeds of $699,000 and issued 57,724 shares of Series E-1 convertible preferred stock and 57,724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2010, the Company terminated its existing lease agreement and entered into a new lease for its headquarters in South San Francisco, California. The new lease expires in April 2015 and includes a renewal option for an additional three years. The Company received a $360,000 lease incentive payment which will be recognized as a reduction of rent expense on a straight-line basis over the term of the new lease.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considering the effects of the new office lease, the future minimum lease payments under noncancelable operating leases as of December 31, 2009 are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5,357</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EDB Grant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described in Note 3, in October 2005, the Company entered into a letter agreement with EDB providing for up to SG$10.0 million (approximately US$7.1 million using the December 31, 2009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Pro forma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$103 and $467 at December 31, 2009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September 30, 2010, respectively)</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8,690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32,153</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issuable in series: $0.001 par value, 11,562 shares authorized,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10,239 and 10,297 shares issued and outstanding as of December 31, 2009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respectively; aggregate liquidation preference of $188,948 as of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no shares authorized, issued or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183,845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184,549</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16,909 shares authorized, 1,862 and 1,934 shares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as of December 31, 2009 and September 30, 2010,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 13,415 shares issued and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9,308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w w:val="93"/>
              </w:rPr>
              <w:t>(182,425)</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(196,249)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(173,619)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(186,395)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32,153</w:t>
            </w: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Grant revenue (includes grant revenue from related party of $1,226 and $1,069 for the nine months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ended September 30, 2009 and 2010, respectively)</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32,039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(15,697)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pro forma net loss per share available to common stockholders, basic and diluted</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(15,700)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debt discount and issuance cost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(14,388)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82"/>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net of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exercise of convertible preferred stock warrants and issuance of convertible preferred stock, net of issuance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Issuance of convertible preferred stock warrants in connection with amendment of long-term debt agreement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 warrants in connection with issuance of convertible promissory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as part of preferred stock warrant exchange and exercise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740" w:firstLine="8"/>
        <w:spacing w:after="0" w:line="347" w:lineRule="auto"/>
        <w:tabs>
          <w:tab w:leader="none" w:pos="307"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for interim financial information. These financial statements were prepared following the requirements of the Securities and Exchange Commission (SEC) for interim reporting. As permitted under those rules, certain footnotes or other financial information that are normally required by U.S. generally accepted accounting principles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position as of September 30, 2010 and its results of operations and cash flows for the nine months ended September 30, 2009 and 2010. The results of operations for the nine months ended September 30, 2010 are not necessarily indicative of the results to be expected for the year ending December 31, 2010 or for any other interim period or for any other future year.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condensed consolidated balance sheet data as of December 31, 2009 was derived from the audited consolidated financial statements included elsewhere in this prospectus. These interim financial statements should be read in conjunction with the audited consolidated financial statements and the related notes thereto for the year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September 30, 2010, the Company had a total stockholders’ deficit of $196.2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59" w:right="2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reduce marketing, customer support or other resources devoted to its products or cease operations. Any of these factors could harm the Company’s operating results.</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evaluated subsequent events after the balance sheet date of September 30, 2010 through the date of the filing of Amendment No. 3 to the Registration Statement on Form S-1 in which these condensed consolidated financial statements are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Presentation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board of directors has approved the filing of a registration statement on Form S-1 with respect to a proposed initial public offering of its common stock. The unaudited pro forma information as of September 30, 2010 contemplates the completion of this offering and the conversion of all outstanding shares of convertible preferred stock into shares of common stock and the reclassification of preferred stock warrant liabilities to additional paid-in capital at September 30, 2010. The pro forma information excludes any common stock that may be issued upon a public offering by the Company and any related net proceeds therefrom.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comprehensive loss consists primarily of net loss and foreign currency translation adjustments. For the nine months ended September 30, 2009 and 2010, comprehensive loss was $576,000 and $752,000,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Pro Forma Net Loss per Share of Common Stock</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Company’s basic net loss per share of common stock is calculated by dividing net loss by the weighted-average number of shares of common stock outstanding for the period. The weighted-average number of shares of common stock used to calculate the Company’s basic net loss per share of common stock excludes shares subject to repurchases related to stock options that were exercised prior to vesting, as such shares are not deemed to be issued until the related stock options vest. Diluted net loss per share of common stock is computed by dividing net loss by the weighted-average number of potential common shares outstanding for the period as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interim periods presented because including them would have been anti-dilutive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 forma basic and diluted net loss per share of common stock have been computed to give effect to the conversion of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net loss per share (in thousands, except per share amounts):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Numerator: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 (Note 12)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w w:val="97"/>
              </w:rPr>
              <w:t>Net loss used in computing pro forma net loss per share available to common stockholders, basic and diluted</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w w:val="98"/>
              </w:rPr>
              <w:t>Shares used in computing pro forma net loss per share available to common stockholders, basic and diluted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September 30,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ind w:right="8240" w:firstLine="8"/>
        <w:spacing w:after="0" w:line="391" w:lineRule="auto"/>
        <w:tabs>
          <w:tab w:leader="none" w:pos="30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Grant Agreements Collaboration Agreement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2005, the Company entered into a letter agreement with the Singapore Economic Development Board (EDB) providing for up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SG$10.0 million (approximately US$7.6 million using the September 30, 2010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9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7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 the valuation of which is discussed in Note 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18"/>
                <w:szCs w:val="18"/>
                <w:color w:val="auto"/>
                <w:w w:val="89"/>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93"/>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460"/>
              <w:spacing w:after="0"/>
              <w:rPr>
                <w:sz w:val="20"/>
                <w:szCs w:val="20"/>
                <w:color w:val="auto"/>
              </w:rPr>
            </w:pPr>
            <w:r>
              <w:rPr>
                <w:rFonts w:ascii="Arial" w:cs="Arial" w:eastAsia="Arial" w:hAnsi="Arial"/>
                <w:sz w:val="18"/>
                <w:szCs w:val="18"/>
                <w:color w:val="auto"/>
                <w:w w:val="89"/>
              </w:rPr>
              <w:t>Following are summaries of the Company’s cash and cash equivalents (in thousands):</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56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Loss</w:t>
            </w:r>
          </w:p>
        </w:tc>
        <w:tc>
          <w:tcPr>
            <w:tcW w:w="56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5,083</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9,926</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14,602</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2010, the Company amended the 2009 Agreement (the 2010 Amendment). The 2010 Amendment extended the maturity date of the existing agreement to February 2013. This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to be amortized as interest expense over the expected life of the borrowing. In addition, the Company reduced the exercise price of all the warrants previously issued to the lender to $12.11 per share and extended the term of one of the warrants.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the Company was in compliance with all loan covenants or had obtained waivers through December 31, 2010 from the lender.</w:t>
      </w:r>
    </w:p>
    <w:p>
      <w:pPr>
        <w:spacing w:after="0" w:line="269" w:lineRule="exact"/>
        <w:rPr>
          <w:sz w:val="20"/>
          <w:szCs w:val="20"/>
          <w:color w:val="auto"/>
        </w:rPr>
      </w:pPr>
    </w:p>
    <w:p>
      <w:pPr>
        <w:ind w:right="8620" w:firstLine="8"/>
        <w:spacing w:after="0" w:line="347" w:lineRule="auto"/>
        <w:tabs>
          <w:tab w:leader="none" w:pos="307"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w:t>
      </w:r>
    </w:p>
    <w:p>
      <w:pPr>
        <w:spacing w:after="0" w:line="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September 2010, the Company terminated its existing lease agreement and entered into a new lease for its headquarters in South San Francisco, California. The new lease expires in April 2015 and includes a renewal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option for an additional three years. Upon entering into the new lease, the Company received a $360,000 lease incentive payment that will be recognized as a reduction of rent expense on a straight-line basis over the term of the new lease.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noncancelable operating leases are as follows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Convertible Preferred Stock Warrants</w:t>
      </w:r>
    </w:p>
    <w:p>
      <w:pPr>
        <w:spacing w:after="0" w:line="96"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In July 2010, the Company offered holders of preferred stock warrants with exercise prices greater than $12.11 per share an opportunity to amend their eligible warrants by lowering the exercise price of the warrants to $12.11 per share. The amended warrants would be exercisable for shares of Series E-1 stock and would receive one common share for each warrant exercised, subject to the warrant holder’s agreement to immediately exercise the warrants in full and for cash. The rights, preferences, and other terms of the Series E-1 stock are identical to those of the Company’s Series E stock, except the liquidation preference of the Series E-1 stock is $12.11 per share. The offer expired in August 2010. Warrants to purchase 57,724 shares of Series E-1 stock at $24.22 were amended. The Company received cash proceeds of $699,000 and issued 57,724 shares of Series E-1 stock and 57,724 shares of common stock.</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2010, the Company had 386,698 outstanding warrants to purchase shares of convertible preferred stock with exercise prices ranging from $12.11—$24.22 per share. The Company accounts for convertible preferred stock warrants as liabilities that are recognized at fair value at each measurement date. The fair value of the Company’s convertible preferred stock warrants was computed using the Black-Scholes option valuation method and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69.8%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334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7.5 years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 years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4420" w:type="dxa"/>
            <w:vAlign w:val="bottom"/>
          </w:tcPr>
          <w:p>
            <w:pPr>
              <w:spacing w:after="0"/>
              <w:rPr>
                <w:sz w:val="24"/>
                <w:szCs w:val="24"/>
                <w:color w:val="auto"/>
              </w:rPr>
            </w:pPr>
          </w:p>
        </w:tc>
        <w:tc>
          <w:tcPr>
            <w:tcW w:w="5060" w:type="dxa"/>
            <w:vAlign w:val="bottom"/>
            <w:gridSpan w:val="3"/>
          </w:tcPr>
          <w:p>
            <w:pPr>
              <w:jc w:val="right"/>
              <w:ind w:right="4060"/>
              <w:spacing w:after="0"/>
              <w:rPr>
                <w:sz w:val="20"/>
                <w:szCs w:val="20"/>
                <w:color w:val="auto"/>
              </w:rPr>
            </w:pPr>
            <w:r>
              <w:rPr>
                <w:rFonts w:ascii="Arial" w:cs="Arial" w:eastAsia="Arial" w:hAnsi="Arial"/>
                <w:sz w:val="18"/>
                <w:szCs w:val="18"/>
                <w:color w:val="auto"/>
              </w:rPr>
              <w:t>F-49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nine months ended September 30, 2010, the Company granted 369,942 options at a weighted-average exercise price of $4.45 per share and a weighted-average fair value of $1.73 per share. These options vest over a four-year period.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regarding the Company’s stock option grants since September 30, 2009 including grant date; the number of stock options issued with each grant; and the exercise price, which either equaled or was greater than the grant date fair value of the underlying common stock for each grant of stock options, is summarized as follows (in thousands, except per share amounts):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9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32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40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December 23, 2009</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6, 2010</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6,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computation of the fair value of stock options and other equity instruments using the Black-Scholes option pricing model requires inputs such as the fair value of the Company’s common stock. The Company performs contemporaneous valuations to determine the fair value of its common stock.</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recognized stock-based compensation expense of $1,233,000 and $1,266,000 during the nine months ended September 30, 2009 and 2010,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Income tax expense for the nine months ended September 30, 2009 and September 30, 2010 was $3,000 and $142,000, respectively, and was comprised of state and foreign income and withholding taxes. The provision for income taxes for the periods differs from the 34% U.S. federal statutory rate primarily due to the recording of a valuation allowance for U.S. losses and tax assets which the Company does not consider to be realizable.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At September 30, 2010, the Company had no material interest or penalties accrued related to uncertain tax positions.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2009, the Company’s unrecognized tax benefits balance was $4,785,000. During the nine months ended September 30, 2010, the unrecognized tax benefits balance increased by $588,000 to $5,373,000. As of September 30, 2010, unrecognized tax benefits of $81,000, if recognized, would affect the Company’s effective tax rate. The remaining unrecognized tax benefits are netted against deferred tax assets with a full valuation allowance, and if recognized, would not affect the Company’s effective tax rate.</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16,369</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20,883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246" w:lineRule="exact"/>
        <w:rPr>
          <w:sz w:val="20"/>
          <w:szCs w:val="20"/>
          <w:color w:val="auto"/>
        </w:rPr>
      </w:pPr>
    </w:p>
    <w:p>
      <w:pPr>
        <w:ind w:left="400" w:hanging="392"/>
        <w:spacing w:after="0"/>
        <w:tabs>
          <w:tab w:leader="none" w:pos="4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related party receivables of $666,000 and $594,000 and related deferred revenue of $144,000 and $75,000 at December 31, 2009 and September 30, 2010, respectively, included in the accompanying condensed consolidated balance sheet. The accompanying condensed consolidated statements of operations also included the following related party transactions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160" w:type="dxa"/>
            <w:vAlign w:val="bottom"/>
            <w:gridSpan w:val="3"/>
          </w:tcPr>
          <w:p>
            <w:pPr>
              <w:jc w:val="right"/>
              <w:ind w:right="500"/>
              <w:spacing w:after="0"/>
              <w:rPr>
                <w:sz w:val="20"/>
                <w:szCs w:val="20"/>
                <w:color w:val="auto"/>
              </w:rPr>
            </w:pPr>
            <w:r>
              <w:rPr>
                <w:rFonts w:ascii="Arial" w:cs="Arial" w:eastAsia="Arial" w:hAnsi="Arial"/>
                <w:sz w:val="18"/>
                <w:szCs w:val="18"/>
                <w:color w:val="auto"/>
              </w:rPr>
              <w:t>75</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consists of amounts received from the Economic Development Board of Singapore, which is an affiliate of a shareholder of the Company.</w:t>
      </w:r>
    </w:p>
    <w:p>
      <w:pPr>
        <w:spacing w:after="0" w:line="269" w:lineRule="exact"/>
        <w:rPr>
          <w:sz w:val="20"/>
          <w:szCs w:val="20"/>
          <w:color w:val="auto"/>
        </w:rPr>
      </w:pPr>
    </w:p>
    <w:p>
      <w:pPr>
        <w:ind w:right="9540" w:firstLine="8"/>
        <w:spacing w:after="0" w:line="347" w:lineRule="auto"/>
        <w:tabs>
          <w:tab w:leader="none" w:pos="39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Line of Credit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December 2010, the Company entered into a bank line of credit agreement (the Line of Credit) that is collateralized by the Company’s accounts receivable and provides the Company with the ability to borrow up to $4.0 million, subject to certain covenants and other restrictions. The term of the Line of Credit is two years and it bears interest at the greater of 5.50% or the prime rate, as defined in the Line of Credit, plus 2.25% per year. As of December 31, 2010, the balance on the Line of Credit was $3,125,000.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January 2011, the Company amended and restated its Certificate of Incorporation. The amendment and restatement increased the total number of shares of stock authorized for issuance from 28,470,639 to 29,595,999,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consisting of an increase in the number of shares of common stock authorized from 16,909,116 to 18,327,000 and a decrease in the number of shares of convertible preferred stock authorized from 11,561,523 to 11,268,999. The amendment also decreased the conversion price of the Series E convertible preferred stock from $24.22 to $18.63 per share. As a result, the Company will record a deemed dividend of approximately $9,900,000 to reflect the fair value of the additional shares of common stock to be issued as a result of the change in conversion price of the Series E convertible preferred stock. The deemed dividend will be recognized in fiscal 2011 and will increase the net loss allocable to common stockholders in the calculation of basic and diluted net loss per common share. Future changes, if any, to the conversion price of the Company’s convertible preferred stock or additional shares of common stock that may be issued if the automatic conversion of the Company’s preferred stock is less than the liquidation preference of such stock, may result in additional deemed dividends to be recognized in future periods. The amendment also amended the conditions under which the Company’s outstanding convertible preferred stock will automatically convert into common stock. All outstanding shares of convertible preferred stock will now convert into common stock automatically upon the closing of a firm commitment underwritten initial public offering pursuant to a registration statement filed under the Securities Act of 1933, as amended, in connection with which the Company raises aggregate gross proceeds of at least $25,000,000. In addition, the outstanding convertible preferred stock will be converted into common stock upon the written consent or request for conversion of two-thirds of the outstanding shares of convertible preferred stock, provided that outside the context of an initial public offering, in no event will the Series E convertible preferred stock automatically be converted into common stock without the additional written consent of holders of more than two-thirds of the outstanding shares of Series E convertible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balance of $5,000,000. The Company’s obligations under the Notes are secured by the assets of the Company, excluding intellectual property, and are subordinated to senior indebtedness of the loan agreement entered into in March 2005, as amended and the Line of Credit. Notes issued under the Note Agreement mature on the earliest to occur of the closing of the next financing in which the Company issues and sells shares of capital stock of at least $25,000,000, a change of control as defined in the Note Agreement, when, upon the occurrence and during the continuation of an event of default, such amounts are declared due and payable by the holders of a majority in outstanding principal amount of the Notes, or January 6, 2012 (the maturity date). Outstanding Notes bear interest at 8.0% per annum. In addition, in the event the Company consummates a change of control (as defined in the Note Agreement) prior to repayment of the Notes but after the six month anniversary of their issuance, each holder of a Note will be entitled to repayment of an amount equal to 2.5 times the outstanding principal amount of such Note, together with accrued and unpaid interest on the outstanding principal amount through the closing date of the change of control. In connection with the Note Agreement, the Company issued warrants to acquire a total of 103,182 shares of Series E-1 convertible preferred stock with an exercise price of $0.02 per share. The number of shares of Series E-1 convertible preferred stock issuable under the warrants could increase to a maximum of 185,797 shares in the event the Notes remain outstanding on the six month anniversary of their issuance. The warrants expire at the earlier of January 6, 2021, an acquisition as defined in the Note Agreement, or immediately prior to the closing of a firm commitment underwritten initial public offering.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2011, the Company’s board of directors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 Subject to stockholder approval, the reverse stock split will be effected prior to the effectiveness of a registration statement relating to the initial public offering of the Company’s common stock.</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80"/>
          </w:cols>
          <w:pgMar w:left="240" w:top="459" w:right="37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220345</wp:posOffset>
            </wp:positionV>
            <wp:extent cx="5471160" cy="68522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71160" cy="685228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4955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60"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sets forth all expenses to be paid by the registrant, other than estimated underwriting discounts and commissions, in connection with this offering. All amounts shown are estimates except for the SEC registration fee and the Financial Industry Regulatory Authority, or FINRA, filing fee.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$9,125</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$2,250,000</w:t>
            </w:r>
          </w:p>
        </w:tc>
      </w:tr>
      <w:tr>
        <w:trPr>
          <w:trHeight w:val="110"/>
        </w:trPr>
        <w:tc>
          <w:tcPr>
            <w:tcW w:w="1140" w:type="dxa"/>
            <w:vAlign w:val="bottom"/>
            <w:tcBorders>
              <w:bottom w:val="single" w:sz="8" w:color="auto"/>
            </w:tcBorders>
          </w:tcPr>
          <w:p>
            <w:pPr>
              <w:spacing w:after="0"/>
              <w:rPr>
                <w:sz w:val="9"/>
                <w:szCs w:val="9"/>
                <w:color w:val="auto"/>
              </w:rPr>
            </w:pPr>
          </w:p>
        </w:tc>
        <w:tc>
          <w:tcPr>
            <w:tcW w:w="8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90" w:lineRule="exact"/>
        <w:rPr>
          <w:sz w:val="20"/>
          <w:szCs w:val="20"/>
          <w:color w:val="auto"/>
        </w:rPr>
      </w:pPr>
    </w:p>
    <w:p>
      <w:pPr>
        <w:ind w:left="780" w:hanging="326"/>
        <w:spacing w:after="0" w:line="298" w:lineRule="auto"/>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50" w:lineRule="exact"/>
        <w:rPr>
          <w:rFonts w:ascii="Arial" w:cs="Arial" w:eastAsia="Arial" w:hAnsi="Arial"/>
          <w:sz w:val="18"/>
          <w:szCs w:val="18"/>
          <w:color w:val="auto"/>
        </w:rPr>
      </w:pPr>
    </w:p>
    <w:p>
      <w:pPr>
        <w:jc w:val="both"/>
        <w:ind w:left="780" w:right="240" w:hanging="326"/>
        <w:spacing w:after="0" w:line="259" w:lineRule="auto"/>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59" w:lineRule="exact"/>
        <w:rPr>
          <w:rFonts w:ascii="Arial" w:cs="Arial" w:eastAsia="Arial" w:hAnsi="Arial"/>
          <w:sz w:val="18"/>
          <w:szCs w:val="18"/>
          <w:color w:val="auto"/>
        </w:rPr>
      </w:pPr>
    </w:p>
    <w:p>
      <w:pPr>
        <w:ind w:left="780" w:right="140" w:hanging="326"/>
        <w:spacing w:after="0" w:line="306" w:lineRule="auto"/>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may not retroactively amend the bylaw provisions to reduce its indemnification obligations to directors, officers, employees and agents.</w:t>
      </w:r>
    </w:p>
    <w:p>
      <w:pPr>
        <w:spacing w:after="0" w:line="19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three years prior to the filing of this registration statement, the registrant has issued the following unregistered securities:</w:t>
      </w:r>
    </w:p>
    <w:p>
      <w:pPr>
        <w:spacing w:after="0" w:line="171" w:lineRule="exact"/>
        <w:rPr>
          <w:sz w:val="20"/>
          <w:szCs w:val="20"/>
          <w:color w:val="auto"/>
        </w:rPr>
      </w:pPr>
    </w:p>
    <w:p>
      <w:pPr>
        <w:ind w:firstLine="464"/>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December 20, 2007 through June 11, 2010, the registrant issued and sold an aggregate of 90,014 shares of its common stock upon the exercise of options issued to certain employees, directors and consultants under the registrant’s 1999 Stock Option Plan, as amended, at exercise prices ranging from $0.92 to $14.54, for aggregate consideration of $246,318.</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December 28, 2007 through December 29, 2008, the registrant granted to certain of its employees, directors and consultants under the registrant’s 1999 Stock Option Plan, as amended, options to purchase an aggregate of 531,964 shares of its common stock at exercise prices ranging from $6.60 to $21.99 per share.</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August 3, 2010 through August 30, 2010, the registrant issued and sold an aggregate of 3,726 shares of its common stock upon the exercise of options issued to certain employees, directors and consultants under the registrant’s 2009 Equity Incentive Plan, as amended, at exercise prices ranging from $4.09 to $4.45, for aggregate consideration of $16,388.</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November 17, 2009 through January 24, 2011, the registrant granted to certain of its employees, directors and consultants under the registrant’s 2009 Equity Incentive Plan, as amended, options to purchase an aggregate of 702,831 shares of its common stock at exercise prices ranging from $4.09 to $8.38 per share.</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From October 2007 through December 2007, the registrant issued and sold an aggregate of 1,452,508 shares of Series E preferred stock to a total of seven investors at $24.22 per share, for aggregate proceeds of $35,179,780.</w:t>
      </w:r>
    </w:p>
    <w:p>
      <w:pPr>
        <w:spacing w:after="0" w:line="131" w:lineRule="exact"/>
        <w:rPr>
          <w:rFonts w:ascii="Arial" w:cs="Arial" w:eastAsia="Arial" w:hAnsi="Arial"/>
          <w:sz w:val="18"/>
          <w:szCs w:val="18"/>
          <w:color w:val="auto"/>
        </w:rPr>
      </w:pPr>
    </w:p>
    <w:p>
      <w:pPr>
        <w:ind w:right="80" w:firstLine="464"/>
        <w:spacing w:after="0" w:line="259" w:lineRule="auto"/>
        <w:tabs>
          <w:tab w:leader="none" w:pos="67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December 2007, the registrant issued 990 shares of its common stock to one accredited investor at an issuance price of $8.24 per share for aggregate monetary consideration of $8,160, which amount was deemed paid by the transfer of certain rights granted to registrant pursuant to the terms of a licensing agreement.</w:t>
      </w:r>
    </w:p>
    <w:p>
      <w:pPr>
        <w:spacing w:after="0" w:line="140"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December 2007, the registrant granted to one of its directors under the registrant’s 1999 Stock Option Plan, as amended, options to purchase an aggregate of 16,515 shares of the registrant’s common stock at an exercise price of $14.54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64"/>
        <w:spacing w:after="0" w:line="370" w:lineRule="auto"/>
        <w:tabs>
          <w:tab w:leader="none" w:pos="70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In February 2008, in connection with an amendment to a loan and security agreement between the registrant and Lighthouse Capital Partners V, L.P., or LCP, the registrant issued a warrant to purchase 49,545 shares of the registrant’s Series E preferred stock to LCP, or LCP, at an exercise price of $24.22 per share.</w:t>
      </w:r>
    </w:p>
    <w:p>
      <w:pPr>
        <w:spacing w:after="0" w:line="62" w:lineRule="exact"/>
        <w:rPr>
          <w:rFonts w:ascii="Arial" w:cs="Arial" w:eastAsia="Arial" w:hAnsi="Arial"/>
          <w:sz w:val="15"/>
          <w:szCs w:val="15"/>
          <w:color w:val="auto"/>
        </w:rPr>
      </w:pPr>
    </w:p>
    <w:p>
      <w:pPr>
        <w:ind w:right="160" w:firstLine="464"/>
        <w:spacing w:after="0" w:line="268"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February 2008, the registrant granted to one of its executive officers under the registrant’s 1999 Stock Option Plan, as amended, options to purchase an aggregate of 99,090 shares of the registrant’s common stock at an exercise price of $14.54 per share.</w:t>
      </w:r>
    </w:p>
    <w:p>
      <w:pPr>
        <w:spacing w:after="0" w:line="131" w:lineRule="exact"/>
        <w:rPr>
          <w:rFonts w:ascii="Arial" w:cs="Arial" w:eastAsia="Arial" w:hAnsi="Arial"/>
          <w:sz w:val="18"/>
          <w:szCs w:val="18"/>
          <w:color w:val="auto"/>
        </w:rPr>
      </w:pPr>
    </w:p>
    <w:p>
      <w:pPr>
        <w:ind w:right="500" w:firstLine="464"/>
        <w:spacing w:after="0" w:line="268"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April 2008, the registrant granted to 110 of its employees, consultants and directors under the registrant’s 1999 Stock Option Plan, as amended, options to purchase an aggregate of 316,017 shares of its common stock at an exercise price of $19.31 per share.</w:t>
      </w:r>
    </w:p>
    <w:p>
      <w:pPr>
        <w:spacing w:after="0" w:line="131" w:lineRule="exact"/>
        <w:rPr>
          <w:rFonts w:ascii="Arial" w:cs="Arial" w:eastAsia="Arial" w:hAnsi="Arial"/>
          <w:sz w:val="18"/>
          <w:szCs w:val="18"/>
          <w:color w:val="auto"/>
        </w:rPr>
      </w:pPr>
    </w:p>
    <w:p>
      <w:pPr>
        <w:ind w:right="400" w:firstLine="464"/>
        <w:spacing w:after="0" w:line="370" w:lineRule="auto"/>
        <w:tabs>
          <w:tab w:leader="none" w:pos="70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On May 12, 2008, the registrant issued 2,712 shares of its Series C preferred stock to Imperial Bank pursuant to Imperial Bank’s net exercise of its warrant to purchase up to 6,817 shares of Series C preferred stock. The remainder of the warrant was cancelled pursuant to the terms of the net exercise.</w:t>
      </w:r>
    </w:p>
    <w:p>
      <w:pPr>
        <w:spacing w:after="0" w:line="62" w:lineRule="exact"/>
        <w:rPr>
          <w:rFonts w:ascii="Arial" w:cs="Arial" w:eastAsia="Arial" w:hAnsi="Arial"/>
          <w:sz w:val="15"/>
          <w:szCs w:val="15"/>
          <w:color w:val="auto"/>
        </w:rPr>
      </w:pPr>
    </w:p>
    <w:p>
      <w:pPr>
        <w:ind w:right="360" w:firstLine="464"/>
        <w:spacing w:after="0" w:line="268"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June 2008, the registrant granted to seven of its employees and consultants under the registrant’s 1999 Stock Option Plan, as amended, options to purchase an aggregate of 14,119 shares of its common stock at an exercise price of $20.71 per share.</w:t>
      </w:r>
    </w:p>
    <w:p>
      <w:pPr>
        <w:spacing w:after="0" w:line="131" w:lineRule="exact"/>
        <w:rPr>
          <w:rFonts w:ascii="Arial" w:cs="Arial" w:eastAsia="Arial" w:hAnsi="Arial"/>
          <w:sz w:val="18"/>
          <w:szCs w:val="18"/>
          <w:color w:val="auto"/>
        </w:rPr>
      </w:pPr>
    </w:p>
    <w:p>
      <w:pPr>
        <w:ind w:right="380" w:firstLine="464"/>
        <w:spacing w:after="0" w:line="268" w:lineRule="auto"/>
        <w:tabs>
          <w:tab w:leader="none" w:pos="7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August 2008, the registrant granted to eight of its employees under the registrant’s 1999 Stock Option Plan, as amended, options to purchase an aggregate of 10,650 shares of its common stock at an exercise price of $21.99 per share.</w:t>
      </w:r>
    </w:p>
    <w:p>
      <w:pPr>
        <w:spacing w:after="0" w:line="131" w:lineRule="exact"/>
        <w:rPr>
          <w:rFonts w:ascii="Arial" w:cs="Arial" w:eastAsia="Arial" w:hAnsi="Arial"/>
          <w:sz w:val="18"/>
          <w:szCs w:val="18"/>
          <w:color w:val="auto"/>
        </w:rPr>
      </w:pPr>
    </w:p>
    <w:p>
      <w:pPr>
        <w:ind w:right="300" w:firstLine="464"/>
        <w:spacing w:after="0" w:line="370" w:lineRule="auto"/>
        <w:tabs>
          <w:tab w:leader="none" w:pos="705"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In August 2009, the registrant issued and sold convertible promissory notes with an aggregate principal amount of $10,666,814 and warrants to purchase an aggregate of 220,176 shares of the registrant’s Series E preferred stock an exercise price of $24.22 per share to a total of 100 accredited investors.</w:t>
      </w:r>
    </w:p>
    <w:p>
      <w:pPr>
        <w:spacing w:after="0" w:line="62" w:lineRule="exact"/>
        <w:rPr>
          <w:rFonts w:ascii="Arial" w:cs="Arial" w:eastAsia="Arial" w:hAnsi="Arial"/>
          <w:sz w:val="15"/>
          <w:szCs w:val="15"/>
          <w:color w:val="auto"/>
        </w:rPr>
      </w:pPr>
    </w:p>
    <w:p>
      <w:pPr>
        <w:ind w:right="120" w:firstLine="464"/>
        <w:spacing w:after="0" w:line="306" w:lineRule="auto"/>
        <w:tabs>
          <w:tab w:leader="none" w:pos="7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November 2009, the registrant issued and sold an aggregate of 765,186 shares of the registrant’s Series E preferred stock to a total of 101 accredited investors at a purchase price of $24.22 per share, for aggregate consideration of $18,532,822, of which (i) $11,032,826 was paid by the conversion of indebtedness of the registrant and interest accrued thereon, and (ii) $7,499,996 was paid by cash payments to the registrant.</w:t>
      </w:r>
    </w:p>
    <w:p>
      <w:pPr>
        <w:spacing w:after="0" w:line="106"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November 2009, the registrant granted to seven of its employees and consultants under the registrant’s 2009 Equity Incentive Plan, as amended, options to purchase an aggregate of 108,985 shares of its common stock at an exercise price of $4.09 per share.</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December 2009, as part of a stock option exchange program, the registrant granted to 109 of its employees, directors and consultants under the registrant’s 2009 Equity Incentive Plan, as amended, options to purchase an aggregate of 806,743 shares of the registrant’s common stock at an exercise price of $4.45 per share in exchange for the cancellation by such parties of stock options to purchase an equal number of shares of the registrant’s common stock that were previously outstanding under the registrant’s 1999 Stock Option Plan, as amended.</w:t>
      </w:r>
    </w:p>
    <w:p>
      <w:pPr>
        <w:spacing w:after="0" w:line="112" w:lineRule="exact"/>
        <w:rPr>
          <w:rFonts w:ascii="Arial" w:cs="Arial" w:eastAsia="Arial" w:hAnsi="Arial"/>
          <w:sz w:val="16"/>
          <w:szCs w:val="16"/>
          <w:color w:val="auto"/>
        </w:rPr>
      </w:pPr>
    </w:p>
    <w:p>
      <w:pPr>
        <w:ind w:right="400" w:firstLine="464"/>
        <w:spacing w:after="0" w:line="268" w:lineRule="auto"/>
        <w:tabs>
          <w:tab w:leader="none" w:pos="6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January 2010, the registrant granted to five of its directors under the registrant’s 2009 Equity Incentive Plan, as amended, options to purchase an aggregate of 43,352 shares of its common stock at an exercise price of $4.45 per share.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June 2010, in connection with an amendment to a loan and security agreement between the registrant and LCP, the registrant (i) amended and restated warrants previously issued to LCP and its affiliates to provide that the exercise price of the amended and restated warrants will be reduced to $12.11 per share and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amended and restated warrants will be exercisable for a number of shares of the registrant’s Series D-1 preferred stock or Series E-1 preferred stock, as applicable, equal to the number of shares of the registrant’s Series D preferred stock or Series E preferred stock that was previously issuable upon the exercise of the warrants; and (ii) issued a new warrant to purchase 148,6178 shares of the registrant’s Series E-1 preferred stock to LCP at an exercise price of $12.11 per share.</w:t>
      </w:r>
    </w:p>
    <w:p>
      <w:pPr>
        <w:spacing w:after="0" w:line="143" w:lineRule="exact"/>
        <w:rPr>
          <w:sz w:val="20"/>
          <w:szCs w:val="20"/>
          <w:color w:val="auto"/>
        </w:rPr>
      </w:pPr>
    </w:p>
    <w:p>
      <w:pPr>
        <w:ind w:right="300" w:firstLine="464"/>
        <w:spacing w:after="0" w:line="259"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August 2010, upon exercise of outstanding amended and restated warrants, the registrant issued and sold an aggregate of 57,724 shares of the registrant’s Series E-1 preferred stock and an aggregate of 57,724 shares of the registrant’s common stock to 49 accredited investors for aggregate proceeds of $699,048.</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August 2010, the registrant granted to one of its employees under the registrant’s 2009 Equity Incentive Plan, as amended, options to purchase an aggregate of 115,606 shares of its common stock at an exercise price of $4.45 per share.</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January 2011, the registrant granted to fourteen of its executive officers and directors under the registrant’s 2009 Equity Incentive Plan, as amended, options to purchase an aggregate of 138,150 shares of its common stock at an exercise price of $8.38 per share.</w:t>
      </w:r>
    </w:p>
    <w:p>
      <w:pPr>
        <w:spacing w:after="0" w:line="131" w:lineRule="exact"/>
        <w:rPr>
          <w:rFonts w:ascii="Arial" w:cs="Arial" w:eastAsia="Arial" w:hAnsi="Arial"/>
          <w:sz w:val="18"/>
          <w:szCs w:val="18"/>
          <w:color w:val="auto"/>
        </w:rPr>
      </w:pPr>
    </w:p>
    <w:p>
      <w:pPr>
        <w:jc w:val="both"/>
        <w:ind w:right="120" w:firstLine="464"/>
        <w:spacing w:after="0" w:line="306" w:lineRule="auto"/>
        <w:tabs>
          <w:tab w:leader="none" w:pos="74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January 2011, the registrant issued and sold subordinated secured promissory notes with an aggregate principal amount of $5,000,000 and warrants to purchase an aggregate of 98,751 shares of the registrant’s Series E-1 preferred stock at an exercise price of $0.02 per share to a total of 49 accredited investors all of whom were existing investors in the registrant and had a substantial pre-existing relationship with the registrant.</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4" w:lineRule="exact"/>
        <w:rPr>
          <w:sz w:val="20"/>
          <w:szCs w:val="20"/>
          <w:color w:val="auto"/>
        </w:rPr>
      </w:pPr>
    </w:p>
    <w:p>
      <w:pPr>
        <w:ind w:left="780" w:right="260" w:hanging="326"/>
        <w:spacing w:after="0" w:line="268" w:lineRule="auto"/>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the transactions described in paragraphs (a) through (d), Rule 701 promulgated under the Securities Act as transactions pursuant to a compensatory benefit plan approved by the registrant’s Board of Directors; and</w:t>
      </w:r>
    </w:p>
    <w:p>
      <w:pPr>
        <w:spacing w:after="0" w:line="50" w:lineRule="exact"/>
        <w:rPr>
          <w:rFonts w:ascii="Arial" w:cs="Arial" w:eastAsia="Arial" w:hAnsi="Arial"/>
          <w:sz w:val="18"/>
          <w:szCs w:val="18"/>
          <w:color w:val="auto"/>
        </w:rPr>
      </w:pPr>
    </w:p>
    <w:p>
      <w:pPr>
        <w:ind w:left="780" w:right="80" w:hanging="326"/>
        <w:spacing w:after="0" w:line="294" w:lineRule="auto"/>
        <w:tabs>
          <w:tab w:leader="none" w:pos="7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with respect to the transactions described in paragraphs (e)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6"/>
          <w:szCs w:val="16"/>
          <w:color w:val="auto"/>
        </w:rPr>
        <w:t>The following exhibits are included herein or incorporated herein by reference:</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2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6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Pr>
          <w:p>
            <w:pPr>
              <w:ind w:left="60"/>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(1)</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426"/>
        </w:trPr>
        <w:tc>
          <w:tcPr>
            <w:tcW w:w="500" w:type="dxa"/>
            <w:vAlign w:val="bottom"/>
          </w:tcPr>
          <w:p>
            <w:pPr>
              <w:ind w:left="60"/>
              <w:spacing w:after="0"/>
              <w:rPr>
                <w:sz w:val="20"/>
                <w:szCs w:val="20"/>
                <w:color w:val="auto"/>
              </w:rPr>
            </w:pPr>
            <w:r>
              <w:rPr>
                <w:rFonts w:ascii="Arial" w:cs="Arial" w:eastAsia="Arial" w:hAnsi="Arial"/>
                <w:sz w:val="35"/>
                <w:szCs w:val="35"/>
                <w:color w:val="auto"/>
                <w:w w:val="91"/>
                <w:vertAlign w:val="subscript"/>
              </w:rPr>
              <w:t>3.3</w:t>
            </w:r>
            <w:r>
              <w:rPr>
                <w:rFonts w:ascii="Arial" w:cs="Arial" w:eastAsia="Arial" w:hAnsi="Arial"/>
                <w:sz w:val="11"/>
                <w:szCs w:val="11"/>
                <w:color w:val="auto"/>
                <w:w w:val="91"/>
              </w:rPr>
              <w:t>(3)</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222"/>
        </w:trPr>
        <w:tc>
          <w:tcPr>
            <w:tcW w:w="500" w:type="dxa"/>
            <w:vAlign w:val="bottom"/>
          </w:tcPr>
          <w:p>
            <w:pPr>
              <w:ind w:left="6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ind w:left="60"/>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(1)</w:t>
            </w:r>
          </w:p>
        </w:tc>
        <w:tc>
          <w:tcPr>
            <w:tcW w:w="6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14"/>
                <w:szCs w:val="14"/>
                <w:color w:val="auto"/>
              </w:rPr>
            </w:pPr>
          </w:p>
        </w:tc>
        <w:tc>
          <w:tcPr>
            <w:tcW w:w="99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78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2"/>
              </w:rPr>
              <w:t>Series E Preferred Stock Purchase Agreement dated June 13, 2006 by and among the registrant and the purchasers of the registrant’s</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preferred stock set forth therein, as amended.</w:t>
            </w:r>
          </w:p>
        </w:tc>
        <w:tc>
          <w:tcPr>
            <w:tcW w:w="0" w:type="dxa"/>
            <w:vAlign w:val="bottom"/>
          </w:tcPr>
          <w:p>
            <w:pPr>
              <w:spacing w:after="0"/>
              <w:rPr>
                <w:sz w:val="1"/>
                <w:szCs w:val="1"/>
                <w:color w:val="auto"/>
              </w:rPr>
            </w:pPr>
          </w:p>
        </w:tc>
      </w:tr>
      <w:tr>
        <w:trPr>
          <w:trHeight w:val="426"/>
        </w:trPr>
        <w:tc>
          <w:tcPr>
            <w:tcW w:w="720" w:type="dxa"/>
            <w:vAlign w:val="bottom"/>
            <w:gridSpan w:val="2"/>
          </w:tcPr>
          <w:p>
            <w:pPr>
              <w:jc w:val="right"/>
              <w:ind w:right="212"/>
              <w:spacing w:after="0"/>
              <w:rPr>
                <w:sz w:val="20"/>
                <w:szCs w:val="20"/>
                <w:color w:val="auto"/>
              </w:rPr>
            </w:pPr>
            <w:r>
              <w:rPr>
                <w:rFonts w:ascii="Arial" w:cs="Arial" w:eastAsia="Arial" w:hAnsi="Arial"/>
                <w:sz w:val="35"/>
                <w:szCs w:val="35"/>
                <w:color w:val="auto"/>
                <w:w w:val="91"/>
                <w:vertAlign w:val="subscript"/>
              </w:rPr>
              <w:t>4.3</w:t>
            </w:r>
            <w:r>
              <w:rPr>
                <w:rFonts w:ascii="Arial" w:cs="Arial" w:eastAsia="Arial" w:hAnsi="Arial"/>
                <w:sz w:val="11"/>
                <w:szCs w:val="11"/>
                <w:color w:val="auto"/>
                <w:w w:val="91"/>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216"/>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8"/>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97"/>
              </w:rPr>
              <w:t>4.5</w:t>
            </w:r>
            <w:r>
              <w:rPr>
                <w:rFonts w:ascii="Arial" w:cs="Arial" w:eastAsia="Arial" w:hAnsi="Arial"/>
                <w:sz w:val="22"/>
                <w:szCs w:val="22"/>
                <w:color w:val="auto"/>
                <w:w w:val="97"/>
                <w:vertAlign w:val="superscript"/>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1"/>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41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97"/>
              </w:rPr>
              <w:t>4.7</w:t>
            </w:r>
            <w:r>
              <w:rPr>
                <w:rFonts w:ascii="Arial" w:cs="Arial" w:eastAsia="Arial" w:hAnsi="Arial"/>
                <w:sz w:val="22"/>
                <w:szCs w:val="22"/>
                <w:color w:val="auto"/>
                <w:w w:val="97"/>
                <w:vertAlign w:val="superscript"/>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234"/>
        </w:trPr>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4.8</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7"/>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10.1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10.2</w:t>
            </w:r>
            <w:r>
              <w:rPr>
                <w:rFonts w:ascii="Arial" w:cs="Arial" w:eastAsia="Arial" w:hAnsi="Arial"/>
                <w:sz w:val="11"/>
                <w:szCs w:val="11"/>
                <w:color w:val="auto"/>
                <w:w w:val="86"/>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10.2A</w:t>
            </w:r>
            <w:r>
              <w:rPr>
                <w:rFonts w:ascii="Arial" w:cs="Arial" w:eastAsia="Arial" w:hAnsi="Arial"/>
                <w:sz w:val="11"/>
                <w:szCs w:val="11"/>
                <w:color w:val="auto"/>
                <w:w w:val="92"/>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10.3</w:t>
            </w:r>
            <w:r>
              <w:rPr>
                <w:rFonts w:ascii="Arial" w:cs="Arial" w:eastAsia="Arial" w:hAnsi="Arial"/>
                <w:sz w:val="11"/>
                <w:szCs w:val="11"/>
                <w:color w:val="auto"/>
                <w:w w:val="86"/>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10.3A</w:t>
            </w:r>
            <w:r>
              <w:rPr>
                <w:rFonts w:ascii="Arial" w:cs="Arial" w:eastAsia="Arial" w:hAnsi="Arial"/>
                <w:sz w:val="11"/>
                <w:szCs w:val="11"/>
                <w:color w:val="auto"/>
                <w:w w:val="92"/>
              </w:rPr>
              <w:t>(3)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10.4</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212"/>
              <w:spacing w:after="0"/>
              <w:rPr>
                <w:sz w:val="20"/>
                <w:szCs w:val="20"/>
                <w:color w:val="auto"/>
              </w:rPr>
            </w:pPr>
            <w:r>
              <w:rPr>
                <w:rFonts w:ascii="Arial" w:cs="Arial" w:eastAsia="Arial" w:hAnsi="Arial"/>
                <w:sz w:val="18"/>
                <w:szCs w:val="18"/>
                <w:color w:val="auto"/>
                <w:w w:val="89"/>
              </w:rPr>
              <w:t>10.4A</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0"/>
              </w:rPr>
              <w:t>10.5</w:t>
            </w:r>
            <w:r>
              <w:rPr>
                <w:rFonts w:ascii="Arial" w:cs="Arial" w:eastAsia="Arial" w:hAnsi="Arial"/>
                <w:sz w:val="11"/>
                <w:szCs w:val="11"/>
                <w:color w:val="auto"/>
                <w:w w:val="90"/>
              </w:rPr>
              <w:t>(2)(3)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2"/>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10.5A</w:t>
            </w:r>
            <w:r>
              <w:rPr>
                <w:rFonts w:ascii="Arial" w:cs="Arial" w:eastAsia="Arial" w:hAnsi="Arial"/>
                <w:sz w:val="11"/>
                <w:szCs w:val="11"/>
                <w:color w:val="auto"/>
                <w:w w:val="91"/>
              </w:rPr>
              <w:t>(2)(3)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41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22"/>
                <w:szCs w:val="22"/>
                <w:color w:val="auto"/>
                <w:vertAlign w:val="superscript"/>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Lease Agreement between ARE - San Francisco No. 17 LLC and the registrant, dated September 14, 2010, as amended September 22,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Tenancy for Flatted Factory Space in Singapore between JTC Corporation and the registrant dated July 27, 2005, as amended August 12,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2008 and May 31,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Collaboration and Option Agreement by and between Novartis Vaccines &amp; Diagnostics, Inc. and the registrant dated May 17, 2010,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including all exhibits thereto.</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1004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10.23</w:t>
            </w:r>
            <w:r>
              <w:rPr>
                <w:rFonts w:ascii="Arial" w:cs="Arial" w:eastAsia="Arial" w:hAnsi="Arial"/>
                <w:sz w:val="11"/>
                <w:szCs w:val="11"/>
                <w:color w:val="auto"/>
                <w:w w:val="97"/>
              </w:rPr>
              <w:t>(2)(3)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65"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All schedules have been omitted because the information required to be presented in them is not applicable or is shown in the consolidated financial statements or related notes.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right="160" w:firstLine="464"/>
        <w:spacing w:after="0" w:line="306" w:lineRule="auto"/>
        <w:tabs>
          <w:tab w:leader="none" w:pos="70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3 to the registration statement to be signed on its behalf by the undersigned, thereunto duly authorized, in the City of Palo Alto, State of California, on the 28th day of January, 2011.</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Gajus V. Worthington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3 to the registration statement has been signed by the following persons in the capacities indicated on the 28th day of January,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w w:val="89"/>
              </w:rPr>
              <w:t>/s/ Gajus V. Worthington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89"/>
              </w:rPr>
              <w:t>President, Chief Executive Officer and 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8"/>
        </w:trPr>
        <w:tc>
          <w:tcPr>
            <w:tcW w:w="660" w:type="dxa"/>
            <w:vAlign w:val="bottom"/>
          </w:tcPr>
          <w:p>
            <w:pPr>
              <w:spacing w:after="0"/>
              <w:rPr>
                <w:sz w:val="18"/>
                <w:szCs w:val="18"/>
                <w:color w:val="auto"/>
              </w:rPr>
            </w:pPr>
          </w:p>
        </w:tc>
        <w:tc>
          <w:tcPr>
            <w:tcW w:w="3460" w:type="dxa"/>
            <w:vAlign w:val="bottom"/>
          </w:tcPr>
          <w:p>
            <w:pPr>
              <w:jc w:val="center"/>
              <w:ind w:right="573"/>
              <w:spacing w:after="0"/>
              <w:rPr>
                <w:sz w:val="20"/>
                <w:szCs w:val="20"/>
                <w:color w:val="auto"/>
              </w:rPr>
            </w:pPr>
            <w:r>
              <w:rPr>
                <w:rFonts w:ascii="Arial" w:cs="Arial" w:eastAsia="Arial" w:hAnsi="Arial"/>
                <w:sz w:val="18"/>
                <w:szCs w:val="18"/>
                <w:color w:val="auto"/>
                <w:w w:val="88"/>
              </w:rPr>
              <w:t>Gajus V. Worthington</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jc w:val="center"/>
              <w:ind w:right="474"/>
              <w:spacing w:after="0" w:line="202" w:lineRule="exact"/>
              <w:rPr>
                <w:sz w:val="20"/>
                <w:szCs w:val="20"/>
                <w:color w:val="auto"/>
              </w:rPr>
            </w:pPr>
            <w:r>
              <w:rPr>
                <w:rFonts w:ascii="Arial" w:cs="Arial" w:eastAsia="Arial" w:hAnsi="Arial"/>
                <w:sz w:val="18"/>
                <w:szCs w:val="18"/>
                <w:color w:val="auto"/>
                <w:w w:val="92"/>
              </w:rPr>
              <w:t>(Principal Executive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7"/>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w w:val="89"/>
              </w:rPr>
              <w:t>/s/ Vikram Jog</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Chief Financial Officer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8"/>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91"/>
              </w:rPr>
              <w:t>Vikram Jog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jc w:val="center"/>
              <w:ind w:right="474"/>
              <w:spacing w:after="0" w:line="202" w:lineRule="exact"/>
              <w:rPr>
                <w:sz w:val="20"/>
                <w:szCs w:val="20"/>
                <w:color w:val="auto"/>
              </w:rPr>
            </w:pPr>
            <w:r>
              <w:rPr>
                <w:rFonts w:ascii="Arial" w:cs="Arial" w:eastAsia="Arial" w:hAnsi="Arial"/>
                <w:sz w:val="18"/>
                <w:szCs w:val="18"/>
                <w:color w:val="auto"/>
                <w:w w:val="90"/>
              </w:rPr>
              <w:t>(Principal Accounting and Financial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7"/>
              </w:rPr>
              <w:t>Jeremy Loh</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73"/>
              <w:spacing w:after="0"/>
              <w:rPr>
                <w:sz w:val="20"/>
                <w:szCs w:val="20"/>
                <w:color w:val="auto"/>
              </w:rPr>
            </w:pPr>
            <w:r>
              <w:rPr>
                <w:rFonts w:ascii="Arial" w:cs="Arial" w:eastAsia="Arial" w:hAnsi="Arial"/>
                <w:sz w:val="18"/>
                <w:szCs w:val="18"/>
                <w:color w:val="auto"/>
                <w:w w:val="89"/>
              </w:rPr>
              <w:t>Samuel Colella</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6"/>
              </w:rPr>
              <w:t>Kenneth Nussbacher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90"/>
              </w:rPr>
              <w:t>Raymond Whitaker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January 28,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9"/>
              </w:rPr>
              <w:t>John A. Young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/s/ Gajus V. Worthington</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3460" w:type="dxa"/>
            <w:vAlign w:val="bottom"/>
          </w:tcPr>
          <w:p>
            <w:pPr>
              <w:jc w:val="center"/>
              <w:ind w:left="733"/>
              <w:spacing w:after="0" w:line="202" w:lineRule="exact"/>
              <w:rPr>
                <w:sz w:val="20"/>
                <w:szCs w:val="20"/>
                <w:color w:val="auto"/>
              </w:rPr>
            </w:pPr>
            <w:r>
              <w:rPr>
                <w:rFonts w:ascii="Arial" w:cs="Arial" w:eastAsia="Arial" w:hAnsi="Arial"/>
                <w:sz w:val="18"/>
                <w:szCs w:val="18"/>
                <w:color w:val="auto"/>
                <w:w w:val="88"/>
              </w:rPr>
              <w:t>Gajus V. Worthington</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3460" w:type="dxa"/>
            <w:vAlign w:val="bottom"/>
          </w:tcPr>
          <w:p>
            <w:pPr>
              <w:jc w:val="center"/>
              <w:ind w:left="753"/>
              <w:spacing w:after="0"/>
              <w:rPr>
                <w:sz w:val="20"/>
                <w:szCs w:val="20"/>
                <w:color w:val="auto"/>
              </w:rPr>
            </w:pPr>
            <w:r>
              <w:rPr>
                <w:rFonts w:ascii="Arial" w:cs="Arial" w:eastAsia="Arial" w:hAnsi="Arial"/>
                <w:sz w:val="18"/>
                <w:szCs w:val="18"/>
                <w:color w:val="auto"/>
                <w:w w:val="92"/>
              </w:rPr>
              <w:t>Attorney-in-Fact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4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/s/ Vikram Jog</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3460" w:type="dxa"/>
            <w:vAlign w:val="bottom"/>
          </w:tcPr>
          <w:p>
            <w:pPr>
              <w:jc w:val="center"/>
              <w:ind w:left="753"/>
              <w:spacing w:after="0" w:line="202" w:lineRule="exact"/>
              <w:rPr>
                <w:sz w:val="20"/>
                <w:szCs w:val="20"/>
                <w:color w:val="auto"/>
              </w:rPr>
            </w:pPr>
            <w:r>
              <w:rPr>
                <w:rFonts w:ascii="Arial" w:cs="Arial" w:eastAsia="Arial" w:hAnsi="Arial"/>
                <w:sz w:val="18"/>
                <w:szCs w:val="18"/>
                <w:color w:val="auto"/>
                <w:w w:val="91"/>
              </w:rPr>
              <w:t>Vikram Jog</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3460" w:type="dxa"/>
            <w:vAlign w:val="bottom"/>
          </w:tcPr>
          <w:p>
            <w:pPr>
              <w:jc w:val="center"/>
              <w:ind w:left="753"/>
              <w:spacing w:after="0"/>
              <w:rPr>
                <w:sz w:val="20"/>
                <w:szCs w:val="20"/>
                <w:color w:val="auto"/>
              </w:rPr>
            </w:pPr>
            <w:r>
              <w:rPr>
                <w:rFonts w:ascii="Arial" w:cs="Arial" w:eastAsia="Arial" w:hAnsi="Arial"/>
                <w:sz w:val="18"/>
                <w:szCs w:val="18"/>
                <w:color w:val="auto"/>
                <w:w w:val="92"/>
              </w:rPr>
              <w:t>Attorney-in-Fact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8"/>
        </w:trPr>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ind w:left="660"/>
              <w:spacing w:after="0"/>
              <w:rPr>
                <w:sz w:val="20"/>
                <w:szCs w:val="20"/>
                <w:color w:val="auto"/>
              </w:rPr>
            </w:pPr>
            <w:r>
              <w:rPr>
                <w:rFonts w:ascii="Arial" w:cs="Arial" w:eastAsia="Arial" w:hAnsi="Arial"/>
                <w:sz w:val="18"/>
                <w:szCs w:val="18"/>
                <w:color w:val="auto"/>
              </w:rPr>
              <w:t>II-8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24"/>
                <w:szCs w:val="2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1.1</w:t>
            </w:r>
            <w:r>
              <w:rPr>
                <w:rFonts w:ascii="Arial" w:cs="Arial" w:eastAsia="Arial" w:hAnsi="Arial"/>
                <w:sz w:val="22"/>
                <w:szCs w:val="22"/>
                <w:color w:val="auto"/>
                <w:vertAlign w:val="superscript"/>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36"/>
        </w:trPr>
        <w:tc>
          <w:tcPr>
            <w:tcW w:w="660" w:type="dxa"/>
            <w:vAlign w:val="bottom"/>
            <w:gridSpan w:val="2"/>
          </w:tcPr>
          <w:p>
            <w:pPr>
              <w:ind w:left="100"/>
              <w:spacing w:after="0" w:line="336" w:lineRule="exact"/>
              <w:rPr>
                <w:sz w:val="20"/>
                <w:szCs w:val="20"/>
                <w:color w:val="auto"/>
              </w:rPr>
            </w:pPr>
            <w:r>
              <w:rPr>
                <w:rFonts w:ascii="Arial" w:cs="Arial" w:eastAsia="Arial" w:hAnsi="Arial"/>
                <w:sz w:val="35"/>
                <w:szCs w:val="35"/>
                <w:color w:val="auto"/>
                <w:vertAlign w:val="subscript"/>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4.1</w:t>
            </w:r>
            <w:r>
              <w:rPr>
                <w:rFonts w:ascii="Arial" w:cs="Arial" w:eastAsia="Arial" w:hAnsi="Arial"/>
                <w:sz w:val="11"/>
                <w:szCs w:val="11"/>
                <w:color w:val="auto"/>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88"/>
              </w:rPr>
              <w:t>Series E Preferred Stock Purchase Agreement dated June 13, 2006 by and among the registrant and the purchasers of the registrant’s preferred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stock set forth therein,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line="317" w:lineRule="exact"/>
              <w:rPr>
                <w:sz w:val="20"/>
                <w:szCs w:val="20"/>
                <w:color w:val="auto"/>
              </w:rPr>
            </w:pPr>
            <w:r>
              <w:rPr>
                <w:rFonts w:ascii="Arial" w:cs="Arial" w:eastAsia="Arial" w:hAnsi="Arial"/>
                <w:sz w:val="35"/>
                <w:szCs w:val="35"/>
                <w:color w:val="auto"/>
                <w:vertAlign w:val="subscript"/>
              </w:rPr>
              <w:t>4.4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0"/>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1"/>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3"/>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4.7</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41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5.1</w:t>
            </w:r>
            <w:r>
              <w:rPr>
                <w:rFonts w:ascii="Arial" w:cs="Arial" w:eastAsia="Arial" w:hAnsi="Arial"/>
                <w:sz w:val="22"/>
                <w:szCs w:val="22"/>
                <w:color w:val="auto"/>
                <w:vertAlign w:val="superscript"/>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10.3A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10.4A</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10.5A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line="317" w:lineRule="exact"/>
              <w:rPr>
                <w:sz w:val="20"/>
                <w:szCs w:val="20"/>
                <w:color w:val="auto"/>
              </w:rPr>
            </w:pPr>
            <w:r>
              <w:rPr>
                <w:rFonts w:ascii="Arial" w:cs="Arial" w:eastAsia="Arial" w:hAnsi="Arial"/>
                <w:sz w:val="35"/>
                <w:szCs w:val="35"/>
                <w:color w:val="auto"/>
                <w:vertAlign w:val="subscript"/>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1004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Lease Agreement between ARE-San Francisco No. 17, LLC and the registrant, dated September 14, 2010, as amended September 22, 2010.</w:t>
            </w:r>
          </w:p>
        </w:tc>
        <w:tc>
          <w:tcPr>
            <w:tcW w:w="0" w:type="dxa"/>
            <w:vAlign w:val="bottom"/>
          </w:tcPr>
          <w:p>
            <w:pPr>
              <w:spacing w:after="0"/>
              <w:rPr>
                <w:sz w:val="1"/>
                <w:szCs w:val="1"/>
                <w:color w:val="auto"/>
              </w:rPr>
            </w:pPr>
          </w:p>
        </w:tc>
      </w:tr>
      <w:tr>
        <w:trPr>
          <w:trHeight w:val="331"/>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7"/>
              </w:rPr>
              <w:t>Tenancy for Flatted Factory Space in Singapore between JTC Corporation and the registrant dated July 27, 2005, as amended August 12, 2008</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May 31, 2010.</w:t>
            </w: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10.21</w:t>
            </w:r>
            <w:r>
              <w:rPr>
                <w:rFonts w:ascii="Arial" w:cs="Arial" w:eastAsia="Arial" w:hAnsi="Arial"/>
                <w:sz w:val="11"/>
                <w:szCs w:val="11"/>
                <w:color w:val="auto"/>
                <w:w w:val="97"/>
              </w:rPr>
              <w:t>(2)(3)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 and the registrant dated May 17, 2010, including</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all exhibits thereto.</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10.22</w:t>
            </w:r>
            <w:r>
              <w:rPr>
                <w:rFonts w:ascii="Arial" w:cs="Arial" w:eastAsia="Arial" w:hAnsi="Arial"/>
                <w:sz w:val="11"/>
                <w:szCs w:val="11"/>
                <w:color w:val="auto"/>
                <w:w w:val="97"/>
              </w:rPr>
              <w:t>(2)(3)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10.23</w:t>
            </w:r>
            <w:r>
              <w:rPr>
                <w:rFonts w:ascii="Arial" w:cs="Arial" w:eastAsia="Arial" w:hAnsi="Arial"/>
                <w:sz w:val="11"/>
                <w:szCs w:val="11"/>
                <w:color w:val="auto"/>
                <w:w w:val="97"/>
              </w:rPr>
              <w:t>(2)(3)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60"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3.1.1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AMENDED AND RESTATED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58" w:lineRule="exact"/>
        <w:rPr>
          <w:sz w:val="20"/>
          <w:szCs w:val="20"/>
          <w:color w:val="auto"/>
        </w:rPr>
      </w:pPr>
    </w:p>
    <w:p>
      <w:pPr>
        <w:ind w:right="180" w:firstLine="799"/>
        <w:spacing w:after="0" w:line="251" w:lineRule="auto"/>
        <w:rPr>
          <w:sz w:val="20"/>
          <w:szCs w:val="20"/>
          <w:color w:val="auto"/>
        </w:rPr>
      </w:pPr>
      <w:r>
        <w:rPr>
          <w:rFonts w:ascii="Arial" w:cs="Arial" w:eastAsia="Arial" w:hAnsi="Arial"/>
          <w:sz w:val="22"/>
          <w:szCs w:val="22"/>
          <w:color w:val="auto"/>
        </w:rPr>
        <w:t>Fluidigm Corporation, a corporation organized and existing under the laws of the State of Delaware (the “</w:t>
      </w:r>
      <w:r>
        <w:rPr>
          <w:rFonts w:ascii="Arial" w:cs="Arial" w:eastAsia="Arial" w:hAnsi="Arial"/>
          <w:sz w:val="22"/>
          <w:szCs w:val="22"/>
          <w:u w:val="single" w:color="auto"/>
          <w:color w:val="auto"/>
        </w:rPr>
        <w:t>Corporation</w:t>
      </w:r>
      <w:r>
        <w:rPr>
          <w:rFonts w:ascii="Arial" w:cs="Arial" w:eastAsia="Arial" w:hAnsi="Arial"/>
          <w:sz w:val="22"/>
          <w:szCs w:val="22"/>
          <w:color w:val="auto"/>
        </w:rPr>
        <w:t>”), certifies that:</w:t>
      </w:r>
    </w:p>
    <w:p>
      <w:pPr>
        <w:spacing w:after="0" w:line="119" w:lineRule="exact"/>
        <w:rPr>
          <w:sz w:val="20"/>
          <w:szCs w:val="20"/>
          <w:color w:val="auto"/>
        </w:rPr>
      </w:pPr>
    </w:p>
    <w:p>
      <w:pPr>
        <w:ind w:right="120" w:firstLine="807"/>
        <w:spacing w:after="0" w:line="251" w:lineRule="auto"/>
        <w:tabs>
          <w:tab w:leader="none" w:pos="143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name of the corporation is Fluidigm Corporation. The original Certificate of Incorporation of the Corporation was filed with the Secretary of State of the State of Delaware on March 29, 2007.</w:t>
      </w:r>
    </w:p>
    <w:p>
      <w:pPr>
        <w:spacing w:after="0" w:line="119" w:lineRule="exact"/>
        <w:rPr>
          <w:rFonts w:ascii="Arial" w:cs="Arial" w:eastAsia="Arial" w:hAnsi="Arial"/>
          <w:sz w:val="22"/>
          <w:szCs w:val="22"/>
          <w:color w:val="auto"/>
        </w:rPr>
      </w:pPr>
    </w:p>
    <w:p>
      <w:pPr>
        <w:ind w:left="1440" w:hanging="633"/>
        <w:spacing w:after="0"/>
        <w:tabs>
          <w:tab w:leader="none" w:pos="1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Seventh Amended and Restated Certificate of Incorporation was duly adopted in accordance with</w:t>
      </w:r>
    </w:p>
    <w:p>
      <w:pPr>
        <w:spacing w:after="0" w:line="8" w:lineRule="exact"/>
        <w:rPr>
          <w:sz w:val="20"/>
          <w:szCs w:val="20"/>
          <w:color w:val="auto"/>
        </w:rPr>
      </w:pPr>
    </w:p>
    <w:p>
      <w:pPr>
        <w:ind w:right="520"/>
        <w:spacing w:after="0" w:line="237" w:lineRule="auto"/>
        <w:rPr>
          <w:sz w:val="20"/>
          <w:szCs w:val="20"/>
          <w:color w:val="auto"/>
        </w:rPr>
      </w:pPr>
      <w:r>
        <w:rPr>
          <w:rFonts w:ascii="Arial" w:cs="Arial" w:eastAsia="Arial" w:hAnsi="Arial"/>
          <w:sz w:val="22"/>
          <w:szCs w:val="22"/>
          <w:color w:val="auto"/>
        </w:rPr>
        <w:t>Sections 242 and 245 of the General Corporation Law of the State of Delaware and restates, integrates and further amends the provisions of the Corporation’s Sixth Amended and Restated Certificate of Incorporation.</w:t>
      </w:r>
    </w:p>
    <w:p>
      <w:pPr>
        <w:spacing w:after="0" w:line="131" w:lineRule="exact"/>
        <w:rPr>
          <w:sz w:val="20"/>
          <w:szCs w:val="20"/>
          <w:color w:val="auto"/>
        </w:rPr>
      </w:pPr>
    </w:p>
    <w:p>
      <w:pPr>
        <w:ind w:right="420" w:firstLine="807"/>
        <w:spacing w:after="0" w:line="251" w:lineRule="auto"/>
        <w:tabs>
          <w:tab w:leader="none" w:pos="142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text of the Sixth Amended and Restated Certificate of Incorporation is amended and restated to read as set forth in EXHIBIT A attached hereto.</w:t>
      </w:r>
    </w:p>
    <w:p>
      <w:pPr>
        <w:spacing w:after="0" w:line="119" w:lineRule="exact"/>
        <w:rPr>
          <w:sz w:val="20"/>
          <w:szCs w:val="20"/>
          <w:color w:val="auto"/>
        </w:rPr>
      </w:pPr>
    </w:p>
    <w:p>
      <w:pPr>
        <w:ind w:right="960" w:firstLine="799"/>
        <w:spacing w:after="0" w:line="328" w:lineRule="auto"/>
        <w:rPr>
          <w:sz w:val="20"/>
          <w:szCs w:val="20"/>
          <w:color w:val="auto"/>
        </w:rPr>
      </w:pPr>
      <w:r>
        <w:rPr>
          <w:rFonts w:ascii="Arial" w:cs="Arial" w:eastAsia="Arial" w:hAnsi="Arial"/>
          <w:sz w:val="19"/>
          <w:szCs w:val="19"/>
          <w:color w:val="auto"/>
        </w:rPr>
        <w:t>IN WITNESS WHEREOF, Fluidigm Corporation has caused this Seventh Amended and Restated Certificate of Incorporation to be signed by Gajus V. Worthington, a duly authorized officer of the Corporation, on January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226060</wp:posOffset>
            </wp:positionV>
            <wp:extent cx="28987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6017260</wp:posOffset>
            </wp:positionH>
            <wp:positionV relativeFrom="paragraph">
              <wp:posOffset>-81915</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Gajus V. Worthington,</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1420"/>
          </w:cols>
          <w:pgMar w:left="240" w:top="112"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name of the corporation is Fluidigm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52" w:lineRule="exact"/>
        <w:rPr>
          <w:sz w:val="20"/>
          <w:szCs w:val="20"/>
          <w:color w:val="auto"/>
        </w:rPr>
      </w:pPr>
    </w:p>
    <w:p>
      <w:pPr>
        <w:ind w:right="140" w:firstLine="799"/>
        <w:spacing w:after="0" w:line="251" w:lineRule="auto"/>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General Corporation Law of the State of Delaware.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152" w:lineRule="exact"/>
        <w:rPr>
          <w:sz w:val="20"/>
          <w:szCs w:val="20"/>
          <w:color w:val="auto"/>
        </w:rPr>
      </w:pPr>
    </w:p>
    <w:p>
      <w:pPr>
        <w:ind w:right="20" w:firstLine="799"/>
        <w:spacing w:after="0"/>
        <w:rPr>
          <w:sz w:val="20"/>
          <w:szCs w:val="20"/>
          <w:color w:val="auto"/>
        </w:rPr>
      </w:pPr>
      <w:r>
        <w:rPr>
          <w:rFonts w:ascii="Arial" w:cs="Arial" w:eastAsia="Arial" w:hAnsi="Arial"/>
          <w:sz w:val="22"/>
          <w:szCs w:val="22"/>
          <w:color w:val="auto"/>
        </w:rPr>
        <w:t>The address of the Corporation’s registered office in the State of Delaware is Corporation Trust Center, 1209 Orange Street, Wilmington, New Castle County, Delaware 19801. The name of its registered agent at such address is The Corporation Trust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152" w:lineRule="exact"/>
        <w:rPr>
          <w:sz w:val="20"/>
          <w:szCs w:val="20"/>
          <w:color w:val="auto"/>
        </w:rPr>
      </w:pPr>
    </w:p>
    <w:p>
      <w:pPr>
        <w:jc w:val="both"/>
        <w:ind w:firstLine="807"/>
        <w:spacing w:after="0" w:line="244" w:lineRule="auto"/>
        <w:tabs>
          <w:tab w:leader="none" w:pos="1406"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Reverse Stock Split</w:t>
      </w:r>
      <w:r>
        <w:rPr>
          <w:rFonts w:ascii="Arial" w:cs="Arial" w:eastAsia="Arial" w:hAnsi="Arial"/>
          <w:sz w:val="21"/>
          <w:szCs w:val="21"/>
          <w:color w:val="auto"/>
        </w:rPr>
        <w:t>. Immediately upon the filing of this Seventh Amended and Restated Certificate of Incorporation, each one and seventy-three hundredth (1.73) outstanding shares of Common Stock and each one and seventy-three hundredth (1.73) outstanding shares of Preferred Stock will be exchanged and combined, automatically and without further action, into one (1) share of Common Stock and one (1) share of Preferred Stock, respectively (the “</w:t>
      </w:r>
      <w:r>
        <w:rPr>
          <w:rFonts w:ascii="Arial" w:cs="Arial" w:eastAsia="Arial" w:hAnsi="Arial"/>
          <w:sz w:val="21"/>
          <w:szCs w:val="21"/>
          <w:u w:val="single" w:color="auto"/>
          <w:color w:val="auto"/>
        </w:rPr>
        <w:t>Reverse Split</w:t>
      </w:r>
      <w:r>
        <w:rPr>
          <w:rFonts w:ascii="Arial" w:cs="Arial" w:eastAsia="Arial" w:hAnsi="Arial"/>
          <w:sz w:val="21"/>
          <w:szCs w:val="21"/>
          <w:color w:val="auto"/>
        </w:rPr>
        <w:t>”). The Reverse Split shall be effected on a certificate-by-certificate basis and no fractional shares shall be issued upon the exchange and combination. In lieu of any fractional shares to which the holder would otherwise be entitled, the Corporation shall pay an amount of cash equal to the product of (i) the fractional share to which the holder would otherwise be entitled and (ii) the then fair value of a share as determined in good faith by the Board of Directors. All share and per share amounts set forth in this Seventh Amended and Restated Certificate of Incorporation, including such amounts set forth elsewhere in this Article IV, have been revised to reflect the Reverse Split, and, accordingly, no further adjustment in accordance with the terms of this Seventh Amended and Restated Certificate of Incorporation is necessary.</w:t>
      </w:r>
    </w:p>
    <w:p>
      <w:pPr>
        <w:spacing w:after="0" w:line="136" w:lineRule="exact"/>
        <w:rPr>
          <w:sz w:val="20"/>
          <w:szCs w:val="20"/>
          <w:color w:val="auto"/>
        </w:rPr>
      </w:pPr>
    </w:p>
    <w:p>
      <w:pPr>
        <w:jc w:val="both"/>
        <w:ind w:firstLine="799"/>
        <w:spacing w:after="0" w:line="277" w:lineRule="auto"/>
        <w:rPr>
          <w:sz w:val="20"/>
          <w:szCs w:val="20"/>
          <w:color w:val="auto"/>
        </w:rPr>
      </w:pPr>
      <w:r>
        <w:rPr>
          <w:rFonts w:ascii="Arial" w:cs="Arial" w:eastAsia="Arial" w:hAnsi="Arial"/>
          <w:sz w:val="19"/>
          <w:szCs w:val="19"/>
          <w:color w:val="auto"/>
        </w:rPr>
        <w:t>The Reverse Split shall occur automatically without any further action by the holders of the shares affected thereby, and whether or not the certificates representing such shares are surrendered to the Corporation or its transfer agent. The Corporation shall not be obligated to issue certificates evidencing the shares of Common Stock or Preferred Stock, as the case may be, resulting from the Reverse Split unless the certificates evidencing such shares of Common Stock or Preferred Stock are either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shall, as soon as practicable after</w:t>
      </w:r>
    </w:p>
    <w:p>
      <w:pPr>
        <w:sectPr>
          <w:pgSz w:w="11900" w:h="16838" w:orient="portrait"/>
          <w:cols w:equalWidth="0" w:num="1">
            <w:col w:w="11420"/>
          </w:cols>
          <w:pgMar w:left="240" w:top="261" w:right="239" w:bottom="1440" w:gutter="0" w:footer="0" w:header="0"/>
        </w:sectPr>
      </w:pPr>
    </w:p>
    <w:bookmarkStart w:id="216" w:name="page217"/>
    <w:bookmarkEnd w:id="216"/>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delivery, or such agreement and indemnification in the case of a lost, stolen or destroyed certificate, issue and deliver at such office to such holder of Common Stock or Preferred Stock, as the case may be, a certificate or certificates for the number of shares of Common Stock or Preferred Stock and a check payable to the holder in the amount of any cash amounts payable as the result of a conversion of fractional shares into cash to which he or she shall be entitled as aforesaid.</w:t>
      </w:r>
    </w:p>
    <w:p>
      <w:pPr>
        <w:spacing w:after="0" w:line="89" w:lineRule="exact"/>
        <w:rPr>
          <w:sz w:val="20"/>
          <w:szCs w:val="20"/>
          <w:color w:val="auto"/>
        </w:rPr>
      </w:pPr>
    </w:p>
    <w:p>
      <w:pPr>
        <w:ind w:right="100" w:firstLine="807"/>
        <w:spacing w:after="0" w:line="273" w:lineRule="auto"/>
        <w:tabs>
          <w:tab w:leader="none" w:pos="117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Classes of Stock</w:t>
      </w:r>
      <w:r>
        <w:rPr>
          <w:rFonts w:ascii="Arial" w:cs="Arial" w:eastAsia="Arial" w:hAnsi="Arial"/>
          <w:sz w:val="19"/>
          <w:szCs w:val="19"/>
          <w:color w:val="auto"/>
        </w:rPr>
        <w:t>. The total number of shares of stock that the Corporation shall have authority to issue is 29,595,999, consisting of 18,327,000 shares of Common Stock, $0.001 par value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and 11,268,999 shares of Preferred Stock, $0.001 par value per share (“</w:t>
      </w:r>
      <w:r>
        <w:rPr>
          <w:rFonts w:ascii="Arial" w:cs="Arial" w:eastAsia="Arial" w:hAnsi="Arial"/>
          <w:sz w:val="19"/>
          <w:szCs w:val="19"/>
          <w:u w:val="single" w:color="auto"/>
          <w:color w:val="auto"/>
        </w:rPr>
        <w:t>Preferred Stock</w:t>
      </w:r>
      <w:r>
        <w:rPr>
          <w:rFonts w:ascii="Arial" w:cs="Arial" w:eastAsia="Arial" w:hAnsi="Arial"/>
          <w:sz w:val="19"/>
          <w:szCs w:val="19"/>
          <w:color w:val="auto"/>
        </w:rPr>
        <w:t>”). The Preferred shall be divided into series. The first series shall consist of 379,845 shares and shall be designated Series A Preferred Stock (“</w:t>
      </w:r>
      <w:r>
        <w:rPr>
          <w:rFonts w:ascii="Arial" w:cs="Arial" w:eastAsia="Arial" w:hAnsi="Arial"/>
          <w:sz w:val="19"/>
          <w:szCs w:val="19"/>
          <w:u w:val="single" w:color="auto"/>
          <w:color w:val="auto"/>
        </w:rPr>
        <w:t>Series A Preferred Stock</w:t>
      </w:r>
      <w:r>
        <w:rPr>
          <w:rFonts w:ascii="Arial" w:cs="Arial" w:eastAsia="Arial" w:hAnsi="Arial"/>
          <w:sz w:val="19"/>
          <w:szCs w:val="19"/>
          <w:color w:val="auto"/>
        </w:rPr>
        <w:t>”). The second series shall consist of 1,060,898 shares and shall be designated Series B Preferred Stock (“</w:t>
      </w:r>
      <w:r>
        <w:rPr>
          <w:rFonts w:ascii="Arial" w:cs="Arial" w:eastAsia="Arial" w:hAnsi="Arial"/>
          <w:sz w:val="19"/>
          <w:szCs w:val="19"/>
          <w:u w:val="single" w:color="auto"/>
          <w:color w:val="auto"/>
        </w:rPr>
        <w:t>Series B Preferred Stock</w:t>
      </w:r>
      <w:r>
        <w:rPr>
          <w:rFonts w:ascii="Arial" w:cs="Arial" w:eastAsia="Arial" w:hAnsi="Arial"/>
          <w:sz w:val="19"/>
          <w:szCs w:val="19"/>
          <w:color w:val="auto"/>
        </w:rPr>
        <w:t>”). The third series shall consist of 2,677,975 shares and shall be designated Series C Preferred Stock (“</w:t>
      </w:r>
      <w:r>
        <w:rPr>
          <w:rFonts w:ascii="Arial" w:cs="Arial" w:eastAsia="Arial" w:hAnsi="Arial"/>
          <w:sz w:val="19"/>
          <w:szCs w:val="19"/>
          <w:u w:val="single" w:color="auto"/>
          <w:color w:val="auto"/>
        </w:rPr>
        <w:t>Series C Preferred Stock</w:t>
      </w:r>
      <w:r>
        <w:rPr>
          <w:rFonts w:ascii="Arial" w:cs="Arial" w:eastAsia="Arial" w:hAnsi="Arial"/>
          <w:sz w:val="19"/>
          <w:szCs w:val="19"/>
          <w:color w:val="auto"/>
        </w:rPr>
        <w:t>”). The fourth series shall consist of 2,186,526 shares and shall be designated Series D Preferred Stock (“</w:t>
      </w:r>
      <w:r>
        <w:rPr>
          <w:rFonts w:ascii="Arial" w:cs="Arial" w:eastAsia="Arial" w:hAnsi="Arial"/>
          <w:sz w:val="19"/>
          <w:szCs w:val="19"/>
          <w:u w:val="single" w:color="auto"/>
          <w:color w:val="auto"/>
        </w:rPr>
        <w:t>Series D Preferred Stock</w:t>
      </w:r>
      <w:r>
        <w:rPr>
          <w:rFonts w:ascii="Arial" w:cs="Arial" w:eastAsia="Arial" w:hAnsi="Arial"/>
          <w:sz w:val="19"/>
          <w:szCs w:val="19"/>
          <w:color w:val="auto"/>
        </w:rPr>
        <w:t>”). The fifth series shall consist of 61,342 shares and shall be designated Series D-1 Preferred Stock (“</w:t>
      </w:r>
      <w:r>
        <w:rPr>
          <w:rFonts w:ascii="Arial" w:cs="Arial" w:eastAsia="Arial" w:hAnsi="Arial"/>
          <w:sz w:val="19"/>
          <w:szCs w:val="19"/>
          <w:u w:val="single" w:color="auto"/>
          <w:color w:val="auto"/>
        </w:rPr>
        <w:t>Series D-1 Preferred Stock</w:t>
      </w:r>
      <w:r>
        <w:rPr>
          <w:rFonts w:ascii="Arial" w:cs="Arial" w:eastAsia="Arial" w:hAnsi="Arial"/>
          <w:sz w:val="19"/>
          <w:szCs w:val="19"/>
          <w:color w:val="auto"/>
        </w:rPr>
        <w:t>”). The sixth series shall consist of 4,510,274 shares and shall be designated Series E Preferred Stock (“</w:t>
      </w:r>
      <w:r>
        <w:rPr>
          <w:rFonts w:ascii="Arial" w:cs="Arial" w:eastAsia="Arial" w:hAnsi="Arial"/>
          <w:sz w:val="19"/>
          <w:szCs w:val="19"/>
          <w:u w:val="single" w:color="auto"/>
          <w:color w:val="auto"/>
        </w:rPr>
        <w:t>Series E Preferred Stock</w:t>
      </w:r>
      <w:r>
        <w:rPr>
          <w:rFonts w:ascii="Arial" w:cs="Arial" w:eastAsia="Arial" w:hAnsi="Arial"/>
          <w:sz w:val="19"/>
          <w:szCs w:val="19"/>
          <w:color w:val="auto"/>
        </w:rPr>
        <w:t>”). The eighth series shall consist of 392,139 shares and shall be designated Series E-1 Preferred Stock (“</w:t>
      </w:r>
      <w:r>
        <w:rPr>
          <w:rFonts w:ascii="Arial" w:cs="Arial" w:eastAsia="Arial" w:hAnsi="Arial"/>
          <w:sz w:val="19"/>
          <w:szCs w:val="19"/>
          <w:u w:val="single" w:color="auto"/>
          <w:color w:val="auto"/>
        </w:rPr>
        <w:t>Series E-1 Preferred Stock</w:t>
      </w:r>
      <w:r>
        <w:rPr>
          <w:rFonts w:ascii="Arial" w:cs="Arial" w:eastAsia="Arial" w:hAnsi="Arial"/>
          <w:sz w:val="19"/>
          <w:szCs w:val="19"/>
          <w:color w:val="auto"/>
        </w:rPr>
        <w:t>”).</w:t>
      </w:r>
    </w:p>
    <w:p>
      <w:pPr>
        <w:spacing w:after="0" w:line="10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terms and provisions of the Common Stock and Preferred Stock are as follows:</w:t>
      </w:r>
    </w:p>
    <w:p>
      <w:pPr>
        <w:spacing w:after="0" w:line="152" w:lineRule="exact"/>
        <w:rPr>
          <w:sz w:val="20"/>
          <w:szCs w:val="20"/>
          <w:color w:val="auto"/>
        </w:rPr>
      </w:pPr>
    </w:p>
    <w:p>
      <w:pPr>
        <w:ind w:left="1180" w:hanging="373"/>
        <w:spacing w:after="0"/>
        <w:tabs>
          <w:tab w:leader="none" w:pos="118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Article IV, the following definitions shall apply:</w:t>
      </w:r>
    </w:p>
    <w:p>
      <w:pPr>
        <w:spacing w:after="0" w:line="152" w:lineRule="exact"/>
        <w:rPr>
          <w:rFonts w:ascii="Arial" w:cs="Arial" w:eastAsia="Arial" w:hAnsi="Arial"/>
          <w:sz w:val="22"/>
          <w:szCs w:val="22"/>
          <w:color w:val="auto"/>
        </w:rPr>
      </w:pPr>
    </w:p>
    <w:p>
      <w:pPr>
        <w:jc w:val="both"/>
        <w:ind w:right="120" w:firstLine="1492"/>
        <w:spacing w:after="0" w:line="287" w:lineRule="auto"/>
        <w:tabs>
          <w:tab w:leader="none" w:pos="193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 Price</w:t>
      </w:r>
      <w:r>
        <w:rPr>
          <w:rFonts w:ascii="Arial" w:cs="Arial" w:eastAsia="Arial" w:hAnsi="Arial"/>
          <w:sz w:val="19"/>
          <w:szCs w:val="19"/>
          <w:color w:val="auto"/>
        </w:rPr>
        <w:t>” shall mean $6.66 per share for the Series A Preferred Stock, $10.77 per share for the Series B Preferred Stock, $15.62 per share for the Series C Preferred Stock, $16.95 per share for the Series D Preferred Stock, $12.11 per share for the Series D-1 Preferred Stock, $18.63 per share for the Series E Preferred Stock, and $12.11 per share for the Series E-1 Preferred Stock (each subject to adjustment from time to time as set forth elsewhere herein).</w:t>
      </w:r>
    </w:p>
    <w:p>
      <w:pPr>
        <w:spacing w:after="0" w:line="89" w:lineRule="exact"/>
        <w:rPr>
          <w:rFonts w:ascii="Arial" w:cs="Arial" w:eastAsia="Arial" w:hAnsi="Arial"/>
          <w:sz w:val="19"/>
          <w:szCs w:val="19"/>
          <w:color w:val="auto"/>
        </w:rPr>
      </w:pPr>
    </w:p>
    <w:p>
      <w:pPr>
        <w:ind w:right="440" w:firstLine="1492"/>
        <w:spacing w:after="0" w:line="251" w:lineRule="auto"/>
        <w:tabs>
          <w:tab w:leader="none" w:pos="195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Securities</w:t>
      </w:r>
      <w:r>
        <w:rPr>
          <w:rFonts w:ascii="Arial" w:cs="Arial" w:eastAsia="Arial" w:hAnsi="Arial"/>
          <w:sz w:val="22"/>
          <w:szCs w:val="22"/>
          <w:color w:val="auto"/>
        </w:rPr>
        <w:t>” shall mean any evidences of indebtedness, shares or other securities (other than shares of Common Stock) convertible into or exchangeable for Common Stock.</w:t>
      </w:r>
    </w:p>
    <w:p>
      <w:pPr>
        <w:spacing w:after="0" w:line="119" w:lineRule="exact"/>
        <w:rPr>
          <w:rFonts w:ascii="Arial" w:cs="Arial" w:eastAsia="Arial" w:hAnsi="Arial"/>
          <w:sz w:val="22"/>
          <w:szCs w:val="22"/>
          <w:color w:val="auto"/>
        </w:rPr>
      </w:pPr>
    </w:p>
    <w:p>
      <w:pPr>
        <w:ind w:left="1940" w:hanging="448"/>
        <w:spacing w:after="0"/>
        <w:tabs>
          <w:tab w:leader="none" w:pos="194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Corporation</w:t>
      </w:r>
      <w:r>
        <w:rPr>
          <w:rFonts w:ascii="Arial" w:cs="Arial" w:eastAsia="Arial" w:hAnsi="Arial"/>
          <w:sz w:val="22"/>
          <w:szCs w:val="22"/>
          <w:color w:val="auto"/>
        </w:rPr>
        <w:t>” shall mean Fluidigm Corporation.</w:t>
      </w:r>
    </w:p>
    <w:p>
      <w:pPr>
        <w:spacing w:after="0" w:line="152" w:lineRule="exact"/>
        <w:rPr>
          <w:rFonts w:ascii="Arial" w:cs="Arial" w:eastAsia="Arial" w:hAnsi="Arial"/>
          <w:sz w:val="22"/>
          <w:szCs w:val="22"/>
          <w:color w:val="auto"/>
        </w:rPr>
      </w:pPr>
    </w:p>
    <w:p>
      <w:pPr>
        <w:ind w:right="100" w:firstLine="1492"/>
        <w:spacing w:after="0" w:line="282" w:lineRule="auto"/>
        <w:tabs>
          <w:tab w:leader="none" w:pos="1952"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 Rate</w:t>
      </w:r>
      <w:r>
        <w:rPr>
          <w:rFonts w:ascii="Arial" w:cs="Arial" w:eastAsia="Arial" w:hAnsi="Arial"/>
          <w:sz w:val="19"/>
          <w:szCs w:val="19"/>
          <w:color w:val="auto"/>
        </w:rPr>
        <w:t>” shall mean an annual rate of $0.666 per share for the Series A Preferred Stock, an annual rate of $1.089 per share for the Series B Preferred Stock, an annual rate of $1.574 per share for the Series C Preferred Stock, an annual rate of $1.816 per share for the Series D Preferred Stock, an annual rate of $1.297 per share for the Series D-1 Preferred Stock, an annual rate of $2.603 per share for the Series E Preferred Stock, and an annual rate of $1.302 per share for the Series E-1 Preferred Stock (each subject to adjustment from time to time as set forth elsewhere herein).</w:t>
      </w:r>
    </w:p>
    <w:p>
      <w:pPr>
        <w:spacing w:after="0" w:line="93" w:lineRule="exact"/>
        <w:rPr>
          <w:rFonts w:ascii="Arial" w:cs="Arial" w:eastAsia="Arial" w:hAnsi="Arial"/>
          <w:sz w:val="19"/>
          <w:szCs w:val="19"/>
          <w:color w:val="auto"/>
        </w:rPr>
      </w:pPr>
    </w:p>
    <w:p>
      <w:pPr>
        <w:ind w:right="180" w:firstLine="1492"/>
        <w:spacing w:after="0" w:line="297" w:lineRule="auto"/>
        <w:tabs>
          <w:tab w:leader="none" w:pos="193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Preference</w:t>
      </w:r>
      <w:r>
        <w:rPr>
          <w:rFonts w:ascii="Arial" w:cs="Arial" w:eastAsia="Arial" w:hAnsi="Arial"/>
          <w:sz w:val="19"/>
          <w:szCs w:val="19"/>
          <w:color w:val="auto"/>
        </w:rPr>
        <w:t>” shall mean $6.66 per share for the Series A Preferred Stock, $10.77 per share for the Series B Preferred Stock, $15.62 per share for the Series C Preferred Stock, $16.95 per share for the Series D Preferred Stock, $12.11 per share for the Series D-1 Preferred Stock, $24.22 per share for the Series E Preferred Stock, and $12.11per share for the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E-1 Preferred Stock (each subject to adjustment from time to time as set forth elsewhere herein).</w:t>
      </w:r>
    </w:p>
    <w:p>
      <w:pPr>
        <w:spacing w:after="0" w:line="152" w:lineRule="exact"/>
        <w:rPr>
          <w:sz w:val="20"/>
          <w:szCs w:val="20"/>
          <w:color w:val="auto"/>
        </w:rPr>
      </w:pPr>
    </w:p>
    <w:p>
      <w:pPr>
        <w:ind w:right="360" w:firstLine="1492"/>
        <w:spacing w:after="0" w:line="251" w:lineRule="auto"/>
        <w:tabs>
          <w:tab w:leader="none" w:pos="1915"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Options</w:t>
      </w:r>
      <w:r>
        <w:rPr>
          <w:rFonts w:ascii="Arial" w:cs="Arial" w:eastAsia="Arial" w:hAnsi="Arial"/>
          <w:sz w:val="22"/>
          <w:szCs w:val="22"/>
          <w:color w:val="auto"/>
        </w:rPr>
        <w:t>” shall mean rights, options or warrants to subscribe for, purchase or otherwise acquire Common Stock or Convertible Securities.</w:t>
      </w:r>
    </w:p>
    <w:p>
      <w:pPr>
        <w:spacing w:after="0" w:line="119" w:lineRule="exact"/>
        <w:rPr>
          <w:rFonts w:ascii="Arial" w:cs="Arial" w:eastAsia="Arial" w:hAnsi="Arial"/>
          <w:sz w:val="22"/>
          <w:szCs w:val="22"/>
          <w:color w:val="auto"/>
        </w:rPr>
      </w:pPr>
    </w:p>
    <w:p>
      <w:pPr>
        <w:ind w:right="100" w:firstLine="1492"/>
        <w:spacing w:after="0" w:line="287" w:lineRule="auto"/>
        <w:tabs>
          <w:tab w:leader="none" w:pos="195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Issue Price</w:t>
      </w:r>
      <w:r>
        <w:rPr>
          <w:rFonts w:ascii="Arial" w:cs="Arial" w:eastAsia="Arial" w:hAnsi="Arial"/>
          <w:sz w:val="19"/>
          <w:szCs w:val="19"/>
          <w:color w:val="auto"/>
        </w:rPr>
        <w:t>” shall mean $6.66 per share for the Series A Preferred Stock, $10.77 per share for the Series B Preferred Stock, $15.62 per share for the Series C Preferred Stock, $16.95 per share for the Series D Preferred Stock, $12.11 per share for the Series D-1 Preferred Stock, $24.22 per share for the Series E Preferred Stock, and $12.11 per share for the Series E-1 Preferred Stock (each subject to adjustment from time to time as set forth elsewhere herein).</w:t>
      </w:r>
    </w:p>
    <w:p>
      <w:pPr>
        <w:spacing w:after="0" w:line="89" w:lineRule="exact"/>
        <w:rPr>
          <w:rFonts w:ascii="Arial" w:cs="Arial" w:eastAsia="Arial" w:hAnsi="Arial"/>
          <w:sz w:val="19"/>
          <w:szCs w:val="19"/>
          <w:color w:val="auto"/>
        </w:rPr>
      </w:pPr>
    </w:p>
    <w:p>
      <w:pPr>
        <w:ind w:right="700" w:firstLine="1492"/>
        <w:spacing w:after="0"/>
        <w:tabs>
          <w:tab w:leader="none" w:pos="195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shall mean the Series A Preferred Stock, the Series B Preferred Stock, the Series C Preferred Stock, the Series D Preferred Stock, the Series D-1 Preferred Stock, the Series E Preferred Stock, and Series E-1 Preferred Stock.</w:t>
      </w:r>
    </w:p>
    <w:p>
      <w:pPr>
        <w:spacing w:after="0" w:line="132" w:lineRule="exact"/>
        <w:rPr>
          <w:rFonts w:ascii="Arial" w:cs="Arial" w:eastAsia="Arial" w:hAnsi="Arial"/>
          <w:sz w:val="22"/>
          <w:szCs w:val="22"/>
          <w:color w:val="auto"/>
        </w:rPr>
      </w:pPr>
    </w:p>
    <w:p>
      <w:pPr>
        <w:ind w:left="1180" w:hanging="373"/>
        <w:spacing w:after="0"/>
        <w:tabs>
          <w:tab w:leader="none" w:pos="11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Dividends.</w:t>
      </w:r>
    </w:p>
    <w:p>
      <w:pPr>
        <w:spacing w:after="0" w:line="152" w:lineRule="exact"/>
        <w:rPr>
          <w:rFonts w:ascii="Arial" w:cs="Arial" w:eastAsia="Arial" w:hAnsi="Arial"/>
          <w:sz w:val="22"/>
          <w:szCs w:val="22"/>
          <w:color w:val="auto"/>
        </w:rPr>
      </w:pPr>
    </w:p>
    <w:p>
      <w:pPr>
        <w:ind w:firstLine="1492"/>
        <w:spacing w:after="0" w:line="270" w:lineRule="auto"/>
        <w:tabs>
          <w:tab w:leader="none" w:pos="1939"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Series D Preferred Stock, Series D-1 Preferred Stock, Series E Preferred Stock and Series E-1 Preferred Stock</w:t>
      </w:r>
      <w:r>
        <w:rPr>
          <w:rFonts w:ascii="Arial" w:cs="Arial" w:eastAsia="Arial" w:hAnsi="Arial"/>
          <w:sz w:val="19"/>
          <w:szCs w:val="19"/>
          <w:color w:val="auto"/>
        </w:rPr>
        <w:t xml:space="preserve">. The holders of outstanding shares of Series D Preferred Stock, Series D-1 Preferred Stock, Series E Preferred Stock and Series E-1 Preferred Stock shall be entitled to receive dividends, when and as declared by the Board of Directors, out of any assets at the time legally available therefor, at the Dividend Rates specified for such shares of Preferred Stock, payable in preference and priority to any declaration or payment of any distribution on Series A Preferred Stock, Series B Preferred Stock, Series C Preferred Stock or Common Stock of the Corporation other than a dividend payable solely in Common Stock. No distributions shall be made with respect to the Series A Preferred Stock, Series B Preferred Stock, Series C Preferred Stock or Common Stock during any fiscal year of the Corporation, other than dividends on the Common Stock payable solely in Common Stock, until all dividends at the applicable Dividend Rate on the Series E Preferred Stock, Series E-1 Preferred Stock, Series D Preferred Stock and Series D-1 Preferred Stock have been declared and paid or set apart for payment to the holders of Series E Preferred Stock, Series E-1 Preferred Stock, Series D Preferred Stock and Series D-1 Preferred Stock. Payment of any dividends to the holders of the Series E Preferred Stock, Series E-1 Preferred Stock, Series D Preferred Stock and Series D-1 Preferred Stock shall be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pari</w:t>
      </w:r>
      <w:r>
        <w:rPr>
          <w:rFonts w:ascii="Arial" w:cs="Arial" w:eastAsia="Arial" w:hAnsi="Arial"/>
          <w:sz w:val="19"/>
          <w:szCs w:val="19"/>
          <w:color w:val="auto"/>
        </w:rPr>
        <w:t xml:space="preserve"> </w:t>
      </w:r>
      <w:r>
        <w:rPr>
          <w:rFonts w:ascii="Arial" w:cs="Arial" w:eastAsia="Arial" w:hAnsi="Arial"/>
          <w:sz w:val="19"/>
          <w:szCs w:val="19"/>
          <w:u w:val="single" w:color="auto"/>
          <w:color w:val="auto"/>
        </w:rPr>
        <w:t>passu</w:t>
      </w:r>
      <w:r>
        <w:rPr>
          <w:rFonts w:ascii="Arial" w:cs="Arial" w:eastAsia="Arial" w:hAnsi="Arial"/>
          <w:sz w:val="19"/>
          <w:szCs w:val="19"/>
          <w:color w:val="auto"/>
        </w:rPr>
        <w:t xml:space="preserve"> basis in proportion to the Dividend Rates for the Series E Preferred Stock, Series E-1 Preferred Stock, Series D Preferred Stock and Series D-1 Preferred Stock, as applicable. The right to receive dividends on shares of Series E Preferred Stock, Series E-1 Preferred Stock, Series D Preferred Stock and Series D-1 Preferred Stock shall not be cumulative, and no right to such dividends shall accrue to holders of Series E Preferred Stock, Series E-1 Preferred Stock, Series D Preferred Stock and Series D-1 Preferred Stock by reason of the fact that dividends on said shares are not declared or paid in any year.</w:t>
      </w:r>
    </w:p>
    <w:p>
      <w:pPr>
        <w:spacing w:after="0" w:line="116" w:lineRule="exact"/>
        <w:rPr>
          <w:rFonts w:ascii="Arial" w:cs="Arial" w:eastAsia="Arial" w:hAnsi="Arial"/>
          <w:sz w:val="19"/>
          <w:szCs w:val="19"/>
          <w:color w:val="auto"/>
        </w:rPr>
      </w:pPr>
    </w:p>
    <w:p>
      <w:pPr>
        <w:ind w:right="220" w:firstLine="1492"/>
        <w:spacing w:after="0" w:line="297" w:lineRule="auto"/>
        <w:tabs>
          <w:tab w:leader="none" w:pos="1952"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Series C Preferred Stock</w:t>
      </w:r>
      <w:r>
        <w:rPr>
          <w:rFonts w:ascii="Arial" w:cs="Arial" w:eastAsia="Arial" w:hAnsi="Arial"/>
          <w:sz w:val="19"/>
          <w:szCs w:val="19"/>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267" w:right="259" w:bottom="1440" w:gutter="0" w:footer="0" w:header="0"/>
        </w:sectPr>
      </w:pPr>
    </w:p>
    <w:bookmarkStart w:id="218" w:name="page219"/>
    <w:bookmarkEnd w:id="218"/>
    <w:p>
      <w:pPr>
        <w:ind w:right="6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distribution on Series A Preferred Stock, Series B Preferred Stock or Common Stock of the Corporation other than a dividend payable solely in Common Stock. No distributions shall be made with respect to the Series A Preferred Stock, Series B Preferred Stock or Common Stock during any fiscal year of the Corporation, other than dividends on the Common Stock payable solely in Common Stock, until all dividends at the applicable Dividend Rate on the Series C Preferred Stock have been declared and paid or set apart for payment to the holders of Series C Preferred Stock.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99" w:lineRule="exact"/>
        <w:rPr>
          <w:sz w:val="20"/>
          <w:szCs w:val="20"/>
          <w:color w:val="auto"/>
        </w:rPr>
      </w:pPr>
    </w:p>
    <w:p>
      <w:pPr>
        <w:ind w:firstLine="1492"/>
        <w:spacing w:after="0" w:line="272" w:lineRule="auto"/>
        <w:tabs>
          <w:tab w:leader="none" w:pos="1939"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Series A Preferred Stock and Series B Preferred Stock</w:t>
      </w:r>
      <w:r>
        <w:rPr>
          <w:rFonts w:ascii="Arial" w:cs="Arial" w:eastAsia="Arial" w:hAnsi="Arial"/>
          <w:sz w:val="19"/>
          <w:szCs w:val="19"/>
          <w:color w:val="auto"/>
        </w:rPr>
        <w:t xml:space="preserve">. The holders of outstanding shares of Series A Preferred Stock and the holders of outstanding shares of Series B Preferred Stock shall be entitled to receive dividends, when and as declared by the Board of Directors, out of any assets at the time legally available therefor, at the Dividend Rates specified for such shares of Preferred Stock payable in preference and priority to any declaration or payment of any distribution on Common Stock of the Corporation other than a dividend payable solely in Common Stock. No distributions shall be made with respect to the Common Stock, other than dividends payable solely in Common Stock, until all dividends at the applicable Dividend Rate on the Preferred Stock have been declared and paid or set apart for payment to the Preferred Stock holders. Payment of any dividends to the holders of the Series A Preferred Stock and Series B Preferred Stock shall be on a </w:t>
      </w:r>
      <w:r>
        <w:rPr>
          <w:rFonts w:ascii="Arial" w:cs="Arial" w:eastAsia="Arial" w:hAnsi="Arial"/>
          <w:sz w:val="19"/>
          <w:szCs w:val="19"/>
          <w:u w:val="single" w:color="auto"/>
          <w:color w:val="auto"/>
        </w:rPr>
        <w:t>pro rata</w:t>
      </w:r>
      <w:r>
        <w:rPr>
          <w:rFonts w:ascii="Arial" w:cs="Arial" w:eastAsia="Arial" w:hAnsi="Arial"/>
          <w:sz w:val="19"/>
          <w:szCs w:val="19"/>
          <w:color w:val="auto"/>
        </w:rPr>
        <w:t>,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355" w:lineRule="exact"/>
        <w:rPr>
          <w:rFonts w:ascii="Arial" w:cs="Arial" w:eastAsia="Arial" w:hAnsi="Arial"/>
          <w:sz w:val="19"/>
          <w:szCs w:val="19"/>
          <w:color w:val="auto"/>
        </w:rPr>
      </w:pPr>
    </w:p>
    <w:p>
      <w:pPr>
        <w:ind w:right="20" w:firstLine="1492"/>
        <w:spacing w:after="0" w:line="273" w:lineRule="auto"/>
        <w:tabs>
          <w:tab w:leader="none" w:pos="1952"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Distribution</w:t>
      </w:r>
      <w:r>
        <w:rPr>
          <w:rFonts w:ascii="Arial" w:cs="Arial" w:eastAsia="Arial" w:hAnsi="Arial"/>
          <w:sz w:val="19"/>
          <w:szCs w:val="19"/>
          <w:color w:val="auto"/>
        </w:rPr>
        <w:t>. For purposes of this Section 4, unless the context otherwise requires, a “</w:t>
      </w:r>
      <w:r>
        <w:rPr>
          <w:rFonts w:ascii="Arial" w:cs="Arial" w:eastAsia="Arial" w:hAnsi="Arial"/>
          <w:sz w:val="19"/>
          <w:szCs w:val="19"/>
          <w:u w:val="single" w:color="auto"/>
          <w:color w:val="auto"/>
        </w:rPr>
        <w:t>distribution</w:t>
      </w:r>
      <w:r>
        <w:rPr>
          <w:rFonts w:ascii="Arial" w:cs="Arial" w:eastAsia="Arial" w:hAnsi="Arial"/>
          <w:sz w:val="19"/>
          <w:szCs w:val="19"/>
          <w:color w:val="auto"/>
        </w:rPr>
        <w:t xml:space="preserve">”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 Common Stock and the holders of more than two-thirds (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5"/>
          <w:szCs w:val="15"/>
          <w:color w:val="auto"/>
        </w:rPr>
        <w:t>3</w:t>
      </w:r>
      <w:r>
        <w:rPr>
          <w:rFonts w:ascii="Arial" w:cs="Arial" w:eastAsia="Arial" w:hAnsi="Arial"/>
          <w:sz w:val="19"/>
          <w:szCs w:val="19"/>
          <w:color w:val="auto"/>
        </w:rPr>
        <w:t>) of the outstanding shares of the Preferred Stock, voting as separate classes.</w:t>
      </w:r>
    </w:p>
    <w:p>
      <w:pPr>
        <w:spacing w:after="0" w:line="102" w:lineRule="exact"/>
        <w:rPr>
          <w:rFonts w:ascii="Arial" w:cs="Arial" w:eastAsia="Arial" w:hAnsi="Arial"/>
          <w:sz w:val="19"/>
          <w:szCs w:val="19"/>
          <w:color w:val="auto"/>
        </w:rPr>
      </w:pPr>
    </w:p>
    <w:p>
      <w:pPr>
        <w:ind w:right="680" w:firstLine="1492"/>
        <w:spacing w:after="0" w:line="274" w:lineRule="auto"/>
        <w:tabs>
          <w:tab w:leader="none" w:pos="1939"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 Dividends may be paid on the Common Stock as and when declared by the Board of Directors, subject to the prior dividend rights of the Preferred Stock and Sections 8, 9, 10, and 11 below.</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267" w:right="279" w:bottom="1440" w:gutter="0" w:footer="0" w:header="0"/>
        </w:sectPr>
      </w:pPr>
    </w:p>
    <w:bookmarkStart w:id="219" w:name="page220"/>
    <w:bookmarkEnd w:id="219"/>
    <w:p>
      <w:pPr>
        <w:jc w:val="both"/>
        <w:ind w:right="180" w:firstLine="1492"/>
        <w:spacing w:after="0"/>
        <w:tabs>
          <w:tab w:leader="none" w:pos="1915"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Distributions</w:t>
      </w:r>
      <w:r>
        <w:rPr>
          <w:rFonts w:ascii="Arial" w:cs="Arial" w:eastAsia="Arial" w:hAnsi="Arial"/>
          <w:sz w:val="22"/>
          <w:szCs w:val="22"/>
          <w:color w:val="auto"/>
        </w:rPr>
        <w:t>. Whenever a distribution provided for in this Section 4 shall be payable in property other than cash, the value of such distribution shall be deemed to be the fair market value of such property as determined in good faith by the Board of Directors.</w:t>
      </w:r>
    </w:p>
    <w:p>
      <w:pPr>
        <w:spacing w:after="0" w:line="132" w:lineRule="exact"/>
        <w:rPr>
          <w:rFonts w:ascii="Arial" w:cs="Arial" w:eastAsia="Arial" w:hAnsi="Arial"/>
          <w:sz w:val="22"/>
          <w:szCs w:val="22"/>
          <w:color w:val="auto"/>
        </w:rPr>
      </w:pPr>
    </w:p>
    <w:p>
      <w:pPr>
        <w:ind w:firstLine="1492"/>
        <w:spacing w:after="0" w:line="273" w:lineRule="auto"/>
        <w:tabs>
          <w:tab w:leader="none" w:pos="195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Consent to Certain Repurchases</w:t>
      </w:r>
      <w:r>
        <w:rPr>
          <w:rFonts w:ascii="Arial" w:cs="Arial" w:eastAsia="Arial" w:hAnsi="Arial"/>
          <w:sz w:val="19"/>
          <w:szCs w:val="19"/>
          <w:color w:val="auto"/>
        </w:rPr>
        <w:t xml:space="preserve">. If Sections 502 and 503 of the California Corporations Code are determined to apply to the Corporation, as authorized by Section 402.5(c) of the California Corporations Code, Sections 502 and 503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and consultants of the Corporation or its subsidiaries pursuant to rights of first refusal contained in agreements providing for such rights, provided that such repurchase is unanimously approved by the Board of Directors, and (iii) any other repurchase or redemption of Common Stock unanimously approved by the Board of Directors and approved by the holders of more than two-thirds (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5"/>
          <w:szCs w:val="15"/>
          <w:color w:val="auto"/>
        </w:rPr>
        <w:t>3</w:t>
      </w:r>
      <w:r>
        <w:rPr>
          <w:rFonts w:ascii="Arial" w:cs="Arial" w:eastAsia="Arial" w:hAnsi="Arial"/>
          <w:sz w:val="19"/>
          <w:szCs w:val="19"/>
          <w:color w:val="auto"/>
        </w:rPr>
        <w:t>) of the outstanding shares of Preferred Stock voting together as a single class.</w:t>
      </w:r>
    </w:p>
    <w:p>
      <w:pPr>
        <w:spacing w:after="0" w:line="108" w:lineRule="exact"/>
        <w:rPr>
          <w:sz w:val="20"/>
          <w:szCs w:val="20"/>
          <w:color w:val="auto"/>
        </w:rPr>
      </w:pPr>
    </w:p>
    <w:p>
      <w:pPr>
        <w:ind w:left="1180" w:hanging="373"/>
        <w:spacing w:after="0"/>
        <w:tabs>
          <w:tab w:leader="none" w:pos="118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Liquidation Rights</w:t>
      </w:r>
      <w:r>
        <w:rPr>
          <w:rFonts w:ascii="Arial" w:cs="Arial" w:eastAsia="Arial" w:hAnsi="Arial"/>
          <w:sz w:val="22"/>
          <w:szCs w:val="22"/>
          <w:color w:val="auto"/>
        </w:rPr>
        <w:t>.</w:t>
      </w:r>
    </w:p>
    <w:p>
      <w:pPr>
        <w:spacing w:after="0" w:line="152" w:lineRule="exact"/>
        <w:rPr>
          <w:sz w:val="20"/>
          <w:szCs w:val="20"/>
          <w:color w:val="auto"/>
        </w:rPr>
      </w:pPr>
    </w:p>
    <w:p>
      <w:pPr>
        <w:jc w:val="both"/>
        <w:ind w:right="160" w:firstLine="799"/>
        <w:spacing w:after="0"/>
        <w:rPr>
          <w:sz w:val="20"/>
          <w:szCs w:val="20"/>
          <w:color w:val="auto"/>
        </w:rPr>
      </w:pPr>
      <w:r>
        <w:rPr>
          <w:rFonts w:ascii="Arial" w:cs="Arial" w:eastAsia="Arial" w:hAnsi="Arial"/>
          <w:sz w:val="22"/>
          <w:szCs w:val="22"/>
          <w:color w:val="auto"/>
        </w:rPr>
        <w:t>In the event of any liquidation, dissolution or winding up of the Corporation, either voluntary or involuntary, distribution of the assets of the Corporation legally available for distribution to the Corporation’s stockholders shall be made in the following manner:</w:t>
      </w:r>
    </w:p>
    <w:p>
      <w:pPr>
        <w:spacing w:after="0" w:line="132" w:lineRule="exact"/>
        <w:rPr>
          <w:sz w:val="20"/>
          <w:szCs w:val="20"/>
          <w:color w:val="auto"/>
        </w:rPr>
      </w:pPr>
    </w:p>
    <w:p>
      <w:pPr>
        <w:ind w:right="80" w:firstLine="1492"/>
        <w:spacing w:after="0" w:line="273" w:lineRule="auto"/>
        <w:tabs>
          <w:tab w:leader="none" w:pos="1939"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Series E and Series E-1 Liquidation Preference</w:t>
      </w:r>
      <w:r>
        <w:rPr>
          <w:rFonts w:ascii="Arial" w:cs="Arial" w:eastAsia="Arial" w:hAnsi="Arial"/>
          <w:sz w:val="19"/>
          <w:szCs w:val="19"/>
          <w:color w:val="auto"/>
        </w:rPr>
        <w:t xml:space="preserve">. The holders of the Series E Preferred Stock and Series E-1 Preferred Stock shall be entitled to receive, prior and in preference to any distribution of any of the assets of the Corporation to the holders of the Common Stock, the Series A Preferred Stock, the Series B Preferred Stock, the Series C Preferred Stock, the Series D Preferred Stock or the Series D-1 Preferred Stock, by reason of their ownership of such stock, an amount per share for each share of Series E Preferred Stock or Series E-1 Preferred Stock, as applicable, held by them equal to the sum of (i) the Liquidation Preference for such share and (ii) all declared and unpaid dividends on such share of Series E Preferred Stock or Series E-1 Preferred Stock. If the assets of the Corporation legally available for distribution to the holders of the Series E Preferred Stock and Series E-1 Preferred Stock are insufficient to permit the payment to such holders of the full amounts specified in this Section 5(a), then the entire assets of the Corporation legally available for distribution shall be distributed with equal priority and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the holders of the Series E Preferred Stock and Series E-1 Preferred Stock in proportion to the full amounts they would otherwise be entitled to receive pursuant to this Section 5(a).</w:t>
      </w:r>
    </w:p>
    <w:p>
      <w:pPr>
        <w:spacing w:after="0" w:line="102" w:lineRule="exact"/>
        <w:rPr>
          <w:rFonts w:ascii="Arial" w:cs="Arial" w:eastAsia="Arial" w:hAnsi="Arial"/>
          <w:sz w:val="19"/>
          <w:szCs w:val="19"/>
          <w:color w:val="auto"/>
        </w:rPr>
      </w:pPr>
    </w:p>
    <w:p>
      <w:pPr>
        <w:ind w:right="40" w:firstLine="1492"/>
        <w:spacing w:after="0" w:line="248" w:lineRule="auto"/>
        <w:tabs>
          <w:tab w:leader="none" w:pos="1952"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Series D and Series D-1 Liquidation Preference</w:t>
      </w:r>
      <w:r>
        <w:rPr>
          <w:rFonts w:ascii="Arial" w:cs="Arial" w:eastAsia="Arial" w:hAnsi="Arial"/>
          <w:sz w:val="21"/>
          <w:szCs w:val="21"/>
          <w:color w:val="auto"/>
        </w:rPr>
        <w:t>. After payment to the holders of Series E Preferred Stock and Series E-1 Preferred Stock of the full amounts specified in Section 5(a) above, the holders of the Series D Preferred Stock and Series D-1 Preferred Stock shall be entitled to receive, prior and in preference to any distribution of any of the assets of the Corporation to the holders of the Common Stock, the Series A Preferred Stock, the Series B Preferred Stock, the Series C Preferred Stock by reason of their ownership of such stock, an amount per share for each share of Series D Preferred Stock or Series D-1 Preferred Stock, as applicable, held by them equal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267" w:right="259" w:bottom="1440" w:gutter="0" w:footer="0" w:header="0"/>
        </w:sectPr>
      </w:pPr>
    </w:p>
    <w:bookmarkStart w:id="220" w:name="page221"/>
    <w:bookmarkEnd w:id="220"/>
    <w:p>
      <w:pPr>
        <w:ind w:right="2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sum of (i) the Liquidation Preference for such share and (ii) all declared and unpaid dividends on such share of Series D Preferred Stock or Series D-1 Preferred Stock. If the remaining assets of the Corporation legally available for distribution to the holders of Series D Preferred Stock and Series D-1 Preferred Stock are insufficient to permit the payment to such holders of the full amounts specified in this Section 5(b), then the entire remaining assets of the Corporation legally available for distribution shall be distributed with equal priority and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the holders of the Series D Preferred Stock and Series D-1 Preferred Stock in proportion to the full amounts they would otherwise be entitled to receive pursuant to this Section 5(b).</w:t>
      </w:r>
    </w:p>
    <w:p>
      <w:pPr>
        <w:spacing w:after="0" w:line="97" w:lineRule="exact"/>
        <w:rPr>
          <w:sz w:val="20"/>
          <w:szCs w:val="20"/>
          <w:color w:val="auto"/>
        </w:rPr>
      </w:pPr>
    </w:p>
    <w:p>
      <w:pPr>
        <w:ind w:right="60" w:firstLine="1492"/>
        <w:spacing w:after="0" w:line="273" w:lineRule="auto"/>
        <w:tabs>
          <w:tab w:leader="none" w:pos="1939"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Series C Liquidation Preference</w:t>
      </w:r>
      <w:r>
        <w:rPr>
          <w:rFonts w:ascii="Arial" w:cs="Arial" w:eastAsia="Arial" w:hAnsi="Arial"/>
          <w:sz w:val="19"/>
          <w:szCs w:val="19"/>
          <w:color w:val="auto"/>
        </w:rPr>
        <w:t xml:space="preserve">. After payment to the holders of Series E Preferred Stock, Series E-1 Preferred Stock, Series D Preferred Stock and Series D-1 Preferred Stock of the full amounts specified in Sections 5(a) and 5(b) above, the holders of the Series C Preferred Stock shall be entitled to receive, prior and in preference to any distribution of any of the assets of the Corporation to the holders of the Common Stock, the Series A Preferred Stock or the Series B Preferred Stock by reason of their ownership of such stock, an amount per share for each share of Series C Preferred Stock held by them equal to the sum of (i) the Liquidation Preference for such share and (ii) all declared and unpaid dividends on such share of Series C Preferred Stock. If the remaining assets of the Corporation legally available for distribution to the holders of the Series C Preferred Stock are insufficient to permit the payment to such holders of the full amounts specified in this Section 5(c), then the entire remaining assets of the Corporation legally available for distribution shall be distributed with equal priority and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among the holders of the Series C Preferred Stock in proportion to the full amounts they would otherwise be entitled to receive pursuant to this Section 5(c).</w:t>
      </w:r>
    </w:p>
    <w:p>
      <w:pPr>
        <w:spacing w:after="0" w:line="107" w:lineRule="exact"/>
        <w:rPr>
          <w:rFonts w:ascii="Arial" w:cs="Arial" w:eastAsia="Arial" w:hAnsi="Arial"/>
          <w:sz w:val="19"/>
          <w:szCs w:val="19"/>
          <w:color w:val="auto"/>
        </w:rPr>
      </w:pPr>
    </w:p>
    <w:p>
      <w:pPr>
        <w:ind w:firstLine="1492"/>
        <w:spacing w:after="0" w:line="244" w:lineRule="auto"/>
        <w:tabs>
          <w:tab w:leader="none" w:pos="1952"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Series B Liquidation Preference</w:t>
      </w:r>
      <w:r>
        <w:rPr>
          <w:rFonts w:ascii="Arial" w:cs="Arial" w:eastAsia="Arial" w:hAnsi="Arial"/>
          <w:sz w:val="21"/>
          <w:szCs w:val="21"/>
          <w:color w:val="auto"/>
        </w:rPr>
        <w:t xml:space="preserve">. After payment to the holders of Series E Preferred Stock, Series E-1 Preferred Stock, Series D Preferred Stock, Series D-1 Preferred Stock and Series C Preferred Stock of the full amounts specified in Sections 5(a), 5(b) and 5(c) above, the holders of the Series B Preferred Stock shall be entitled to receive, prior and in preference to any distribution of any of the remaining assets of the Corporation to the holders of the Common Stock or Series A Preferred Stock by reason of their ownership of such stock, an amount per share for each share of Series B Preferred Stock held by them equal to the sum of (i) the Liquidation Preference for such share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5(d), then the entire remaining assets of the Corporation legally available for distribution shall be distributed with equal priority and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among the holders of the Series B Preferred Stock in proportion to the full amounts they would otherwise be entitled to receive pursuant to this Section 5(d).</w:t>
      </w:r>
    </w:p>
    <w:p>
      <w:pPr>
        <w:spacing w:after="0" w:line="135" w:lineRule="exact"/>
        <w:rPr>
          <w:rFonts w:ascii="Arial" w:cs="Arial" w:eastAsia="Arial" w:hAnsi="Arial"/>
          <w:sz w:val="21"/>
          <w:szCs w:val="21"/>
          <w:color w:val="auto"/>
        </w:rPr>
      </w:pPr>
    </w:p>
    <w:p>
      <w:pPr>
        <w:ind w:right="40" w:firstLine="1492"/>
        <w:spacing w:after="0" w:line="234" w:lineRule="auto"/>
        <w:tabs>
          <w:tab w:leader="none" w:pos="1939"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Series A Liquidation Preference</w:t>
      </w:r>
      <w:r>
        <w:rPr>
          <w:rFonts w:ascii="Arial" w:cs="Arial" w:eastAsia="Arial" w:hAnsi="Arial"/>
          <w:sz w:val="22"/>
          <w:szCs w:val="22"/>
          <w:color w:val="auto"/>
        </w:rPr>
        <w:t>. After payment to the holders of Series E Preferred Stock, Series E-1 Preferred Stock, Series D Preferred Stock, Series D-1 Preferred Stock, Series C Preferred Stock and Series B Preferred Stock of the full amounts specified in Sections 5(a), 5(b), 5(c) and 5(d)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 Series A Preferred Stock held by them equal to the sum of (i) the Liquidation Preference for such share and (ii) all declared and unpaid dividends on such share of Series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221" w:name="page222"/>
    <w:bookmarkEnd w:id="221"/>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Preferred Stock. If the remaining assets of the Corporation legally available for distribution to the holders of the Series A Preferred Stock are insufficient to permit the payment to such holders of the full amounts specified in this Section 5(e), then the entire remaining assets of the Corporation legally available for distribution shall be distributed with equal priority and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among the holders of the Series A Preferred Stock in proportion to the full amounts they would otherwise be entitled to receive pursuant to this Section 5(e).</w:t>
      </w:r>
    </w:p>
    <w:p>
      <w:pPr>
        <w:spacing w:after="0" w:line="134" w:lineRule="exact"/>
        <w:rPr>
          <w:sz w:val="20"/>
          <w:szCs w:val="20"/>
          <w:color w:val="auto"/>
        </w:rPr>
      </w:pPr>
    </w:p>
    <w:p>
      <w:pPr>
        <w:ind w:right="80" w:firstLine="1492"/>
        <w:spacing w:after="0" w:line="238" w:lineRule="auto"/>
        <w:tabs>
          <w:tab w:leader="none" w:pos="1915"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Remaining Assets</w:t>
      </w:r>
      <w:r>
        <w:rPr>
          <w:rFonts w:ascii="Arial" w:cs="Arial" w:eastAsia="Arial" w:hAnsi="Arial"/>
          <w:sz w:val="22"/>
          <w:szCs w:val="22"/>
          <w:color w:val="auto"/>
        </w:rPr>
        <w:t xml:space="preserve">. After the payment to the holders of Preferred Stock of the full amounts specified in Sections 5(a), 5(b), 5(c), 5(d) and 5(e) above, the entire remaining assets of the Corporation legally available for distribution shall be distributed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to holders of the Common Stock of the Corporation in proportion to the number of shares of Common Stock held by them.</w:t>
      </w:r>
    </w:p>
    <w:p>
      <w:pPr>
        <w:spacing w:after="0" w:line="131" w:lineRule="exact"/>
        <w:rPr>
          <w:rFonts w:ascii="Arial" w:cs="Arial" w:eastAsia="Arial" w:hAnsi="Arial"/>
          <w:sz w:val="22"/>
          <w:szCs w:val="22"/>
          <w:color w:val="auto"/>
        </w:rPr>
      </w:pPr>
    </w:p>
    <w:p>
      <w:pPr>
        <w:ind w:right="400" w:firstLine="1492"/>
        <w:spacing w:after="0" w:line="238" w:lineRule="auto"/>
        <w:tabs>
          <w:tab w:leader="none" w:pos="195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Shares Not Treated as Both Preferred Stock and Common Stock in Any Distribution</w:t>
      </w:r>
      <w:r>
        <w:rPr>
          <w:rFonts w:ascii="Arial" w:cs="Arial" w:eastAsia="Arial" w:hAnsi="Arial"/>
          <w:sz w:val="22"/>
          <w:szCs w:val="22"/>
          <w:color w:val="auto"/>
        </w:rPr>
        <w:t>. Shares of Preferred Stock shall not be entitled to be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131" w:lineRule="exact"/>
        <w:rPr>
          <w:rFonts w:ascii="Arial" w:cs="Arial" w:eastAsia="Arial" w:hAnsi="Arial"/>
          <w:sz w:val="22"/>
          <w:szCs w:val="22"/>
          <w:color w:val="auto"/>
        </w:rPr>
      </w:pPr>
    </w:p>
    <w:p>
      <w:pPr>
        <w:ind w:right="60" w:firstLine="1492"/>
        <w:spacing w:after="0" w:line="273" w:lineRule="auto"/>
        <w:tabs>
          <w:tab w:leader="none" w:pos="1952"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Reorganization</w:t>
      </w:r>
      <w:r>
        <w:rPr>
          <w:rFonts w:ascii="Arial" w:cs="Arial" w:eastAsia="Arial" w:hAnsi="Arial"/>
          <w:sz w:val="19"/>
          <w:szCs w:val="19"/>
          <w:color w:val="auto"/>
        </w:rPr>
        <w:t>. For purposes of this Section 5,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107" w:lineRule="exact"/>
        <w:rPr>
          <w:rFonts w:ascii="Arial" w:cs="Arial" w:eastAsia="Arial" w:hAnsi="Arial"/>
          <w:sz w:val="19"/>
          <w:szCs w:val="19"/>
          <w:color w:val="auto"/>
        </w:rPr>
      </w:pPr>
    </w:p>
    <w:p>
      <w:pPr>
        <w:ind w:right="120" w:firstLine="1492"/>
        <w:spacing w:after="0" w:line="252" w:lineRule="auto"/>
        <w:tabs>
          <w:tab w:leader="none" w:pos="190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Valuation of Non-Cash Consideration</w:t>
      </w:r>
      <w:r>
        <w:rPr>
          <w:rFonts w:ascii="Arial" w:cs="Arial" w:eastAsia="Arial" w:hAnsi="Arial"/>
          <w:sz w:val="21"/>
          <w:szCs w:val="21"/>
          <w:color w:val="auto"/>
        </w:rPr>
        <w:t xml:space="preserve">. If any assets of the Corporation distributed to stockholders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21"/>
          <w:szCs w:val="21"/>
          <w:u w:val="single" w:color="auto"/>
          <w:color w:val="auto"/>
        </w:rPr>
        <w:t>except that</w:t>
      </w:r>
      <w:r>
        <w:rPr>
          <w:rFonts w:ascii="Arial" w:cs="Arial" w:eastAsia="Arial" w:hAnsi="Arial"/>
          <w:sz w:val="21"/>
          <w:szCs w:val="21"/>
          <w:color w:val="auto"/>
        </w:rPr>
        <w:t xml:space="preserve"> any securities to be distributed to stockholders in a liquidation, dissolution, or winding up of the Corporation shall be valued as follows:</w:t>
      </w:r>
    </w:p>
    <w:p>
      <w:pPr>
        <w:spacing w:after="0" w:line="120" w:lineRule="exact"/>
        <w:rPr>
          <w:rFonts w:ascii="Arial" w:cs="Arial" w:eastAsia="Arial" w:hAnsi="Arial"/>
          <w:sz w:val="21"/>
          <w:szCs w:val="21"/>
          <w:color w:val="auto"/>
        </w:rPr>
      </w:pPr>
    </w:p>
    <w:p>
      <w:pPr>
        <w:ind w:right="160" w:firstLine="2290"/>
        <w:spacing w:after="0" w:line="238" w:lineRule="auto"/>
        <w:tabs>
          <w:tab w:leader="none" w:pos="270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222" w:name="page223"/>
    <w:bookmarkEnd w:id="222"/>
    <w:p>
      <w:pPr>
        <w:ind w:right="20" w:firstLine="2290"/>
        <w:spacing w:after="0"/>
        <w:tabs>
          <w:tab w:leader="none" w:pos="2763" w:val="left"/>
        </w:tabs>
        <w:numPr>
          <w:ilvl w:val="0"/>
          <w:numId w:val="13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132" w:lineRule="exact"/>
        <w:rPr>
          <w:rFonts w:ascii="Arial" w:cs="Arial" w:eastAsia="Arial" w:hAnsi="Arial"/>
          <w:sz w:val="22"/>
          <w:szCs w:val="22"/>
          <w:color w:val="auto"/>
        </w:rPr>
      </w:pPr>
    </w:p>
    <w:p>
      <w:pPr>
        <w:ind w:firstLine="2290"/>
        <w:spacing w:after="0"/>
        <w:tabs>
          <w:tab w:leader="none" w:pos="282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132" w:lineRule="exact"/>
        <w:rPr>
          <w:sz w:val="20"/>
          <w:szCs w:val="20"/>
          <w:color w:val="auto"/>
        </w:rPr>
      </w:pPr>
    </w:p>
    <w:p>
      <w:pPr>
        <w:ind w:right="160" w:firstLine="799"/>
        <w:spacing w:after="0" w:line="251" w:lineRule="auto"/>
        <w:rPr>
          <w:sz w:val="20"/>
          <w:szCs w:val="20"/>
          <w:color w:val="auto"/>
        </w:rPr>
      </w:pPr>
      <w:r>
        <w:rPr>
          <w:rFonts w:ascii="Arial" w:cs="Arial" w:eastAsia="Arial" w:hAnsi="Arial"/>
          <w:sz w:val="22"/>
          <w:szCs w:val="22"/>
          <w:color w:val="auto"/>
        </w:rPr>
        <w:t>In the event of a merger or other acquisition of the Corporation by another entity, the distribution date shall be deemed to the date such transaction closes.</w:t>
      </w:r>
    </w:p>
    <w:p>
      <w:pPr>
        <w:spacing w:after="0" w:line="119" w:lineRule="exact"/>
        <w:rPr>
          <w:sz w:val="20"/>
          <w:szCs w:val="20"/>
          <w:color w:val="auto"/>
        </w:rPr>
      </w:pPr>
    </w:p>
    <w:p>
      <w:pPr>
        <w:ind w:right="20" w:firstLine="799"/>
        <w:spacing w:after="0" w:line="246" w:lineRule="auto"/>
        <w:rPr>
          <w:sz w:val="20"/>
          <w:szCs w:val="20"/>
          <w:color w:val="auto"/>
        </w:rPr>
      </w:pPr>
      <w:r>
        <w:rPr>
          <w:rFonts w:ascii="Arial" w:cs="Arial" w:eastAsia="Arial" w:hAnsi="Arial"/>
          <w:sz w:val="21"/>
          <w:szCs w:val="21"/>
          <w:color w:val="auto"/>
        </w:rPr>
        <w:t>For the purposes of this Section 5(i), “</w:t>
      </w:r>
      <w:r>
        <w:rPr>
          <w:rFonts w:ascii="Arial" w:cs="Arial" w:eastAsia="Arial" w:hAnsi="Arial"/>
          <w:sz w:val="21"/>
          <w:szCs w:val="21"/>
          <w:u w:val="single" w:color="auto"/>
          <w:color w:val="auto"/>
        </w:rPr>
        <w:t>trading day</w:t>
      </w:r>
      <w:r>
        <w:rPr>
          <w:rFonts w:ascii="Arial" w:cs="Arial" w:eastAsia="Arial" w:hAnsi="Arial"/>
          <w:sz w:val="21"/>
          <w:szCs w:val="21"/>
          <w:color w:val="auto"/>
        </w:rPr>
        <w:t>” shall mean any day on which the exchange or system on which the securities to be distributed are traded is open, and “</w:t>
      </w:r>
      <w:r>
        <w:rPr>
          <w:rFonts w:ascii="Arial" w:cs="Arial" w:eastAsia="Arial" w:hAnsi="Arial"/>
          <w:sz w:val="21"/>
          <w:szCs w:val="21"/>
          <w:u w:val="single" w:color="auto"/>
          <w:color w:val="auto"/>
        </w:rPr>
        <w:t>closing prices</w:t>
      </w:r>
      <w:r>
        <w:rPr>
          <w:rFonts w:ascii="Arial" w:cs="Arial" w:eastAsia="Arial" w:hAnsi="Arial"/>
          <w:sz w:val="21"/>
          <w:szCs w:val="21"/>
          <w:color w:val="auto"/>
        </w:rPr>
        <w:t>” or “</w:t>
      </w:r>
      <w:r>
        <w:rPr>
          <w:rFonts w:ascii="Arial" w:cs="Arial" w:eastAsia="Arial" w:hAnsi="Arial"/>
          <w:sz w:val="21"/>
          <w:szCs w:val="21"/>
          <w:u w:val="single" w:color="auto"/>
          <w:color w:val="auto"/>
        </w:rPr>
        <w:t>closing bid prices</w:t>
      </w:r>
      <w:r>
        <w:rPr>
          <w:rFonts w:ascii="Arial" w:cs="Arial" w:eastAsia="Arial" w:hAnsi="Arial"/>
          <w:sz w:val="21"/>
          <w:szCs w:val="21"/>
          <w:color w:val="auto"/>
        </w:rPr>
        <w:t>” shall be deemed to be: (i) for securities traded primarily on the New York Stock Exchange, the American Stock Exchange or Nasdaq,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27" w:lineRule="exact"/>
        <w:rPr>
          <w:sz w:val="20"/>
          <w:szCs w:val="20"/>
          <w:color w:val="auto"/>
        </w:rPr>
      </w:pPr>
    </w:p>
    <w:p>
      <w:pPr>
        <w:ind w:left="1180" w:hanging="373"/>
        <w:spacing w:after="0"/>
        <w:tabs>
          <w:tab w:leader="none" w:pos="118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Conversion</w:t>
      </w:r>
      <w:r>
        <w:rPr>
          <w:rFonts w:ascii="Arial" w:cs="Arial" w:eastAsia="Arial" w:hAnsi="Arial"/>
          <w:sz w:val="19"/>
          <w:szCs w:val="19"/>
          <w:color w:val="auto"/>
        </w:rPr>
        <w:t>. The holders of the Preferred Stock shall have conversion rights as follows (the “</w:t>
      </w:r>
      <w:r>
        <w:rPr>
          <w:rFonts w:ascii="Arial" w:cs="Arial" w:eastAsia="Arial" w:hAnsi="Arial"/>
          <w:sz w:val="19"/>
          <w:szCs w:val="19"/>
          <w:u w:val="single" w:color="auto"/>
          <w:color w:val="auto"/>
        </w:rPr>
        <w:t>Conversion Rights</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right="120" w:firstLine="1492"/>
        <w:spacing w:after="0" w:line="277" w:lineRule="auto"/>
        <w:tabs>
          <w:tab w:leader="none" w:pos="1939"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Right to Convert</w:t>
      </w:r>
      <w:r>
        <w:rPr>
          <w:rFonts w:ascii="Arial" w:cs="Arial" w:eastAsia="Arial" w:hAnsi="Arial"/>
          <w:sz w:val="19"/>
          <w:szCs w:val="19"/>
          <w:color w:val="auto"/>
        </w:rPr>
        <w:t>. Subject to Section 6(c),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9"/>
          <w:szCs w:val="19"/>
          <w:u w:val="single" w:color="auto"/>
          <w:color w:val="auto"/>
        </w:rPr>
        <w:t>Conversion Rate</w:t>
      </w:r>
      <w:r>
        <w:rPr>
          <w:rFonts w:ascii="Arial" w:cs="Arial" w:eastAsia="Arial" w:hAnsi="Arial"/>
          <w:sz w:val="19"/>
          <w:szCs w:val="19"/>
          <w:color w:val="auto"/>
        </w:rPr>
        <w:t>” for each such series.) Upon any decrease or increase in the Conversion Price for any series of Preferred Stock, as described in this Section 6, the Conversion Rate for such series shall be appropriately increased or decreased.</w:t>
      </w:r>
    </w:p>
    <w:p>
      <w:pPr>
        <w:spacing w:after="0" w:line="98" w:lineRule="exact"/>
        <w:rPr>
          <w:rFonts w:ascii="Arial" w:cs="Arial" w:eastAsia="Arial" w:hAnsi="Arial"/>
          <w:sz w:val="19"/>
          <w:szCs w:val="19"/>
          <w:color w:val="auto"/>
        </w:rPr>
      </w:pPr>
    </w:p>
    <w:p>
      <w:pPr>
        <w:ind w:firstLine="1492"/>
        <w:spacing w:after="0" w:line="245" w:lineRule="auto"/>
        <w:tabs>
          <w:tab w:leader="none" w:pos="1952"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Automatic Conversion</w:t>
      </w:r>
      <w:r>
        <w:rPr>
          <w:rFonts w:ascii="Arial" w:cs="Arial" w:eastAsia="Arial" w:hAnsi="Arial"/>
          <w:sz w:val="21"/>
          <w:szCs w:val="21"/>
          <w:color w:val="auto"/>
        </w:rPr>
        <w:t>. Each share of Preferred Stock shall automatically be converted into fully-paid, non-assessable shares of Common Stock at the then effective Conversion Rate for such share (i) immediately prior to the closing of a firm commitment underwritten initial public offering on Form S-1 (or successor form) filed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covering the offer and sale of the Corporation’s Common Stock, provided that the aggregate gross proceeds to the Corporation are not less than $25,000,000, or (ii) upon the receipt by the Corporation of a written consent or request for such conversion from the holders of two-thirds of the shares of Preferred Stock then outstanding, or, if later, the effective date for conversion specified in such requests (each of the events referred to in (i) and (ii) being hereinafter referred to as an “</w:t>
      </w:r>
      <w:r>
        <w:rPr>
          <w:rFonts w:ascii="Arial" w:cs="Arial" w:eastAsia="Arial" w:hAnsi="Arial"/>
          <w:sz w:val="21"/>
          <w:szCs w:val="21"/>
          <w:u w:val="single" w:color="auto"/>
          <w:color w:val="auto"/>
        </w:rPr>
        <w:t>Automatic</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Conversion Event</w:t>
      </w:r>
      <w:r>
        <w:rPr>
          <w:rFonts w:ascii="Arial" w:cs="Arial" w:eastAsia="Arial" w:hAnsi="Arial"/>
          <w:sz w:val="21"/>
          <w:szCs w:val="21"/>
          <w:color w:val="auto"/>
        </w:rPr>
        <w:t>”). Notwithstanding the foregoing, if the Automatic Conversion Event does not involve an initial public offering of the Company’s Common Stock, then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223" w:name="page224"/>
    <w:bookmarkEnd w:id="223"/>
    <w:p>
      <w:pPr>
        <w:ind w:right="4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Automatic Conversion Event shall not apply to the Series E Preferred Stock unless such Automatic Conversion Event is approved by the written consent of holders of more than two-thirds of the shares of Series E Preferred Stock then outstanding.</w:t>
      </w:r>
    </w:p>
    <w:p>
      <w:pPr>
        <w:spacing w:after="0" w:line="51" w:lineRule="exact"/>
        <w:rPr>
          <w:sz w:val="20"/>
          <w:szCs w:val="20"/>
          <w:color w:val="auto"/>
        </w:rPr>
      </w:pPr>
    </w:p>
    <w:p>
      <w:pPr>
        <w:ind w:firstLine="1492"/>
        <w:spacing w:after="0" w:line="270" w:lineRule="auto"/>
        <w:tabs>
          <w:tab w:leader="none" w:pos="1939"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Mechanics of Conversion</w:t>
      </w:r>
      <w:r>
        <w:rPr>
          <w:rFonts w:ascii="Arial" w:cs="Arial" w:eastAsia="Arial" w:hAnsi="Arial"/>
          <w:sz w:val="19"/>
          <w:szCs w:val="19"/>
          <w:color w:val="auto"/>
        </w:rPr>
        <w:t xml:space="preserve">.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he shall either surrender the certificate or certificates therefor, duly endorsed, at the office of the Corporation or of any transfer agent for the Preferred Stock, or notify the Corporation or its transfer agent that such certificate or certificates have been lost, stolen or destroyed and execute an agreement satisfactory to the Corporation to indemnify the Corporation from any loss incurred by it in connection with such certificate or certificates, and shall give written notice to the Corporation at such office that he elects to convert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348" w:lineRule="exact"/>
        <w:rPr>
          <w:sz w:val="20"/>
          <w:szCs w:val="20"/>
          <w:color w:val="auto"/>
        </w:rPr>
      </w:pPr>
    </w:p>
    <w:p>
      <w:pPr>
        <w:ind w:right="20" w:firstLine="799"/>
        <w:spacing w:after="0" w:line="273" w:lineRule="auto"/>
        <w:rPr>
          <w:sz w:val="20"/>
          <w:szCs w:val="20"/>
          <w:color w:val="auto"/>
        </w:rPr>
      </w:pPr>
      <w:r>
        <w:rPr>
          <w:rFonts w:ascii="Arial" w:cs="Arial" w:eastAsia="Arial" w:hAnsi="Arial"/>
          <w:sz w:val="19"/>
          <w:szCs w:val="19"/>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267" w:right="279" w:bottom="1440" w:gutter="0" w:footer="0" w:header="0"/>
        </w:sectPr>
      </w:pPr>
    </w:p>
    <w:bookmarkStart w:id="224" w:name="page225"/>
    <w:bookmarkEnd w:id="224"/>
    <w:p>
      <w:pPr>
        <w:ind w:right="1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issuable upon such conversion of the Preferred Stock shall not be deemed to have converted such Preferred Stock until immediately prior to the closing of the sale of such securities.</w:t>
      </w:r>
    </w:p>
    <w:p>
      <w:pPr>
        <w:spacing w:after="0" w:line="119" w:lineRule="exact"/>
        <w:rPr>
          <w:sz w:val="20"/>
          <w:szCs w:val="20"/>
          <w:color w:val="auto"/>
        </w:rPr>
      </w:pPr>
    </w:p>
    <w:p>
      <w:pPr>
        <w:ind w:left="1960" w:hanging="468"/>
        <w:spacing w:after="0"/>
        <w:tabs>
          <w:tab w:leader="none" w:pos="19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Adjustments to Conversion Price for Diluting Issues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2290"/>
        <w:spacing w:after="0"/>
        <w:tabs>
          <w:tab w:leader="none" w:pos="2918" w:val="left"/>
        </w:tabs>
        <w:numPr>
          <w:ilvl w:val="1"/>
          <w:numId w:val="140"/>
        </w:numPr>
        <w:rPr>
          <w:rFonts w:ascii="Arial" w:cs="Arial" w:eastAsia="Arial" w:hAnsi="Arial"/>
          <w:sz w:val="22"/>
          <w:szCs w:val="22"/>
          <w:color w:val="auto"/>
        </w:rPr>
      </w:pPr>
      <w:r>
        <w:rPr>
          <w:rFonts w:ascii="Arial" w:cs="Arial" w:eastAsia="Arial" w:hAnsi="Arial"/>
          <w:sz w:val="22"/>
          <w:szCs w:val="22"/>
          <w:u w:val="single" w:color="auto"/>
          <w:color w:val="auto"/>
        </w:rPr>
        <w:t>Special Definition</w:t>
      </w:r>
      <w:r>
        <w:rPr>
          <w:rFonts w:ascii="Arial" w:cs="Arial" w:eastAsia="Arial" w:hAnsi="Arial"/>
          <w:sz w:val="22"/>
          <w:szCs w:val="22"/>
          <w:color w:val="auto"/>
        </w:rPr>
        <w:t>. For purposes of this Section 6(d), “</w:t>
      </w:r>
      <w:r>
        <w:rPr>
          <w:rFonts w:ascii="Arial" w:cs="Arial" w:eastAsia="Arial" w:hAnsi="Arial"/>
          <w:sz w:val="22"/>
          <w:szCs w:val="22"/>
          <w:u w:val="single" w:color="auto"/>
          <w:color w:val="auto"/>
        </w:rPr>
        <w:t>Additional Shares of Common</w:t>
      </w:r>
      <w:r>
        <w:rPr>
          <w:rFonts w:ascii="Arial" w:cs="Arial" w:eastAsia="Arial" w:hAnsi="Arial"/>
          <w:sz w:val="22"/>
          <w:szCs w:val="22"/>
          <w:color w:val="auto"/>
        </w:rPr>
        <w:t>” shall mean all shares of Common Stock issued (or, pursuant to Section 6(d)(iii), deemed to be issued) by the Corporation after the filing of this Certificate of Incorporation, other than:</w:t>
      </w:r>
    </w:p>
    <w:p>
      <w:pPr>
        <w:spacing w:after="0" w:line="132" w:lineRule="exact"/>
        <w:rPr>
          <w:rFonts w:ascii="Arial" w:cs="Arial" w:eastAsia="Arial" w:hAnsi="Arial"/>
          <w:sz w:val="22"/>
          <w:szCs w:val="22"/>
          <w:color w:val="auto"/>
        </w:rPr>
      </w:pPr>
    </w:p>
    <w:p>
      <w:pPr>
        <w:ind w:left="3440" w:hanging="465"/>
        <w:spacing w:after="0"/>
        <w:tabs>
          <w:tab w:leader="none" w:pos="3440" w:val="left"/>
        </w:tabs>
        <w:numPr>
          <w:ilvl w:val="2"/>
          <w:numId w:val="140"/>
        </w:numPr>
        <w:rPr>
          <w:rFonts w:ascii="Arial" w:cs="Arial" w:eastAsia="Arial" w:hAnsi="Arial"/>
          <w:sz w:val="19"/>
          <w:szCs w:val="19"/>
          <w:color w:val="auto"/>
        </w:rPr>
      </w:pPr>
      <w:r>
        <w:rPr>
          <w:rFonts w:ascii="Arial" w:cs="Arial" w:eastAsia="Arial" w:hAnsi="Arial"/>
          <w:sz w:val="19"/>
          <w:szCs w:val="19"/>
          <w:color w:val="auto"/>
        </w:rPr>
        <w:t>shares of Common Stock issued or issuable upon the conversion of the Preferred Stock;</w:t>
      </w:r>
    </w:p>
    <w:p>
      <w:pPr>
        <w:spacing w:after="0" w:line="186" w:lineRule="exact"/>
        <w:rPr>
          <w:rFonts w:ascii="Arial" w:cs="Arial" w:eastAsia="Arial" w:hAnsi="Arial"/>
          <w:sz w:val="19"/>
          <w:szCs w:val="19"/>
          <w:color w:val="auto"/>
        </w:rPr>
      </w:pPr>
    </w:p>
    <w:p>
      <w:pPr>
        <w:ind w:right="20" w:firstLine="2975"/>
        <w:spacing w:after="0" w:line="238" w:lineRule="auto"/>
        <w:tabs>
          <w:tab w:leader="none" w:pos="3435" w:val="left"/>
        </w:tabs>
        <w:numPr>
          <w:ilvl w:val="2"/>
          <w:numId w:val="140"/>
        </w:numPr>
        <w:rPr>
          <w:rFonts w:ascii="Arial" w:cs="Arial" w:eastAsia="Arial" w:hAnsi="Arial"/>
          <w:sz w:val="22"/>
          <w:szCs w:val="22"/>
          <w:color w:val="auto"/>
        </w:rPr>
      </w:pPr>
      <w:r>
        <w:rPr>
          <w:rFonts w:ascii="Arial" w:cs="Arial" w:eastAsia="Arial" w:hAnsi="Arial"/>
          <w:sz w:val="22"/>
          <w:szCs w:val="22"/>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131" w:lineRule="exact"/>
        <w:rPr>
          <w:rFonts w:ascii="Arial" w:cs="Arial" w:eastAsia="Arial" w:hAnsi="Arial"/>
          <w:sz w:val="22"/>
          <w:szCs w:val="22"/>
          <w:color w:val="auto"/>
        </w:rPr>
      </w:pPr>
    </w:p>
    <w:p>
      <w:pPr>
        <w:ind w:right="80" w:firstLine="2975"/>
        <w:spacing w:after="0" w:line="251" w:lineRule="auto"/>
        <w:tabs>
          <w:tab w:leader="none" w:pos="3435" w:val="left"/>
        </w:tabs>
        <w:numPr>
          <w:ilvl w:val="2"/>
          <w:numId w:val="140"/>
        </w:numPr>
        <w:rPr>
          <w:rFonts w:ascii="Arial" w:cs="Arial" w:eastAsia="Arial" w:hAnsi="Arial"/>
          <w:sz w:val="22"/>
          <w:szCs w:val="22"/>
          <w:color w:val="auto"/>
        </w:rPr>
      </w:pPr>
      <w:r>
        <w:rPr>
          <w:rFonts w:ascii="Arial" w:cs="Arial" w:eastAsia="Arial" w:hAnsi="Arial"/>
          <w:sz w:val="22"/>
          <w:szCs w:val="22"/>
          <w:color w:val="auto"/>
        </w:rPr>
        <w:t>shares of Common Stock issued upon the exercise or conversion of Options or Convertible Securities outstanding as of the date of the filing of this Certificate of Incorporation;</w:t>
      </w:r>
    </w:p>
    <w:p>
      <w:pPr>
        <w:spacing w:after="0" w:line="119" w:lineRule="exact"/>
        <w:rPr>
          <w:rFonts w:ascii="Arial" w:cs="Arial" w:eastAsia="Arial" w:hAnsi="Arial"/>
          <w:sz w:val="22"/>
          <w:szCs w:val="22"/>
          <w:color w:val="auto"/>
        </w:rPr>
      </w:pPr>
    </w:p>
    <w:p>
      <w:pPr>
        <w:ind w:left="3440" w:hanging="465"/>
        <w:spacing w:after="0"/>
        <w:tabs>
          <w:tab w:leader="none" w:pos="3440" w:val="left"/>
        </w:tabs>
        <w:numPr>
          <w:ilvl w:val="2"/>
          <w:numId w:val="140"/>
        </w:numPr>
        <w:rPr>
          <w:rFonts w:ascii="Arial" w:cs="Arial" w:eastAsia="Arial" w:hAnsi="Arial"/>
          <w:sz w:val="19"/>
          <w:szCs w:val="19"/>
          <w:color w:val="auto"/>
        </w:rPr>
      </w:pPr>
      <w:r>
        <w:rPr>
          <w:rFonts w:ascii="Arial" w:cs="Arial" w:eastAsia="Arial" w:hAnsi="Arial"/>
          <w:sz w:val="19"/>
          <w:szCs w:val="19"/>
          <w:color w:val="auto"/>
        </w:rPr>
        <w:t>shares of Common Stock issued or issuable as a dividend or distribution on Preferred Stock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pursuant to any event for which adjustment is made pursuant to Section 6(e), 6(f) or 6(g) hereof;</w:t>
      </w:r>
    </w:p>
    <w:p>
      <w:pPr>
        <w:spacing w:after="0" w:line="134" w:lineRule="exact"/>
        <w:rPr>
          <w:rFonts w:ascii="Arial" w:cs="Arial" w:eastAsia="Arial" w:hAnsi="Arial"/>
          <w:sz w:val="19"/>
          <w:szCs w:val="19"/>
          <w:color w:val="auto"/>
        </w:rPr>
      </w:pPr>
    </w:p>
    <w:p>
      <w:pPr>
        <w:ind w:left="3440" w:hanging="465"/>
        <w:spacing w:after="0"/>
        <w:tabs>
          <w:tab w:leader="none" w:pos="3440" w:val="left"/>
        </w:tabs>
        <w:numPr>
          <w:ilvl w:val="2"/>
          <w:numId w:val="140"/>
        </w:numPr>
        <w:rPr>
          <w:rFonts w:ascii="Arial" w:cs="Arial" w:eastAsia="Arial" w:hAnsi="Arial"/>
          <w:sz w:val="19"/>
          <w:szCs w:val="19"/>
          <w:color w:val="auto"/>
        </w:rPr>
      </w:pPr>
      <w:r>
        <w:rPr>
          <w:rFonts w:ascii="Arial" w:cs="Arial" w:eastAsia="Arial" w:hAnsi="Arial"/>
          <w:sz w:val="19"/>
          <w:szCs w:val="19"/>
          <w:color w:val="auto"/>
        </w:rPr>
        <w:t>shares of Common Stock issued in a registered public offering under the Securities Act;</w:t>
      </w:r>
    </w:p>
    <w:p>
      <w:pPr>
        <w:spacing w:after="0" w:line="186" w:lineRule="exact"/>
        <w:rPr>
          <w:rFonts w:ascii="Arial" w:cs="Arial" w:eastAsia="Arial" w:hAnsi="Arial"/>
          <w:sz w:val="19"/>
          <w:szCs w:val="19"/>
          <w:color w:val="auto"/>
        </w:rPr>
      </w:pPr>
    </w:p>
    <w:p>
      <w:pPr>
        <w:ind w:right="340" w:firstLine="2975"/>
        <w:spacing w:after="0" w:line="258" w:lineRule="auto"/>
        <w:tabs>
          <w:tab w:leader="none" w:pos="3435" w:val="left"/>
        </w:tabs>
        <w:numPr>
          <w:ilvl w:val="2"/>
          <w:numId w:val="140"/>
        </w:numPr>
        <w:rPr>
          <w:rFonts w:ascii="Arial" w:cs="Arial" w:eastAsia="Arial" w:hAnsi="Arial"/>
          <w:sz w:val="21"/>
          <w:szCs w:val="21"/>
          <w:color w:val="auto"/>
        </w:rPr>
      </w:pPr>
      <w:r>
        <w:rPr>
          <w:rFonts w:ascii="Arial" w:cs="Arial" w:eastAsia="Arial" w:hAnsi="Arial"/>
          <w:sz w:val="21"/>
          <w:szCs w:val="21"/>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w:t>
      </w:r>
    </w:p>
    <w:p>
      <w:pPr>
        <w:spacing w:after="0" w:line="112" w:lineRule="exact"/>
        <w:rPr>
          <w:rFonts w:ascii="Arial" w:cs="Arial" w:eastAsia="Arial" w:hAnsi="Arial"/>
          <w:sz w:val="21"/>
          <w:szCs w:val="21"/>
          <w:color w:val="auto"/>
        </w:rPr>
      </w:pPr>
    </w:p>
    <w:p>
      <w:pPr>
        <w:ind w:left="3440" w:hanging="465"/>
        <w:spacing w:after="0"/>
        <w:tabs>
          <w:tab w:leader="none" w:pos="3440" w:val="left"/>
        </w:tabs>
        <w:numPr>
          <w:ilvl w:val="2"/>
          <w:numId w:val="140"/>
        </w:numPr>
        <w:rPr>
          <w:rFonts w:ascii="Arial" w:cs="Arial" w:eastAsia="Arial" w:hAnsi="Arial"/>
          <w:sz w:val="19"/>
          <w:szCs w:val="19"/>
          <w:color w:val="auto"/>
        </w:rPr>
      </w:pPr>
      <w:r>
        <w:rPr>
          <w:rFonts w:ascii="Arial" w:cs="Arial" w:eastAsia="Arial" w:hAnsi="Arial"/>
          <w:sz w:val="19"/>
          <w:szCs w:val="19"/>
          <w:color w:val="auto"/>
        </w:rPr>
        <w:t>shares of Common Stock issued or issuable to banks, equipment lessors or other financial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institutions pursuant to a commercial leasing or debt financing transaction approved by the Board of Directors;</w:t>
      </w:r>
    </w:p>
    <w:p>
      <w:pPr>
        <w:spacing w:after="0" w:line="134" w:lineRule="exact"/>
        <w:rPr>
          <w:rFonts w:ascii="Arial" w:cs="Arial" w:eastAsia="Arial" w:hAnsi="Arial"/>
          <w:sz w:val="19"/>
          <w:szCs w:val="19"/>
          <w:color w:val="auto"/>
        </w:rPr>
      </w:pPr>
    </w:p>
    <w:p>
      <w:pPr>
        <w:ind w:right="760" w:firstLine="2975"/>
        <w:spacing w:after="0" w:line="258" w:lineRule="auto"/>
        <w:tabs>
          <w:tab w:leader="none" w:pos="3435" w:val="left"/>
        </w:tabs>
        <w:numPr>
          <w:ilvl w:val="2"/>
          <w:numId w:val="140"/>
        </w:numPr>
        <w:rPr>
          <w:rFonts w:ascii="Arial" w:cs="Arial" w:eastAsia="Arial" w:hAnsi="Arial"/>
          <w:sz w:val="21"/>
          <w:szCs w:val="21"/>
          <w:color w:val="auto"/>
        </w:rPr>
      </w:pPr>
      <w:r>
        <w:rPr>
          <w:rFonts w:ascii="Arial" w:cs="Arial" w:eastAsia="Arial" w:hAnsi="Arial"/>
          <w:sz w:val="21"/>
          <w:szCs w:val="21"/>
          <w:color w:val="auto"/>
        </w:rPr>
        <w:t>shares of Common Stock issued or issuable in connection with sponsored research, collaboration, technology license, development, OEM, marketing or other similar agreements, or strategic partnerships or relationships, if the issuance is approved by the Board of Directors; and</w:t>
      </w:r>
    </w:p>
    <w:p>
      <w:pPr>
        <w:spacing w:after="0" w:line="112" w:lineRule="exact"/>
        <w:rPr>
          <w:rFonts w:ascii="Arial" w:cs="Arial" w:eastAsia="Arial" w:hAnsi="Arial"/>
          <w:sz w:val="21"/>
          <w:szCs w:val="21"/>
          <w:color w:val="auto"/>
        </w:rPr>
      </w:pPr>
    </w:p>
    <w:p>
      <w:pPr>
        <w:ind w:right="100" w:firstLine="2975"/>
        <w:spacing w:after="0" w:line="328" w:lineRule="auto"/>
        <w:tabs>
          <w:tab w:leader="none" w:pos="3435" w:val="left"/>
        </w:tabs>
        <w:numPr>
          <w:ilvl w:val="2"/>
          <w:numId w:val="140"/>
        </w:numPr>
        <w:rPr>
          <w:rFonts w:ascii="Arial" w:cs="Arial" w:eastAsia="Arial" w:hAnsi="Arial"/>
          <w:sz w:val="19"/>
          <w:szCs w:val="19"/>
          <w:color w:val="auto"/>
        </w:rPr>
      </w:pPr>
      <w:r>
        <w:rPr>
          <w:rFonts w:ascii="Arial" w:cs="Arial" w:eastAsia="Arial" w:hAnsi="Arial"/>
          <w:sz w:val="19"/>
          <w:szCs w:val="19"/>
          <w:color w:val="auto"/>
        </w:rPr>
        <w:t>shares of Common Stock issued upon the exercise or conversion of those Series E-1 Preferred Stock Warrants issued pursuant to that certain Note and Warrant Purchase Agreement dated on or about January 6, 2011.</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267" w:right="279" w:bottom="1440" w:gutter="0" w:footer="0" w:header="0"/>
        </w:sectPr>
      </w:pPr>
    </w:p>
    <w:bookmarkStart w:id="225" w:name="page226"/>
    <w:bookmarkEnd w:id="225"/>
    <w:p>
      <w:pPr>
        <w:ind w:left="-20" w:right="140" w:firstLine="2290"/>
        <w:spacing w:after="0" w:line="287" w:lineRule="auto"/>
        <w:tabs>
          <w:tab w:leader="none" w:pos="2797"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Adjustment of Conversion Price</w:t>
      </w:r>
      <w:r>
        <w:rPr>
          <w:rFonts w:ascii="Arial" w:cs="Arial" w:eastAsia="Arial" w:hAnsi="Arial"/>
          <w:sz w:val="19"/>
          <w:szCs w:val="19"/>
          <w:color w:val="auto"/>
        </w:rPr>
        <w:t>. No adjustment in the Conversion Price of a particular series of Preferred Stock shall be made in respect of the issuance of Additional Shares of Common unless the consideration per share (as determined pursuant to Section 6(d)(ix)) for an Additional Share of Common issued or deemed to be issued by the Corporation is less than the Conversion Price in effect on the date of, and immediately prior to such issue, for such series of Preferred Stock.</w:t>
      </w:r>
    </w:p>
    <w:p>
      <w:pPr>
        <w:spacing w:after="0" w:line="89" w:lineRule="exact"/>
        <w:rPr>
          <w:rFonts w:ascii="Arial" w:cs="Arial" w:eastAsia="Arial" w:hAnsi="Arial"/>
          <w:sz w:val="19"/>
          <w:szCs w:val="19"/>
          <w:color w:val="auto"/>
        </w:rPr>
      </w:pPr>
    </w:p>
    <w:p>
      <w:pPr>
        <w:ind w:left="-20" w:firstLine="2290"/>
        <w:spacing w:after="0" w:line="274" w:lineRule="auto"/>
        <w:tabs>
          <w:tab w:leader="none" w:pos="2802"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Deemed Issue of Additional Shares of Common</w:t>
      </w:r>
      <w:r>
        <w:rPr>
          <w:rFonts w:ascii="Arial" w:cs="Arial" w:eastAsia="Arial" w:hAnsi="Arial"/>
          <w:sz w:val="19"/>
          <w:szCs w:val="19"/>
          <w:color w:val="auto"/>
        </w:rPr>
        <w:t>. In the event the Corporation at any time or from time to time after the date of the filing of this Certificate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104" w:lineRule="exact"/>
        <w:rPr>
          <w:rFonts w:ascii="Arial" w:cs="Arial" w:eastAsia="Arial" w:hAnsi="Arial"/>
          <w:sz w:val="19"/>
          <w:szCs w:val="19"/>
          <w:color w:val="auto"/>
        </w:rPr>
      </w:pPr>
    </w:p>
    <w:p>
      <w:pPr>
        <w:ind w:left="-20" w:right="20" w:firstLine="2975"/>
        <w:spacing w:after="0" w:line="297" w:lineRule="auto"/>
        <w:tabs>
          <w:tab w:leader="none" w:pos="341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 pursuant to the terms of such Options or Convertible Securities;</w:t>
      </w:r>
    </w:p>
    <w:p>
      <w:pPr>
        <w:spacing w:after="0" w:line="80" w:lineRule="exact"/>
        <w:rPr>
          <w:rFonts w:ascii="Arial" w:cs="Arial" w:eastAsia="Arial" w:hAnsi="Arial"/>
          <w:sz w:val="19"/>
          <w:szCs w:val="19"/>
          <w:color w:val="auto"/>
        </w:rPr>
      </w:pPr>
    </w:p>
    <w:p>
      <w:pPr>
        <w:ind w:left="-20" w:right="80" w:firstLine="2975"/>
        <w:spacing w:after="0" w:line="234" w:lineRule="auto"/>
        <w:tabs>
          <w:tab w:leader="none" w:pos="341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if no adjustment in the Conversion Price of the Preferred Stock was made upon the original issue of (or upon the occurrence of a record date with respect to) such Options or Convertible Securities and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then such Options or Convertible Securities as so revised (and the Additional Shares of Common subject thereto) shall be deemed to have been issued effective upon such increase or decrease becoming effective;</w:t>
      </w:r>
    </w:p>
    <w:p>
      <w:pPr>
        <w:spacing w:after="0" w:line="137" w:lineRule="exact"/>
        <w:rPr>
          <w:rFonts w:ascii="Arial" w:cs="Arial" w:eastAsia="Arial" w:hAnsi="Arial"/>
          <w:sz w:val="22"/>
          <w:szCs w:val="22"/>
          <w:color w:val="auto"/>
        </w:rPr>
      </w:pPr>
    </w:p>
    <w:p>
      <w:pPr>
        <w:ind w:left="-20" w:right="20" w:firstLine="2975"/>
        <w:spacing w:after="0" w:line="247" w:lineRule="auto"/>
        <w:tabs>
          <w:tab w:leader="none" w:pos="3415" w:val="left"/>
        </w:tabs>
        <w:numPr>
          <w:ilvl w:val="1"/>
          <w:numId w:val="141"/>
        </w:numPr>
        <w:rPr>
          <w:rFonts w:ascii="Arial" w:cs="Arial" w:eastAsia="Arial" w:hAnsi="Arial"/>
          <w:sz w:val="21"/>
          <w:szCs w:val="21"/>
          <w:color w:val="auto"/>
        </w:rPr>
      </w:pPr>
      <w:r>
        <w:rPr>
          <w:rFonts w:ascii="Arial" w:cs="Arial" w:eastAsia="Arial" w:hAnsi="Arial"/>
          <w:sz w:val="21"/>
          <w:szCs w:val="21"/>
          <w:color w:val="auto"/>
        </w:rPr>
        <w:t>if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w:t>
      </w:r>
    </w:p>
    <w:p>
      <w:pPr>
        <w:spacing w:after="0" w:line="124" w:lineRule="exact"/>
        <w:rPr>
          <w:rFonts w:ascii="Arial" w:cs="Arial" w:eastAsia="Arial" w:hAnsi="Arial"/>
          <w:sz w:val="21"/>
          <w:szCs w:val="21"/>
          <w:color w:val="auto"/>
        </w:rPr>
      </w:pPr>
    </w:p>
    <w:p>
      <w:pPr>
        <w:ind w:left="-20" w:firstLine="2975"/>
        <w:spacing w:after="0"/>
        <w:tabs>
          <w:tab w:leader="none" w:pos="341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no readjustment pursuant to clause (3) above shall have the effect of increasing the Conversion Price of the Preferred Stock to an amount which exceeds the lower of (i) the Conversion Price of the Preferred Stock on the original adjustment date, or (ii) the Conversion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60" w:top="267" w:right="239" w:bottom="1440" w:gutter="0" w:footer="0" w:header="0"/>
        </w:sectPr>
      </w:pPr>
    </w:p>
    <w:bookmarkStart w:id="226" w:name="page227"/>
    <w:bookmarkEnd w:id="226"/>
    <w:p>
      <w:pPr>
        <w:ind w:right="4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of the Preferred Stock that would have resulted from any issuance of Additional Shares of Common between the original adjustment date and such readjustment date;</w:t>
      </w:r>
    </w:p>
    <w:p>
      <w:pPr>
        <w:spacing w:after="0" w:line="119" w:lineRule="exact"/>
        <w:rPr>
          <w:sz w:val="20"/>
          <w:szCs w:val="20"/>
          <w:color w:val="auto"/>
        </w:rPr>
      </w:pPr>
    </w:p>
    <w:p>
      <w:pPr>
        <w:jc w:val="both"/>
        <w:ind w:firstLine="2975"/>
        <w:spacing w:after="0" w:line="238" w:lineRule="auto"/>
        <w:tabs>
          <w:tab w:leader="none" w:pos="3435" w:val="left"/>
        </w:tabs>
        <w:numPr>
          <w:ilvl w:val="1"/>
          <w:numId w:val="142"/>
        </w:numPr>
        <w:rPr>
          <w:rFonts w:ascii="Arial" w:cs="Arial" w:eastAsia="Arial" w:hAnsi="Arial"/>
          <w:sz w:val="22"/>
          <w:szCs w:val="22"/>
          <w:color w:val="auto"/>
        </w:rPr>
      </w:pPr>
      <w:r>
        <w:rPr>
          <w:rFonts w:ascii="Arial" w:cs="Arial" w:eastAsia="Arial" w:hAnsi="Arial"/>
          <w:sz w:val="22"/>
          <w:szCs w:val="2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131" w:lineRule="exact"/>
        <w:rPr>
          <w:rFonts w:ascii="Arial" w:cs="Arial" w:eastAsia="Arial" w:hAnsi="Arial"/>
          <w:sz w:val="22"/>
          <w:szCs w:val="22"/>
          <w:color w:val="auto"/>
        </w:rPr>
      </w:pPr>
    </w:p>
    <w:p>
      <w:pPr>
        <w:ind w:left="4160" w:hanging="506"/>
        <w:spacing w:after="0"/>
        <w:tabs>
          <w:tab w:leader="none" w:pos="4160" w:val="left"/>
        </w:tabs>
        <w:numPr>
          <w:ilvl w:val="2"/>
          <w:numId w:val="142"/>
        </w:numPr>
        <w:rPr>
          <w:rFonts w:ascii="Arial" w:cs="Arial" w:eastAsia="Arial" w:hAnsi="Arial"/>
          <w:sz w:val="21"/>
          <w:szCs w:val="21"/>
          <w:color w:val="auto"/>
        </w:rPr>
      </w:pPr>
      <w:r>
        <w:rPr>
          <w:rFonts w:ascii="Arial" w:cs="Arial" w:eastAsia="Arial" w:hAnsi="Arial"/>
          <w:sz w:val="21"/>
          <w:szCs w:val="21"/>
          <w:color w:val="auto"/>
        </w:rPr>
        <w:t>in the case of Convertible Securities or Options for Common Stock, the only</w:t>
      </w:r>
    </w:p>
    <w:p>
      <w:pPr>
        <w:spacing w:after="0" w:line="19" w:lineRule="exact"/>
        <w:rPr>
          <w:rFonts w:ascii="Arial" w:cs="Arial" w:eastAsia="Arial" w:hAnsi="Arial"/>
          <w:sz w:val="21"/>
          <w:szCs w:val="21"/>
          <w:color w:val="auto"/>
        </w:rPr>
      </w:pPr>
    </w:p>
    <w:p>
      <w:pPr>
        <w:ind w:right="40"/>
        <w:spacing w:after="0" w:line="277" w:lineRule="auto"/>
        <w:rPr>
          <w:rFonts w:ascii="Arial" w:cs="Arial" w:eastAsia="Arial" w:hAnsi="Arial"/>
          <w:sz w:val="21"/>
          <w:szCs w:val="21"/>
          <w:color w:val="auto"/>
        </w:rPr>
      </w:pPr>
      <w:r>
        <w:rPr>
          <w:rFonts w:ascii="Arial" w:cs="Arial" w:eastAsia="Arial" w:hAnsi="Arial"/>
          <w:sz w:val="19"/>
          <w:szCs w:val="19"/>
          <w:color w:val="auto"/>
        </w:rPr>
        <w:t>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98" w:lineRule="exact"/>
        <w:rPr>
          <w:rFonts w:ascii="Arial" w:cs="Arial" w:eastAsia="Arial" w:hAnsi="Arial"/>
          <w:sz w:val="21"/>
          <w:szCs w:val="21"/>
          <w:color w:val="auto"/>
        </w:rPr>
      </w:pPr>
    </w:p>
    <w:p>
      <w:pPr>
        <w:ind w:left="4160" w:hanging="506"/>
        <w:spacing w:after="0"/>
        <w:tabs>
          <w:tab w:leader="none" w:pos="4160" w:val="left"/>
        </w:tabs>
        <w:numPr>
          <w:ilvl w:val="2"/>
          <w:numId w:val="142"/>
        </w:numPr>
        <w:rPr>
          <w:rFonts w:ascii="Arial" w:cs="Arial" w:eastAsia="Arial" w:hAnsi="Arial"/>
          <w:sz w:val="19"/>
          <w:szCs w:val="19"/>
          <w:color w:val="auto"/>
        </w:rPr>
      </w:pPr>
      <w:r>
        <w:rPr>
          <w:rFonts w:ascii="Arial" w:cs="Arial" w:eastAsia="Arial" w:hAnsi="Arial"/>
          <w:sz w:val="19"/>
          <w:szCs w:val="19"/>
          <w:color w:val="auto"/>
        </w:rPr>
        <w:t>in the case of Options for Convertible Securities, only the Convertible Securities, if</w:t>
      </w:r>
    </w:p>
    <w:p>
      <w:pPr>
        <w:spacing w:after="0" w:line="42" w:lineRule="exact"/>
        <w:rPr>
          <w:rFonts w:ascii="Arial" w:cs="Arial" w:eastAsia="Arial" w:hAnsi="Arial"/>
          <w:sz w:val="19"/>
          <w:szCs w:val="19"/>
          <w:color w:val="auto"/>
        </w:rPr>
      </w:pPr>
    </w:p>
    <w:p>
      <w:pPr>
        <w:ind w:right="100"/>
        <w:spacing w:after="0" w:line="233" w:lineRule="auto"/>
        <w:rPr>
          <w:rFonts w:ascii="Arial" w:cs="Arial" w:eastAsia="Arial" w:hAnsi="Arial"/>
          <w:sz w:val="19"/>
          <w:szCs w:val="19"/>
          <w:color w:val="auto"/>
        </w:rPr>
      </w:pPr>
      <w:r>
        <w:rPr>
          <w:rFonts w:ascii="Arial" w:cs="Arial" w:eastAsia="Arial" w:hAnsi="Arial"/>
          <w:sz w:val="22"/>
          <w:szCs w:val="22"/>
          <w:color w:val="auto"/>
        </w:rPr>
        <w:t>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6(d)(ix)) upon the issue of the Convertible Securities with respect to which such Options were actually exercised; and</w:t>
      </w:r>
    </w:p>
    <w:p>
      <w:pPr>
        <w:spacing w:after="0" w:line="131" w:lineRule="exact"/>
        <w:rPr>
          <w:rFonts w:ascii="Arial" w:cs="Arial" w:eastAsia="Arial" w:hAnsi="Arial"/>
          <w:sz w:val="19"/>
          <w:szCs w:val="19"/>
          <w:color w:val="auto"/>
        </w:rPr>
      </w:pPr>
    </w:p>
    <w:p>
      <w:pPr>
        <w:ind w:firstLine="2975"/>
        <w:spacing w:after="0" w:line="252" w:lineRule="auto"/>
        <w:tabs>
          <w:tab w:leader="none" w:pos="3435" w:val="left"/>
        </w:tabs>
        <w:numPr>
          <w:ilvl w:val="1"/>
          <w:numId w:val="142"/>
        </w:numPr>
        <w:rPr>
          <w:rFonts w:ascii="Arial" w:cs="Arial" w:eastAsia="Arial" w:hAnsi="Arial"/>
          <w:sz w:val="21"/>
          <w:szCs w:val="21"/>
          <w:color w:val="auto"/>
        </w:rPr>
      </w:pPr>
      <w:r>
        <w:rPr>
          <w:rFonts w:ascii="Arial" w:cs="Arial" w:eastAsia="Arial" w:hAnsi="Arial"/>
          <w:sz w:val="21"/>
          <w:szCs w:val="21"/>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6(d)(iii) as of the actual date of their issuance.</w:t>
      </w:r>
    </w:p>
    <w:p>
      <w:pPr>
        <w:spacing w:after="0" w:line="120" w:lineRule="exact"/>
        <w:rPr>
          <w:rFonts w:ascii="Arial" w:cs="Arial" w:eastAsia="Arial" w:hAnsi="Arial"/>
          <w:sz w:val="21"/>
          <w:szCs w:val="21"/>
          <w:color w:val="auto"/>
        </w:rPr>
      </w:pPr>
    </w:p>
    <w:p>
      <w:pPr>
        <w:ind w:left="2820" w:hanging="530"/>
        <w:spacing w:after="0"/>
        <w:tabs>
          <w:tab w:leader="none" w:pos="282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Adjustment of Conversion Price of Series E Preferred Stock Upon Issuance of Additional Shares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of Common</w:t>
      </w:r>
      <w:r>
        <w:rPr>
          <w:rFonts w:ascii="Arial" w:cs="Arial" w:eastAsia="Arial" w:hAnsi="Arial"/>
          <w:sz w:val="22"/>
          <w:szCs w:val="22"/>
          <w:color w:val="auto"/>
        </w:rPr>
        <w:t>.</w:t>
      </w:r>
    </w:p>
    <w:p>
      <w:pPr>
        <w:spacing w:after="0" w:line="134" w:lineRule="exact"/>
        <w:rPr>
          <w:rFonts w:ascii="Arial" w:cs="Arial" w:eastAsia="Arial" w:hAnsi="Arial"/>
          <w:sz w:val="19"/>
          <w:szCs w:val="19"/>
          <w:color w:val="auto"/>
        </w:rPr>
      </w:pPr>
    </w:p>
    <w:p>
      <w:pPr>
        <w:ind w:right="60" w:firstLine="2975"/>
        <w:spacing w:after="0" w:line="246" w:lineRule="auto"/>
        <w:tabs>
          <w:tab w:leader="none" w:pos="3435" w:val="left"/>
        </w:tabs>
        <w:numPr>
          <w:ilvl w:val="1"/>
          <w:numId w:val="143"/>
        </w:numPr>
        <w:rPr>
          <w:rFonts w:ascii="Arial" w:cs="Arial" w:eastAsia="Arial" w:hAnsi="Arial"/>
          <w:sz w:val="21"/>
          <w:szCs w:val="21"/>
          <w:color w:val="auto"/>
        </w:rPr>
      </w:pPr>
      <w:r>
        <w:rPr>
          <w:rFonts w:ascii="Arial" w:cs="Arial" w:eastAsia="Arial" w:hAnsi="Arial"/>
          <w:sz w:val="21"/>
          <w:szCs w:val="21"/>
          <w:color w:val="auto"/>
        </w:rPr>
        <w:t>For so long as the Conversion Price of the Series E Preferred Stock is greater than $15.62 (as adjusted for subdivisions and combinations of the Common Stock and changes in the Common Stock as set forth in Sections 6(e) and 6(g)) (the “</w:t>
      </w:r>
      <w:r>
        <w:rPr>
          <w:rFonts w:ascii="Arial" w:cs="Arial" w:eastAsia="Arial" w:hAnsi="Arial"/>
          <w:sz w:val="21"/>
          <w:szCs w:val="21"/>
          <w:u w:val="single" w:color="auto"/>
          <w:color w:val="auto"/>
        </w:rPr>
        <w:t>Series D/E Ratchet Amount</w:t>
      </w:r>
      <w:r>
        <w:rPr>
          <w:rFonts w:ascii="Arial" w:cs="Arial" w:eastAsia="Arial" w:hAnsi="Arial"/>
          <w:sz w:val="21"/>
          <w:szCs w:val="21"/>
          <w:color w:val="auto"/>
        </w:rPr>
        <w:t>”), in the event this Corporation shall issue Additional Shares of Common (including Additional Shares of Common deemed to be issued pursuant to Section 6(d)(iii)), for a consideration per share less than the applicable Conversion Price of the Series E Preferred Stock in effect on the date of and immediately prior to such issue, but for a consideration per share equal to or greater than the Series D/E Ratchet Amount, then the Conversion Price of the Series E Preferred Stock shall be reduced concurrently with such issue to a price (calculated to the nearest cent) equal to the per share price of the Additional Shares of Common.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267" w:right="259" w:bottom="1440" w:gutter="0" w:footer="0" w:header="0"/>
        </w:sectPr>
      </w:pPr>
    </w:p>
    <w:bookmarkStart w:id="227" w:name="page228"/>
    <w:bookmarkEnd w:id="227"/>
    <w:p>
      <w:pPr>
        <w:ind w:right="20" w:firstLine="2975"/>
        <w:spacing w:after="0" w:line="271" w:lineRule="auto"/>
        <w:tabs>
          <w:tab w:leader="none" w:pos="3435" w:val="left"/>
        </w:tabs>
        <w:numPr>
          <w:ilvl w:val="1"/>
          <w:numId w:val="14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Corporation shall issue Additional Shares of Common (including Additional Shares of Common deemed to be issued pursuant to Section 6(d)(iii)) without consideration or for a consideration per share less than the Series D/E Ratchet Amount, then the Conversion Price of the Series E Preferred Stock immediately prior to such issue shall be deemed to be equal to the Series D/E Ratchet Amount (the “</w:t>
      </w:r>
      <w:r>
        <w:rPr>
          <w:rFonts w:ascii="Arial" w:cs="Arial" w:eastAsia="Arial" w:hAnsi="Arial"/>
          <w:sz w:val="19"/>
          <w:szCs w:val="19"/>
          <w:u w:val="single" w:color="auto"/>
          <w:color w:val="auto"/>
        </w:rPr>
        <w:t>Series E Adjusted Conversion Price</w:t>
      </w:r>
      <w:r>
        <w:rPr>
          <w:rFonts w:ascii="Arial" w:cs="Arial" w:eastAsia="Arial" w:hAnsi="Arial"/>
          <w:sz w:val="19"/>
          <w:szCs w:val="19"/>
          <w:color w:val="auto"/>
        </w:rPr>
        <w:t>”), and such Series E Adjusted Conversion Price shall be further reduced, concurrently with such issue, to a price (calculated to the nearest cent) determined by multiplying such Series E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Adjusted Conversion Price, and the denominator of which shall be the number of shares of Common Stock outstanding immediately prior to such issue plus the number of such Additional Shares of Common so issued. For the purposes of this Section 6(d)(iv)(2), all shares of Common Stock issuable upon exercise of outstanding Options or the conversion of outstanding Convertible Securities and shares of Preferred Stock, and all Additional Shares of Common deemed issued pursuant to Section 6(d)(iii) hereof, shall be deemed to be outstanding. Section 6(d)(iv)(3) shall govern adjustments to the Conversion Price of the Series E Preferred Stock after the first adjustment to the Conversion Price of the Series E Preferred Stock pursuant to this Section 6(d)(iv)(2).</w:t>
      </w:r>
    </w:p>
    <w:p>
      <w:pPr>
        <w:spacing w:after="0" w:line="354" w:lineRule="exact"/>
        <w:rPr>
          <w:rFonts w:ascii="Arial" w:cs="Arial" w:eastAsia="Arial" w:hAnsi="Arial"/>
          <w:sz w:val="19"/>
          <w:szCs w:val="19"/>
          <w:color w:val="auto"/>
        </w:rPr>
      </w:pPr>
    </w:p>
    <w:p>
      <w:pPr>
        <w:ind w:firstLine="2975"/>
        <w:spacing w:after="0" w:line="244" w:lineRule="auto"/>
        <w:tabs>
          <w:tab w:leader="none" w:pos="3423" w:val="left"/>
        </w:tabs>
        <w:numPr>
          <w:ilvl w:val="1"/>
          <w:numId w:val="144"/>
        </w:numPr>
        <w:rPr>
          <w:rFonts w:ascii="Arial" w:cs="Arial" w:eastAsia="Arial" w:hAnsi="Arial"/>
          <w:sz w:val="21"/>
          <w:szCs w:val="21"/>
          <w:color w:val="auto"/>
        </w:rPr>
      </w:pPr>
      <w:r>
        <w:rPr>
          <w:rFonts w:ascii="Arial" w:cs="Arial" w:eastAsia="Arial" w:hAnsi="Arial"/>
          <w:sz w:val="21"/>
          <w:szCs w:val="21"/>
          <w:color w:val="auto"/>
        </w:rPr>
        <w:t>After any adjustment to the Conversion Price of the Series E Preferred Stock pursuant to Section 6(d)(iv)(2), in the event the Corporation shall issue Additional Shares of Common (including Additional Shares of Common deemed to be issued pursuant to Section 6(d)(iii)) without consideration or for a consideration per share less than the Conversion Price of the Series E Preferred Stock in effect on the date of and immediately prior to such issue, then, the Conversion Price of the Series E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6(d)(iv)(3), all shares of Common Stock issuable upon exercise of outstanding Options or the conversion of outstanding Convertible Securities and shares of Preferred Stock, and all Additional Shares of Common deemed issued pursuant to Section 6(d)(iii) hereof, shall be deemed to be outstanding.</w:t>
      </w:r>
    </w:p>
    <w:p>
      <w:pPr>
        <w:spacing w:after="0" w:line="130" w:lineRule="exact"/>
        <w:rPr>
          <w:rFonts w:ascii="Arial" w:cs="Arial" w:eastAsia="Arial" w:hAnsi="Arial"/>
          <w:sz w:val="21"/>
          <w:szCs w:val="21"/>
          <w:color w:val="auto"/>
        </w:rPr>
      </w:pPr>
    </w:p>
    <w:p>
      <w:pPr>
        <w:ind w:firstLine="2290"/>
        <w:spacing w:after="0" w:line="275" w:lineRule="auto"/>
        <w:tabs>
          <w:tab w:leader="none" w:pos="2859"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Adjustment of Conversion Price of Series E-1 Preferred Stock Upon Issuance of Additional Shares of Common</w:t>
      </w:r>
      <w:r>
        <w:rPr>
          <w:rFonts w:ascii="Arial" w:cs="Arial" w:eastAsia="Arial" w:hAnsi="Arial"/>
          <w:sz w:val="19"/>
          <w:szCs w:val="19"/>
          <w:color w:val="auto"/>
        </w:rPr>
        <w:t>. In the event the Corporation shall issue Additional Shares of Common (including Additional Shares of Common deemed to be issued pursuant to Section 6(d)(iii)) without consideration or for a consideration per share less than the Conversion Price of the Series E-1 Preferred Stock in effect on the date of and immediately prior to such issue, then, the Conversion Price of the Series E-1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67" w:right="239" w:bottom="1440" w:gutter="0" w:footer="0" w:header="0"/>
        </w:sectPr>
      </w:pPr>
    </w:p>
    <w:bookmarkStart w:id="228" w:name="page229"/>
    <w:bookmarkEnd w:id="228"/>
    <w:p>
      <w:pPr>
        <w:ind w:right="4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would purchase at such Conversion Price, and the denominator of which shall be the number of shares of Common Stock outstanding immediately prior to such issue plus the number of such Additional Shares of Common so issued. For the purposes of this Section 6(d)(v), all shares of Common Stock issuable upon exercise of outstanding Options or the conversion of outstanding Convertible Securities and shares of Preferred Stock, and all Additional Shares of Common deemed issued pursuant to Section 6(d)</w:t>
      </w:r>
    </w:p>
    <w:p>
      <w:pPr>
        <w:spacing w:after="0" w:line="4" w:lineRule="exact"/>
        <w:rPr>
          <w:sz w:val="20"/>
          <w:szCs w:val="20"/>
          <w:color w:val="auto"/>
        </w:rPr>
      </w:pPr>
    </w:p>
    <w:p>
      <w:pPr>
        <w:ind w:left="380" w:hanging="372"/>
        <w:spacing w:after="0"/>
        <w:tabs>
          <w:tab w:leader="none" w:pos="3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hereof, shall be deemed to be outstanding.</w:t>
      </w:r>
    </w:p>
    <w:p>
      <w:pPr>
        <w:spacing w:after="0" w:line="134" w:lineRule="exact"/>
        <w:rPr>
          <w:rFonts w:ascii="Arial" w:cs="Arial" w:eastAsia="Arial" w:hAnsi="Arial"/>
          <w:sz w:val="22"/>
          <w:szCs w:val="22"/>
          <w:color w:val="auto"/>
        </w:rPr>
      </w:pPr>
    </w:p>
    <w:p>
      <w:pPr>
        <w:ind w:left="2920" w:hanging="630"/>
        <w:spacing w:after="0"/>
        <w:tabs>
          <w:tab w:leader="none" w:pos="2920"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Adjustment of Conversion Price of Series D Preferred Stock Upon Issuance of Additional Shares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of Common</w:t>
      </w:r>
      <w:r>
        <w:rPr>
          <w:rFonts w:ascii="Arial" w:cs="Arial" w:eastAsia="Arial" w:hAnsi="Arial"/>
          <w:sz w:val="22"/>
          <w:szCs w:val="22"/>
          <w:color w:val="auto"/>
        </w:rPr>
        <w:t>.</w:t>
      </w:r>
    </w:p>
    <w:p>
      <w:pPr>
        <w:spacing w:after="0" w:line="134" w:lineRule="exact"/>
        <w:rPr>
          <w:rFonts w:ascii="Arial" w:cs="Arial" w:eastAsia="Arial" w:hAnsi="Arial"/>
          <w:sz w:val="19"/>
          <w:szCs w:val="19"/>
          <w:color w:val="auto"/>
        </w:rPr>
      </w:pPr>
    </w:p>
    <w:p>
      <w:pPr>
        <w:ind w:right="80" w:firstLine="2975"/>
        <w:spacing w:after="0" w:line="234" w:lineRule="auto"/>
        <w:tabs>
          <w:tab w:leader="none" w:pos="3435" w:val="left"/>
        </w:tabs>
        <w:numPr>
          <w:ilvl w:val="2"/>
          <w:numId w:val="146"/>
        </w:numPr>
        <w:rPr>
          <w:rFonts w:ascii="Arial" w:cs="Arial" w:eastAsia="Arial" w:hAnsi="Arial"/>
          <w:sz w:val="22"/>
          <w:szCs w:val="22"/>
          <w:color w:val="auto"/>
        </w:rPr>
      </w:pPr>
      <w:r>
        <w:rPr>
          <w:rFonts w:ascii="Arial" w:cs="Arial" w:eastAsia="Arial" w:hAnsi="Arial"/>
          <w:sz w:val="22"/>
          <w:szCs w:val="22"/>
          <w:color w:val="auto"/>
        </w:rPr>
        <w:t>For so long as the Conversion Price of the Series D Preferred Stock is greater than the Series D/E Ratchet Amount, in the event this Corporation shall issue Additional Shares of Common (including Additional Shares of Common deemed to be issued pursuant to Section 6(d)(iii)) for a consideration per share less than the applicable Conversion Price of the Series D Preferred Stock in effect on the date of and immediately prior to such issue, but for a consideration per share equal to or greater than the Series D/E Ratchet Amount, then the Conversion Price of the Series D Preferred Stock shall be reduced concurrently with such issue to a price (calculated to the nearest cent) equal to the per share price of the Additional Shares of Common.</w:t>
      </w:r>
    </w:p>
    <w:p>
      <w:pPr>
        <w:spacing w:after="0" w:line="137" w:lineRule="exact"/>
        <w:rPr>
          <w:rFonts w:ascii="Arial" w:cs="Arial" w:eastAsia="Arial" w:hAnsi="Arial"/>
          <w:sz w:val="22"/>
          <w:szCs w:val="22"/>
          <w:color w:val="auto"/>
        </w:rPr>
      </w:pPr>
    </w:p>
    <w:p>
      <w:pPr>
        <w:ind w:firstLine="2975"/>
        <w:spacing w:after="0" w:line="271" w:lineRule="auto"/>
        <w:tabs>
          <w:tab w:leader="none" w:pos="3435" w:val="left"/>
        </w:tabs>
        <w:numPr>
          <w:ilvl w:val="2"/>
          <w:numId w:val="146"/>
        </w:numPr>
        <w:rPr>
          <w:rFonts w:ascii="Arial" w:cs="Arial" w:eastAsia="Arial" w:hAnsi="Arial"/>
          <w:sz w:val="19"/>
          <w:szCs w:val="19"/>
          <w:color w:val="auto"/>
        </w:rPr>
      </w:pPr>
      <w:r>
        <w:rPr>
          <w:rFonts w:ascii="Arial" w:cs="Arial" w:eastAsia="Arial" w:hAnsi="Arial"/>
          <w:sz w:val="19"/>
          <w:szCs w:val="19"/>
          <w:color w:val="auto"/>
        </w:rPr>
        <w:t>In the event this Corporation shall issue Additional Shares of Common (including Additional Shares of Common deemed to be issued pursuant to Section 6(d)(iii)) without consideration or for a consideration per share less than the Series D/E Ratchet Amount, then the Conversion Price of the Series D Preferred Stock immediately prior to such issue shall be deemed to be equal to the Series D/E Ratchet Amount (the “</w:t>
      </w:r>
      <w:r>
        <w:rPr>
          <w:rFonts w:ascii="Arial" w:cs="Arial" w:eastAsia="Arial" w:hAnsi="Arial"/>
          <w:sz w:val="19"/>
          <w:szCs w:val="19"/>
          <w:u w:val="single" w:color="auto"/>
          <w:color w:val="auto"/>
        </w:rPr>
        <w:t>Series D Adjusted Conversion Price</w:t>
      </w:r>
      <w:r>
        <w:rPr>
          <w:rFonts w:ascii="Arial" w:cs="Arial" w:eastAsia="Arial" w:hAnsi="Arial"/>
          <w:sz w:val="19"/>
          <w:szCs w:val="19"/>
          <w:color w:val="auto"/>
        </w:rPr>
        <w:t>”), and such Series D Adjusted Conversion Price shall be further reduced, concurrently with such issue, to a price (calculated to the nearest cent) determined by multiplying such Series D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Series D Adjusted Conversion Price, and the denominator of which shall be the number of shares of Common Stock outstanding immediately prior to such issue plus the number of such Additional Shares of Common so issued. For the purposes of this Section 6(d)(vi)(2), all shares of Common Stock issuable upon exercise of outstanding Options or the conversion of outstanding Convertible Securities and shares of Preferred Stock, and all Additional Shares of Common deemed issued pursuant to Section 6(d)(iii) hereof, shall be deemed to be outstanding. Section 6(d)(vi)(3) shall govern adjustments to the Conversion Price of the Series D Preferred Stock after the first adjustment to the Conversion Price of the Series D Preferred Stock pursuant to this Section 6(d)(vi)(2).</w:t>
      </w:r>
    </w:p>
    <w:p>
      <w:pPr>
        <w:spacing w:after="0" w:line="354" w:lineRule="exact"/>
        <w:rPr>
          <w:rFonts w:ascii="Arial" w:cs="Arial" w:eastAsia="Arial" w:hAnsi="Arial"/>
          <w:sz w:val="19"/>
          <w:szCs w:val="19"/>
          <w:color w:val="auto"/>
        </w:rPr>
      </w:pPr>
    </w:p>
    <w:p>
      <w:pPr>
        <w:ind w:right="140" w:firstLine="2975"/>
        <w:spacing w:after="0" w:line="247" w:lineRule="auto"/>
        <w:tabs>
          <w:tab w:leader="none" w:pos="3423" w:val="left"/>
        </w:tabs>
        <w:numPr>
          <w:ilvl w:val="2"/>
          <w:numId w:val="146"/>
        </w:numPr>
        <w:rPr>
          <w:rFonts w:ascii="Arial" w:cs="Arial" w:eastAsia="Arial" w:hAnsi="Arial"/>
          <w:sz w:val="21"/>
          <w:szCs w:val="21"/>
          <w:color w:val="auto"/>
        </w:rPr>
      </w:pPr>
      <w:r>
        <w:rPr>
          <w:rFonts w:ascii="Arial" w:cs="Arial" w:eastAsia="Arial" w:hAnsi="Arial"/>
          <w:sz w:val="21"/>
          <w:szCs w:val="21"/>
          <w:color w:val="auto"/>
        </w:rPr>
        <w:t>After any adjustment to the Conversion Price of the Series D Preferred Stock pursuant to Section 6(d)(vi)(2), in the event this Corporation shall issue Additional Shares of Common (including Additional Shares of Common deemed to be issued pursuant to Section 6(d)(iii)) without consideration or for a consideration per share less than Conversion Price of the Series D Preferred Stock in effect on the date of and immediately prior to such issue, then, the Conversion Price of the Series D Preferred Stock shall be reduced concurrently with such issue, to a price (calculated to the nearest cent) determined by multiplying such Conversion Price by a fraction, the numerator of which shall be the number of shares of Common Stock outstanding immediately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67" w:right="239" w:bottom="1440" w:gutter="0" w:footer="0" w:header="0"/>
        </w:sectPr>
      </w:pPr>
    </w:p>
    <w:bookmarkStart w:id="229" w:name="page230"/>
    <w:bookmarkEnd w:id="229"/>
    <w:p>
      <w:pPr>
        <w:ind w:right="12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6(d)(vi)(3), all shares of Common Stock issuable upon exercise of outstanding Options or the conversion of outstanding Convertible Securities and shares of Preferred Stock, and all Additional Shares of Common deemed issued pursuant to Section 6(d)(iii) hereof, shall be deemed to be outstanding.</w:t>
      </w:r>
    </w:p>
    <w:p>
      <w:pPr>
        <w:spacing w:after="0" w:line="97" w:lineRule="exact"/>
        <w:rPr>
          <w:sz w:val="20"/>
          <w:szCs w:val="20"/>
          <w:color w:val="auto"/>
        </w:rPr>
      </w:pPr>
    </w:p>
    <w:p>
      <w:pPr>
        <w:ind w:firstLine="2290"/>
        <w:spacing w:after="0" w:line="244" w:lineRule="auto"/>
        <w:tabs>
          <w:tab w:leader="none" w:pos="2979"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Adjustment of Conversion Price of Series D-1 Preferred Stock Upon Issuance of Additional Shares of Common</w:t>
      </w:r>
      <w:r>
        <w:rPr>
          <w:rFonts w:ascii="Arial" w:cs="Arial" w:eastAsia="Arial" w:hAnsi="Arial"/>
          <w:sz w:val="21"/>
          <w:szCs w:val="21"/>
          <w:color w:val="auto"/>
        </w:rPr>
        <w:t>. In the event this Corporation shall issue Additional Shares of Common (including Additional Shares of Common deemed to be issued pursuant to Section 6(d)(iii)) without consideration or for a consideration per share less than Conversion Price of the Series D-1 Preferred Stock in effect on the date of and immediately prior to such issue, then, the Conversion Price of the Series D-1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6(d)(vii), all shares of Common Stock issuable upon exercise of outstanding Options or the conversion of outstanding Convertible Securities and shares of Preferred Stock, and all Additional Shares of Common deemed issued pursuant to Section 6(d)(iii) hereof, shall be deemed to be outstanding.</w:t>
      </w:r>
    </w:p>
    <w:p>
      <w:pPr>
        <w:spacing w:after="0" w:line="130" w:lineRule="exact"/>
        <w:rPr>
          <w:rFonts w:ascii="Arial" w:cs="Arial" w:eastAsia="Arial" w:hAnsi="Arial"/>
          <w:sz w:val="21"/>
          <w:szCs w:val="21"/>
          <w:color w:val="auto"/>
        </w:rPr>
      </w:pPr>
    </w:p>
    <w:p>
      <w:pPr>
        <w:ind w:firstLine="2290"/>
        <w:spacing w:after="0" w:line="272" w:lineRule="auto"/>
        <w:tabs>
          <w:tab w:leader="none" w:pos="3039"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Adjustment of Conversion Price of Series A, B and C Preferred Stock Upon Issuance of Additional Shares of Common</w:t>
      </w:r>
      <w:r>
        <w:rPr>
          <w:rFonts w:ascii="Arial" w:cs="Arial" w:eastAsia="Arial" w:hAnsi="Arial"/>
          <w:sz w:val="19"/>
          <w:szCs w:val="19"/>
          <w:color w:val="auto"/>
        </w:rPr>
        <w:t>. In the event the Corporation shall issue Additional Shares of Common (including Additional Shares of Common deemed to be issued pursuant to Section 6(d)(iii)) without consideration or for a consideration per share less than the applicable Conversion Price of the Series A Preferred Stock, Series B Preferred Stock or Series C Preferred Stock in effect on the date of and immediately prior to such issue, then, the Conversion Price of the Series A Preferred Stock, Series B Preferred Stock or Series C Preferred Stock (if affected)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6(d)(viii), all shares of Common Stock issuable upon exercise of outstanding Options or the conversion of outstanding Convertible Securities and shares of Preferred Stock, and all Additional Shares of Common deemed issued pursuant to Section 6(d)(iii) hereof, shall be deemed to be outstanding.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267" w:right="239" w:bottom="1440" w:gutter="0" w:footer="0" w:header="0"/>
        </w:sectPr>
      </w:pPr>
    </w:p>
    <w:bookmarkStart w:id="230" w:name="page231"/>
    <w:bookmarkEnd w:id="230"/>
    <w:p>
      <w:pPr>
        <w:ind w:right="260" w:firstLine="2290"/>
        <w:spacing w:after="0" w:line="328" w:lineRule="auto"/>
        <w:tabs>
          <w:tab w:leader="none" w:pos="2810"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of Consideration</w:t>
      </w:r>
      <w:r>
        <w:rPr>
          <w:rFonts w:ascii="Arial" w:cs="Arial" w:eastAsia="Arial" w:hAnsi="Arial"/>
          <w:sz w:val="19"/>
          <w:szCs w:val="19"/>
          <w:color w:val="auto"/>
        </w:rPr>
        <w:t>. For purposes of this Section 6(d), the consideration received by the Corporation for the issue (or deemed issue) of any Additional Shares of Common shall be computed as follows:</w:t>
      </w:r>
    </w:p>
    <w:p>
      <w:pPr>
        <w:spacing w:after="0" w:line="51" w:lineRule="exact"/>
        <w:rPr>
          <w:rFonts w:ascii="Arial" w:cs="Arial" w:eastAsia="Arial" w:hAnsi="Arial"/>
          <w:sz w:val="19"/>
          <w:szCs w:val="19"/>
          <w:color w:val="auto"/>
        </w:rPr>
      </w:pPr>
    </w:p>
    <w:p>
      <w:pPr>
        <w:ind w:left="3440" w:hanging="465"/>
        <w:spacing w:after="0"/>
        <w:tabs>
          <w:tab w:leader="none" w:pos="3440" w:val="left"/>
        </w:tabs>
        <w:numPr>
          <w:ilvl w:val="2"/>
          <w:numId w:val="148"/>
        </w:numPr>
        <w:rPr>
          <w:rFonts w:ascii="Arial" w:cs="Arial" w:eastAsia="Arial" w:hAnsi="Arial"/>
          <w:sz w:val="22"/>
          <w:szCs w:val="22"/>
          <w:color w:val="auto"/>
        </w:rPr>
      </w:pPr>
      <w:r>
        <w:rPr>
          <w:rFonts w:ascii="Arial" w:cs="Arial" w:eastAsia="Arial" w:hAnsi="Arial"/>
          <w:sz w:val="22"/>
          <w:szCs w:val="22"/>
          <w:u w:val="single" w:color="auto"/>
          <w:color w:val="auto"/>
        </w:rPr>
        <w:t>Cash and Property</w:t>
      </w:r>
      <w:r>
        <w:rPr>
          <w:rFonts w:ascii="Arial" w:cs="Arial" w:eastAsia="Arial" w:hAnsi="Arial"/>
          <w:sz w:val="22"/>
          <w:szCs w:val="22"/>
          <w:color w:val="auto"/>
        </w:rPr>
        <w:t>. Such consideration shall:</w:t>
      </w:r>
    </w:p>
    <w:p>
      <w:pPr>
        <w:spacing w:after="0" w:line="152" w:lineRule="exact"/>
        <w:rPr>
          <w:rFonts w:ascii="Arial" w:cs="Arial" w:eastAsia="Arial" w:hAnsi="Arial"/>
          <w:sz w:val="22"/>
          <w:szCs w:val="22"/>
          <w:color w:val="auto"/>
        </w:rPr>
      </w:pPr>
    </w:p>
    <w:p>
      <w:pPr>
        <w:ind w:left="4400" w:hanging="512"/>
        <w:spacing w:after="0"/>
        <w:tabs>
          <w:tab w:leader="none" w:pos="4400" w:val="left"/>
        </w:tabs>
        <w:numPr>
          <w:ilvl w:val="3"/>
          <w:numId w:val="148"/>
        </w:numPr>
        <w:rPr>
          <w:rFonts w:ascii="Arial" w:cs="Arial" w:eastAsia="Arial" w:hAnsi="Arial"/>
          <w:sz w:val="19"/>
          <w:szCs w:val="19"/>
          <w:color w:val="auto"/>
        </w:rPr>
      </w:pPr>
      <w:r>
        <w:rPr>
          <w:rFonts w:ascii="Arial" w:cs="Arial" w:eastAsia="Arial" w:hAnsi="Arial"/>
          <w:sz w:val="19"/>
          <w:szCs w:val="19"/>
          <w:color w:val="auto"/>
        </w:rPr>
        <w:t>insofar as it consists of cash, be computed at the aggregate amount of cash</w:t>
      </w:r>
    </w:p>
    <w:p>
      <w:pPr>
        <w:spacing w:after="0" w:line="42" w:lineRule="exact"/>
        <w:rPr>
          <w:rFonts w:ascii="Arial" w:cs="Arial" w:eastAsia="Arial" w:hAnsi="Arial"/>
          <w:sz w:val="19"/>
          <w:szCs w:val="19"/>
          <w:color w:val="auto"/>
        </w:rPr>
      </w:pPr>
    </w:p>
    <w:p>
      <w:pPr>
        <w:ind w:right="20"/>
        <w:spacing w:after="0" w:line="237" w:lineRule="auto"/>
        <w:rPr>
          <w:rFonts w:ascii="Arial" w:cs="Arial" w:eastAsia="Arial" w:hAnsi="Arial"/>
          <w:sz w:val="19"/>
          <w:szCs w:val="19"/>
          <w:color w:val="auto"/>
        </w:rPr>
      </w:pPr>
      <w:r>
        <w:rPr>
          <w:rFonts w:ascii="Arial" w:cs="Arial" w:eastAsia="Arial" w:hAnsi="Arial"/>
          <w:sz w:val="22"/>
          <w:szCs w:val="22"/>
          <w:color w:val="auto"/>
        </w:rPr>
        <w:t>received by the Corporation before deducting reasonable discounts, commissions or other expenses allowed, paid or incurred by the Corporation for any underwriting or otherwise in connection with such issue (or deemed issue);</w:t>
      </w:r>
    </w:p>
    <w:p>
      <w:pPr>
        <w:spacing w:after="0" w:line="130" w:lineRule="exact"/>
        <w:rPr>
          <w:rFonts w:ascii="Arial" w:cs="Arial" w:eastAsia="Arial" w:hAnsi="Arial"/>
          <w:sz w:val="19"/>
          <w:szCs w:val="19"/>
          <w:color w:val="auto"/>
        </w:rPr>
      </w:pPr>
    </w:p>
    <w:p>
      <w:pPr>
        <w:ind w:left="4400" w:hanging="512"/>
        <w:spacing w:after="0"/>
        <w:tabs>
          <w:tab w:leader="none" w:pos="4400" w:val="left"/>
        </w:tabs>
        <w:numPr>
          <w:ilvl w:val="3"/>
          <w:numId w:val="148"/>
        </w:numPr>
        <w:rPr>
          <w:rFonts w:ascii="Arial" w:cs="Arial" w:eastAsia="Arial" w:hAnsi="Arial"/>
          <w:sz w:val="19"/>
          <w:szCs w:val="19"/>
          <w:color w:val="auto"/>
        </w:rPr>
      </w:pPr>
      <w:r>
        <w:rPr>
          <w:rFonts w:ascii="Arial" w:cs="Arial" w:eastAsia="Arial" w:hAnsi="Arial"/>
          <w:sz w:val="19"/>
          <w:szCs w:val="19"/>
          <w:color w:val="auto"/>
        </w:rPr>
        <w:t>insofar as it consists of property other than cash, be computed at the fair market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value thereof at the time of such issue, as determined in good faith by the Board of Directors; and</w:t>
      </w:r>
    </w:p>
    <w:p>
      <w:pPr>
        <w:spacing w:after="0" w:line="134" w:lineRule="exact"/>
        <w:rPr>
          <w:rFonts w:ascii="Arial" w:cs="Arial" w:eastAsia="Arial" w:hAnsi="Arial"/>
          <w:sz w:val="19"/>
          <w:szCs w:val="19"/>
          <w:color w:val="auto"/>
        </w:rPr>
      </w:pPr>
    </w:p>
    <w:p>
      <w:pPr>
        <w:ind w:left="4400" w:hanging="512"/>
        <w:spacing w:after="0"/>
        <w:tabs>
          <w:tab w:leader="none" w:pos="4400" w:val="left"/>
        </w:tabs>
        <w:numPr>
          <w:ilvl w:val="3"/>
          <w:numId w:val="148"/>
        </w:numPr>
        <w:rPr>
          <w:rFonts w:ascii="Arial" w:cs="Arial" w:eastAsia="Arial" w:hAnsi="Arial"/>
          <w:sz w:val="19"/>
          <w:szCs w:val="19"/>
          <w:color w:val="auto"/>
        </w:rPr>
      </w:pPr>
      <w:r>
        <w:rPr>
          <w:rFonts w:ascii="Arial" w:cs="Arial" w:eastAsia="Arial" w:hAnsi="Arial"/>
          <w:sz w:val="19"/>
          <w:szCs w:val="19"/>
          <w:color w:val="auto"/>
        </w:rPr>
        <w:t>in the event Additional Shares of Common are issued together with other shares</w:t>
      </w:r>
    </w:p>
    <w:p>
      <w:pPr>
        <w:spacing w:after="0" w:line="42" w:lineRule="exact"/>
        <w:rPr>
          <w:rFonts w:ascii="Arial" w:cs="Arial" w:eastAsia="Arial" w:hAnsi="Arial"/>
          <w:sz w:val="19"/>
          <w:szCs w:val="19"/>
          <w:color w:val="auto"/>
        </w:rPr>
      </w:pPr>
    </w:p>
    <w:p>
      <w:pPr>
        <w:ind w:right="360"/>
        <w:spacing w:after="0" w:line="308" w:lineRule="auto"/>
        <w:rPr>
          <w:rFonts w:ascii="Arial" w:cs="Arial" w:eastAsia="Arial" w:hAnsi="Arial"/>
          <w:sz w:val="19"/>
          <w:szCs w:val="19"/>
          <w:color w:val="auto"/>
        </w:rPr>
      </w:pPr>
      <w:r>
        <w:rPr>
          <w:rFonts w:ascii="Arial" w:cs="Arial" w:eastAsia="Arial" w:hAnsi="Arial"/>
          <w:sz w:val="19"/>
          <w:szCs w:val="19"/>
          <w:color w:val="auto"/>
        </w:rPr>
        <w:t>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69" w:lineRule="exact"/>
        <w:rPr>
          <w:rFonts w:ascii="Arial" w:cs="Arial" w:eastAsia="Arial" w:hAnsi="Arial"/>
          <w:sz w:val="19"/>
          <w:szCs w:val="19"/>
          <w:color w:val="auto"/>
        </w:rPr>
      </w:pPr>
    </w:p>
    <w:p>
      <w:pPr>
        <w:ind w:right="420" w:firstLine="2975"/>
        <w:spacing w:after="0"/>
        <w:tabs>
          <w:tab w:leader="none" w:pos="3435" w:val="left"/>
        </w:tabs>
        <w:numPr>
          <w:ilvl w:val="2"/>
          <w:numId w:val="148"/>
        </w:numPr>
        <w:rPr>
          <w:rFonts w:ascii="Arial" w:cs="Arial" w:eastAsia="Arial" w:hAnsi="Arial"/>
          <w:sz w:val="22"/>
          <w:szCs w:val="22"/>
          <w:color w:val="auto"/>
        </w:rPr>
      </w:pPr>
      <w:r>
        <w:rPr>
          <w:rFonts w:ascii="Arial" w:cs="Arial" w:eastAsia="Arial" w:hAnsi="Arial"/>
          <w:sz w:val="22"/>
          <w:szCs w:val="22"/>
          <w:u w:val="single" w:color="auto"/>
          <w:color w:val="auto"/>
        </w:rPr>
        <w:t>Options and Convertible Securities</w:t>
      </w:r>
      <w:r>
        <w:rPr>
          <w:rFonts w:ascii="Arial" w:cs="Arial" w:eastAsia="Arial" w:hAnsi="Arial"/>
          <w:sz w:val="22"/>
          <w:szCs w:val="22"/>
          <w:color w:val="auto"/>
        </w:rPr>
        <w:t>. The consideration per share received by the Corporation for Additional Shares of Common deemed to have been issued pursuant to Section 6(d)(iii) shall be determined by dividing:</w:t>
      </w:r>
    </w:p>
    <w:p>
      <w:pPr>
        <w:spacing w:after="0" w:line="132" w:lineRule="exact"/>
        <w:rPr>
          <w:rFonts w:ascii="Arial" w:cs="Arial" w:eastAsia="Arial" w:hAnsi="Arial"/>
          <w:sz w:val="22"/>
          <w:szCs w:val="22"/>
          <w:color w:val="auto"/>
        </w:rPr>
      </w:pPr>
    </w:p>
    <w:p>
      <w:pPr>
        <w:ind w:right="240" w:firstLine="3888"/>
        <w:spacing w:after="0" w:line="248" w:lineRule="auto"/>
        <w:tabs>
          <w:tab w:leader="none" w:pos="4396" w:val="left"/>
        </w:tabs>
        <w:numPr>
          <w:ilvl w:val="3"/>
          <w:numId w:val="149"/>
        </w:numPr>
        <w:rPr>
          <w:rFonts w:ascii="Arial" w:cs="Arial" w:eastAsia="Arial" w:hAnsi="Arial"/>
          <w:sz w:val="21"/>
          <w:szCs w:val="21"/>
          <w:color w:val="auto"/>
        </w:rPr>
      </w:pPr>
      <w:r>
        <w:rPr>
          <w:rFonts w:ascii="Arial" w:cs="Arial" w:eastAsia="Arial" w:hAnsi="Arial"/>
          <w:sz w:val="21"/>
          <w:szCs w:val="21"/>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3" w:lineRule="exact"/>
        <w:rPr>
          <w:rFonts w:ascii="Arial" w:cs="Arial" w:eastAsia="Arial" w:hAnsi="Arial"/>
          <w:sz w:val="21"/>
          <w:szCs w:val="21"/>
          <w:color w:val="auto"/>
        </w:rPr>
      </w:pPr>
    </w:p>
    <w:p>
      <w:pPr>
        <w:ind w:left="4400" w:hanging="512"/>
        <w:spacing w:after="0"/>
        <w:tabs>
          <w:tab w:leader="none" w:pos="4400" w:val="left"/>
        </w:tabs>
        <w:numPr>
          <w:ilvl w:val="3"/>
          <w:numId w:val="149"/>
        </w:numPr>
        <w:rPr>
          <w:rFonts w:ascii="Arial" w:cs="Arial" w:eastAsia="Arial" w:hAnsi="Arial"/>
          <w:sz w:val="22"/>
          <w:szCs w:val="22"/>
          <w:color w:val="auto"/>
        </w:rPr>
      </w:pPr>
      <w:r>
        <w:rPr>
          <w:rFonts w:ascii="Arial" w:cs="Arial" w:eastAsia="Arial" w:hAnsi="Arial"/>
          <w:sz w:val="22"/>
          <w:szCs w:val="22"/>
          <w:color w:val="auto"/>
        </w:rPr>
        <w:t>the maximum number of shares of Common Stock (as set forth in the</w:t>
      </w:r>
    </w:p>
    <w:p>
      <w:pPr>
        <w:spacing w:after="0" w:line="8" w:lineRule="exact"/>
        <w:rPr>
          <w:rFonts w:ascii="Arial" w:cs="Arial" w:eastAsia="Arial" w:hAnsi="Arial"/>
          <w:sz w:val="22"/>
          <w:szCs w:val="22"/>
          <w:color w:val="auto"/>
        </w:rPr>
      </w:pPr>
    </w:p>
    <w:p>
      <w:pPr>
        <w:ind w:right="720"/>
        <w:spacing w:after="0" w:line="256" w:lineRule="auto"/>
        <w:rPr>
          <w:rFonts w:ascii="Arial" w:cs="Arial" w:eastAsia="Arial" w:hAnsi="Arial"/>
          <w:sz w:val="22"/>
          <w:szCs w:val="22"/>
          <w:color w:val="auto"/>
        </w:rPr>
      </w:pPr>
      <w:r>
        <w:rPr>
          <w:rFonts w:ascii="Arial" w:cs="Arial" w:eastAsia="Arial" w:hAnsi="Arial"/>
          <w:sz w:val="21"/>
          <w:szCs w:val="21"/>
          <w:color w:val="auto"/>
        </w:rPr>
        <w:t>instruments relating thereto, without regard to any provision contained therein for a subsequent adjustment of such number) issuable upon the exercise of such Options or the conversion or exchange of such Convertible Securities.</w:t>
      </w:r>
    </w:p>
    <w:p>
      <w:pPr>
        <w:spacing w:after="0" w:line="115" w:lineRule="exact"/>
        <w:rPr>
          <w:rFonts w:ascii="Arial" w:cs="Arial" w:eastAsia="Arial" w:hAnsi="Arial"/>
          <w:sz w:val="22"/>
          <w:szCs w:val="22"/>
          <w:color w:val="auto"/>
        </w:rPr>
      </w:pPr>
    </w:p>
    <w:p>
      <w:pPr>
        <w:ind w:firstLine="1492"/>
        <w:spacing w:after="0" w:line="234" w:lineRule="auto"/>
        <w:tabs>
          <w:tab w:leader="none" w:pos="1939"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Adjustments for Subdivisions or Combinations of Common Stock</w:t>
      </w:r>
      <w:r>
        <w:rPr>
          <w:rFonts w:ascii="Arial" w:cs="Arial" w:eastAsia="Arial" w:hAnsi="Arial"/>
          <w:sz w:val="22"/>
          <w:szCs w:val="22"/>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267" w:right="239" w:bottom="1440" w:gutter="0" w:footer="0" w:header="0"/>
        </w:sectPr>
      </w:pPr>
    </w:p>
    <w:bookmarkStart w:id="231" w:name="page232"/>
    <w:bookmarkEnd w:id="231"/>
    <w:p>
      <w:pPr>
        <w:ind w:firstLine="1492"/>
        <w:spacing w:after="0" w:line="275" w:lineRule="auto"/>
        <w:tabs>
          <w:tab w:leader="none" w:pos="191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for Subdivisions or Combinations of Preferred Stock</w:t>
      </w:r>
      <w:r>
        <w:rPr>
          <w:rFonts w:ascii="Arial" w:cs="Arial" w:eastAsia="Arial" w:hAnsi="Arial"/>
          <w:sz w:val="19"/>
          <w:szCs w:val="19"/>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04" w:lineRule="exact"/>
        <w:rPr>
          <w:rFonts w:ascii="Arial" w:cs="Arial" w:eastAsia="Arial" w:hAnsi="Arial"/>
          <w:sz w:val="19"/>
          <w:szCs w:val="19"/>
          <w:color w:val="auto"/>
        </w:rPr>
      </w:pPr>
    </w:p>
    <w:p>
      <w:pPr>
        <w:ind w:firstLine="1492"/>
        <w:spacing w:after="0" w:line="245" w:lineRule="auto"/>
        <w:tabs>
          <w:tab w:leader="none" w:pos="1952"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Adjustments for Reclassification, Exchange and Substitution</w:t>
      </w:r>
      <w:r>
        <w:rPr>
          <w:rFonts w:ascii="Arial" w:cs="Arial" w:eastAsia="Arial" w:hAnsi="Arial"/>
          <w:sz w:val="21"/>
          <w:szCs w:val="21"/>
          <w:color w:val="auto"/>
        </w:rPr>
        <w:t>. Subject to Section 5 above (“</w:t>
      </w:r>
      <w:r>
        <w:rPr>
          <w:rFonts w:ascii="Arial" w:cs="Arial" w:eastAsia="Arial" w:hAnsi="Arial"/>
          <w:sz w:val="21"/>
          <w:szCs w:val="21"/>
          <w:u w:val="single" w:color="auto"/>
          <w:color w:val="auto"/>
        </w:rPr>
        <w:t>Liquidation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Rights</w:t>
      </w:r>
      <w:r>
        <w:rPr>
          <w:rFonts w:ascii="Arial" w:cs="Arial" w:eastAsia="Arial" w:hAnsi="Arial"/>
          <w:sz w:val="21"/>
          <w:szCs w:val="21"/>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31" w:lineRule="exact"/>
        <w:rPr>
          <w:rFonts w:ascii="Arial" w:cs="Arial" w:eastAsia="Arial" w:hAnsi="Arial"/>
          <w:sz w:val="21"/>
          <w:szCs w:val="21"/>
          <w:color w:val="auto"/>
        </w:rPr>
      </w:pPr>
    </w:p>
    <w:p>
      <w:pPr>
        <w:ind w:right="20" w:firstLine="1492"/>
        <w:spacing w:after="0" w:line="270" w:lineRule="auto"/>
        <w:tabs>
          <w:tab w:leader="none" w:pos="1952"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 Impairment</w:t>
      </w:r>
      <w:r>
        <w:rPr>
          <w:rFonts w:ascii="Arial" w:cs="Arial" w:eastAsia="Arial" w:hAnsi="Arial"/>
          <w:sz w:val="19"/>
          <w:szCs w:val="19"/>
          <w:color w:val="auto"/>
        </w:rPr>
        <w:t>. The Corporation will not through any reorganization, transfer of assets,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Preferred Stock against impairment. Notwithstanding the foregoing, nothing in this</w:t>
      </w:r>
    </w:p>
    <w:p>
      <w:pPr>
        <w:spacing w:after="0" w:line="4" w:lineRule="exact"/>
        <w:rPr>
          <w:rFonts w:ascii="Arial" w:cs="Arial" w:eastAsia="Arial" w:hAnsi="Arial"/>
          <w:sz w:val="19"/>
          <w:szCs w:val="19"/>
          <w:color w:val="auto"/>
        </w:rPr>
      </w:pPr>
    </w:p>
    <w:p>
      <w:pPr>
        <w:ind w:right="880"/>
        <w:spacing w:after="0" w:line="237" w:lineRule="auto"/>
        <w:rPr>
          <w:rFonts w:ascii="Arial" w:cs="Arial" w:eastAsia="Arial" w:hAnsi="Arial"/>
          <w:sz w:val="19"/>
          <w:szCs w:val="19"/>
          <w:color w:val="auto"/>
        </w:rPr>
      </w:pPr>
      <w:r>
        <w:rPr>
          <w:rFonts w:ascii="Arial" w:cs="Arial" w:eastAsia="Arial" w:hAnsi="Arial"/>
          <w:sz w:val="22"/>
          <w:szCs w:val="22"/>
          <w:color w:val="auto"/>
        </w:rPr>
        <w:t>Section 6(h) shall prohibit the Corporation from amending its Certificate of Incorporation with the requisite consent of its stockholders and the board of directors.</w:t>
      </w:r>
    </w:p>
    <w:p>
      <w:pPr>
        <w:spacing w:after="0" w:line="130" w:lineRule="exact"/>
        <w:rPr>
          <w:rFonts w:ascii="Arial" w:cs="Arial" w:eastAsia="Arial" w:hAnsi="Arial"/>
          <w:sz w:val="19"/>
          <w:szCs w:val="19"/>
          <w:color w:val="auto"/>
        </w:rPr>
      </w:pPr>
    </w:p>
    <w:p>
      <w:pPr>
        <w:ind w:right="40" w:firstLine="1492"/>
        <w:spacing w:after="0" w:line="234" w:lineRule="auto"/>
        <w:tabs>
          <w:tab w:leader="none" w:pos="1903"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Certificate as to Adjustments</w:t>
      </w:r>
      <w:r>
        <w:rPr>
          <w:rFonts w:ascii="Arial" w:cs="Arial" w:eastAsia="Arial" w:hAnsi="Arial"/>
          <w:sz w:val="22"/>
          <w:szCs w:val="22"/>
          <w:color w:val="auto"/>
        </w:rPr>
        <w:t>. Upon the occurrence of each adjustment or readjustment of the Conversion Price pursuant to this Section 6,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267" w:right="259" w:bottom="1440" w:gutter="0" w:footer="0" w:header="0"/>
        </w:sectPr>
      </w:pPr>
    </w:p>
    <w:bookmarkStart w:id="232" w:name="page233"/>
    <w:bookmarkEnd w:id="232"/>
    <w:p>
      <w:pPr>
        <w:ind w:left="1920" w:hanging="428"/>
        <w:spacing w:after="0"/>
        <w:tabs>
          <w:tab w:leader="none" w:pos="192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of Record Date</w:t>
      </w:r>
      <w:r>
        <w:rPr>
          <w:rFonts w:ascii="Arial" w:cs="Arial" w:eastAsia="Arial" w:hAnsi="Arial"/>
          <w:sz w:val="22"/>
          <w:szCs w:val="22"/>
          <w:color w:val="auto"/>
        </w:rPr>
        <w:t>. In the event that the Corporation shall propose at any time:</w:t>
      </w:r>
    </w:p>
    <w:p>
      <w:pPr>
        <w:spacing w:after="0" w:line="152" w:lineRule="exact"/>
        <w:rPr>
          <w:rFonts w:ascii="Arial" w:cs="Arial" w:eastAsia="Arial" w:hAnsi="Arial"/>
          <w:sz w:val="22"/>
          <w:szCs w:val="22"/>
          <w:color w:val="auto"/>
        </w:rPr>
      </w:pPr>
    </w:p>
    <w:p>
      <w:pPr>
        <w:ind w:right="140" w:firstLine="2290"/>
        <w:spacing w:after="0" w:line="274" w:lineRule="auto"/>
        <w:tabs>
          <w:tab w:leader="none" w:pos="2702" w:val="left"/>
        </w:tabs>
        <w:numPr>
          <w:ilvl w:val="1"/>
          <w:numId w:val="152"/>
        </w:numPr>
        <w:rPr>
          <w:rFonts w:ascii="Arial" w:cs="Arial" w:eastAsia="Arial" w:hAnsi="Arial"/>
          <w:sz w:val="21"/>
          <w:szCs w:val="21"/>
          <w:color w:val="auto"/>
        </w:rPr>
      </w:pPr>
      <w:r>
        <w:rPr>
          <w:rFonts w:ascii="Arial" w:cs="Arial" w:eastAsia="Arial" w:hAnsi="Arial"/>
          <w:sz w:val="21"/>
          <w:szCs w:val="21"/>
          <w:color w:val="auto"/>
        </w:rPr>
        <w:t>to declare any dividend or distribution upon its Common Stock, whether in cash, property, stock or other securities, whether or not a regular cash dividend and whether or not out of earnings or earned surplus;</w:t>
      </w:r>
    </w:p>
    <w:p>
      <w:pPr>
        <w:spacing w:after="0" w:line="96" w:lineRule="exact"/>
        <w:rPr>
          <w:rFonts w:ascii="Arial" w:cs="Arial" w:eastAsia="Arial" w:hAnsi="Arial"/>
          <w:sz w:val="21"/>
          <w:szCs w:val="21"/>
          <w:color w:val="auto"/>
        </w:rPr>
      </w:pPr>
    </w:p>
    <w:p>
      <w:pPr>
        <w:ind w:right="580" w:firstLine="2290"/>
        <w:spacing w:after="0" w:line="251" w:lineRule="auto"/>
        <w:tabs>
          <w:tab w:leader="none" w:pos="276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to effect any reclassification or recapitalization of its Common Stock outstanding involving a change in the Common Stock; or</w:t>
      </w:r>
    </w:p>
    <w:p>
      <w:pPr>
        <w:spacing w:after="0" w:line="119" w:lineRule="exact"/>
        <w:rPr>
          <w:rFonts w:ascii="Arial" w:cs="Arial" w:eastAsia="Arial" w:hAnsi="Arial"/>
          <w:sz w:val="22"/>
          <w:szCs w:val="22"/>
          <w:color w:val="auto"/>
        </w:rPr>
      </w:pPr>
    </w:p>
    <w:p>
      <w:pPr>
        <w:ind w:right="500" w:firstLine="2290"/>
        <w:spacing w:after="0" w:line="251" w:lineRule="auto"/>
        <w:tabs>
          <w:tab w:leader="none" w:pos="282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to voluntarily liquidate or dissolve or to enter into any transaction deemed to be a liquidation, dissolution or winding up of the corporation pursuant to Section 5(h);</w:t>
      </w:r>
    </w:p>
    <w:p>
      <w:pPr>
        <w:spacing w:after="0" w:line="11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then, in connection with each such event, the Corporation shall send to the holders of the Preferred Stock at least 14 days’ prior written notice of the date on which a record shall be taken for such dividend or distribution (and specifying the date on which the holders of Common Stock shall be entitled thereto) or for determining rights to vote in respect of the matters referred to in (ii) and (iii) above.</w:t>
      </w:r>
    </w:p>
    <w:p>
      <w:pPr>
        <w:spacing w:after="0" w:line="131" w:lineRule="exact"/>
        <w:rPr>
          <w:sz w:val="20"/>
          <w:szCs w:val="20"/>
          <w:color w:val="auto"/>
        </w:rPr>
      </w:pPr>
    </w:p>
    <w:p>
      <w:pPr>
        <w:ind w:right="120" w:firstLine="799"/>
        <w:spacing w:after="0" w:line="251" w:lineRule="auto"/>
        <w:rPr>
          <w:sz w:val="20"/>
          <w:szCs w:val="20"/>
          <w:color w:val="auto"/>
        </w:rPr>
      </w:pPr>
      <w:r>
        <w:rPr>
          <w:rFonts w:ascii="Arial" w:cs="Arial" w:eastAsia="Arial" w:hAnsi="Arial"/>
          <w:sz w:val="22"/>
          <w:szCs w:val="22"/>
          <w:color w:val="auto"/>
        </w:rPr>
        <w:t>Each such written notice shall be given by first class mail, postage prepaid, addressed to the holders of Preferred Stock at the address for each such holder as shown on the books of the Corporation.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right of the holders of the Preferred Stock to notice hereunder may be waived by the holders of more than two-thirds</w:t>
      </w:r>
    </w:p>
    <w:p>
      <w:pPr>
        <w:spacing w:after="0" w:line="43" w:lineRule="exact"/>
        <w:rPr>
          <w:sz w:val="20"/>
          <w:szCs w:val="20"/>
          <w:color w:val="auto"/>
        </w:rPr>
      </w:pPr>
    </w:p>
    <w:p>
      <w:pPr>
        <w:jc w:val="both"/>
        <w:ind w:right="60" w:firstLine="8"/>
        <w:spacing w:after="0" w:line="258" w:lineRule="auto"/>
        <w:tabs>
          <w:tab w:leader="none" w:pos="109" w:val="left"/>
        </w:tabs>
        <w:numPr>
          <w:ilvl w:val="0"/>
          <w:numId w:val="153"/>
        </w:numPr>
        <w:rPr>
          <w:rFonts w:ascii="Arial" w:cs="Arial" w:eastAsia="Arial" w:hAnsi="Arial"/>
          <w:sz w:val="21"/>
          <w:szCs w:val="21"/>
          <w:color w:val="auto"/>
        </w:rPr>
      </w:pPr>
      <w:r>
        <w:rPr>
          <w:rFonts w:ascii="Arial" w:cs="Arial" w:eastAsia="Arial" w:hAnsi="Arial"/>
          <w:sz w:val="14"/>
          <w:szCs w:val="14"/>
          <w:color w:val="auto"/>
        </w:rPr>
        <w:t>2</w:t>
      </w:r>
      <w:r>
        <w:rPr>
          <w:rFonts w:ascii="Arial" w:cs="Arial" w:eastAsia="Arial" w:hAnsi="Arial"/>
          <w:sz w:val="20"/>
          <w:szCs w:val="20"/>
          <w:color w:val="auto"/>
        </w:rPr>
        <w:t>/</w:t>
      </w:r>
      <w:r>
        <w:rPr>
          <w:rFonts w:ascii="Arial" w:cs="Arial" w:eastAsia="Arial" w:hAnsi="Arial"/>
          <w:sz w:val="16"/>
          <w:szCs w:val="16"/>
          <w:color w:val="auto"/>
        </w:rPr>
        <w:t>3</w:t>
      </w:r>
      <w:r>
        <w:rPr>
          <w:rFonts w:ascii="Arial" w:cs="Arial" w:eastAsia="Arial" w:hAnsi="Arial"/>
          <w:sz w:val="20"/>
          <w:szCs w:val="20"/>
          <w:color w:val="auto"/>
        </w:rPr>
        <w:t>) of the outstanding shares of the Preferred Stock voting together as a single class. Notwithstanding the foregoing, no waiver of</w:t>
      </w:r>
      <w:r>
        <w:rPr>
          <w:rFonts w:ascii="Arial" w:cs="Arial" w:eastAsia="Arial" w:hAnsi="Arial"/>
          <w:sz w:val="14"/>
          <w:szCs w:val="14"/>
          <w:color w:val="auto"/>
        </w:rPr>
        <w:t xml:space="preserve"> </w:t>
      </w:r>
      <w:r>
        <w:rPr>
          <w:rFonts w:ascii="Arial" w:cs="Arial" w:eastAsia="Arial" w:hAnsi="Arial"/>
          <w:sz w:val="20"/>
          <w:szCs w:val="20"/>
          <w:color w:val="auto"/>
        </w:rPr>
        <w:t xml:space="preserve">notice under this Section 6(j) shall constitute a waiver of notice with respect to the Series E Preferred Stock or Series E-1 Preferred Stock unless such waiver shall have been approved by the written consent of holders of more than two-thirds ( </w:t>
      </w:r>
      <w:r>
        <w:rPr>
          <w:rFonts w:ascii="Arial" w:cs="Arial" w:eastAsia="Arial" w:hAnsi="Arial"/>
          <w:sz w:val="13"/>
          <w:szCs w:val="13"/>
          <w:color w:val="auto"/>
        </w:rPr>
        <w:t>2</w:t>
      </w:r>
      <w:r>
        <w:rPr>
          <w:rFonts w:ascii="Arial" w:cs="Arial" w:eastAsia="Arial" w:hAnsi="Arial"/>
          <w:sz w:val="20"/>
          <w:szCs w:val="20"/>
          <w:color w:val="auto"/>
        </w:rPr>
        <w:t>/</w:t>
      </w:r>
      <w:r>
        <w:rPr>
          <w:rFonts w:ascii="Arial" w:cs="Arial" w:eastAsia="Arial" w:hAnsi="Arial"/>
          <w:sz w:val="16"/>
          <w:szCs w:val="16"/>
          <w:color w:val="auto"/>
        </w:rPr>
        <w:t>3</w:t>
      </w:r>
      <w:r>
        <w:rPr>
          <w:rFonts w:ascii="Arial" w:cs="Arial" w:eastAsia="Arial" w:hAnsi="Arial"/>
          <w:sz w:val="20"/>
          <w:szCs w:val="20"/>
          <w:color w:val="auto"/>
        </w:rPr>
        <w:t>) of the shares of Series E Preferred Stock and Series E-1 Preferred Stock then outstanding, voting together as a single class.</w:t>
      </w:r>
    </w:p>
    <w:p>
      <w:pPr>
        <w:spacing w:after="0" w:line="115" w:lineRule="exact"/>
        <w:rPr>
          <w:rFonts w:ascii="Arial" w:cs="Arial" w:eastAsia="Arial" w:hAnsi="Arial"/>
          <w:sz w:val="21"/>
          <w:szCs w:val="21"/>
          <w:color w:val="auto"/>
        </w:rPr>
      </w:pPr>
    </w:p>
    <w:p>
      <w:pPr>
        <w:ind w:firstLine="1492"/>
        <w:spacing w:after="0" w:line="277" w:lineRule="auto"/>
        <w:tabs>
          <w:tab w:leader="none" w:pos="1952"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Reservation of Stock Issuable Upon Conversion</w:t>
      </w:r>
      <w:r>
        <w:rPr>
          <w:rFonts w:ascii="Arial" w:cs="Arial" w:eastAsia="Arial" w:hAnsi="Arial"/>
          <w:sz w:val="19"/>
          <w:szCs w:val="19"/>
          <w:color w:val="auto"/>
        </w:rPr>
        <w:t>. The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98" w:lineRule="exact"/>
        <w:rPr>
          <w:rFonts w:ascii="Arial" w:cs="Arial" w:eastAsia="Arial" w:hAnsi="Arial"/>
          <w:sz w:val="19"/>
          <w:szCs w:val="19"/>
          <w:color w:val="auto"/>
        </w:rPr>
      </w:pPr>
    </w:p>
    <w:p>
      <w:pPr>
        <w:ind w:right="120" w:firstLine="1492"/>
        <w:spacing w:after="0" w:line="238" w:lineRule="auto"/>
        <w:tabs>
          <w:tab w:leader="none" w:pos="1903"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Waiver of Adjustment of Conversion Price</w:t>
      </w:r>
      <w:r>
        <w:rPr>
          <w:rFonts w:ascii="Arial" w:cs="Arial" w:eastAsia="Arial" w:hAnsi="Arial"/>
          <w:sz w:val="22"/>
          <w:szCs w:val="22"/>
          <w:color w:val="auto"/>
        </w:rPr>
        <w:t xml:space="preserve">. Notwithstanding anything herein to the contrary, any downward adjustment of the Conversion Price of any series of Preferred Stock may be waived by the consent or vote of the holders of more than two-thirds ( </w:t>
      </w:r>
      <w:r>
        <w:rPr>
          <w:rFonts w:ascii="Arial" w:cs="Arial" w:eastAsia="Arial" w:hAnsi="Arial"/>
          <w:sz w:val="14"/>
          <w:szCs w:val="14"/>
          <w:color w:val="auto"/>
        </w:rPr>
        <w:t>2</w:t>
      </w:r>
      <w:r>
        <w:rPr>
          <w:rFonts w:ascii="Arial" w:cs="Arial" w:eastAsia="Arial" w:hAnsi="Arial"/>
          <w:sz w:val="22"/>
          <w:szCs w:val="22"/>
          <w:color w:val="auto"/>
        </w:rPr>
        <w:t>/</w:t>
      </w:r>
      <w:r>
        <w:rPr>
          <w:rFonts w:ascii="Arial" w:cs="Arial" w:eastAsia="Arial" w:hAnsi="Arial"/>
          <w:sz w:val="17"/>
          <w:szCs w:val="17"/>
          <w:color w:val="auto"/>
        </w:rPr>
        <w:t>3</w:t>
      </w:r>
      <w:r>
        <w:rPr>
          <w:rFonts w:ascii="Arial" w:cs="Arial" w:eastAsia="Arial" w:hAnsi="Arial"/>
          <w:sz w:val="22"/>
          <w:szCs w:val="22"/>
          <w:color w:val="auto"/>
        </w:rPr>
        <w:t>) of the outstanding shares of such series. Any such waiver shall bind all future holders of shares of such series of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267" w:right="259" w:bottom="1440" w:gutter="0" w:footer="0" w:header="0"/>
        </w:sectPr>
      </w:pPr>
    </w:p>
    <w:bookmarkStart w:id="233" w:name="page234"/>
    <w:bookmarkEnd w:id="233"/>
    <w:p>
      <w:pPr>
        <w:ind w:left="1180" w:hanging="373"/>
        <w:spacing w:after="0"/>
        <w:tabs>
          <w:tab w:leader="none" w:pos="1180"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right="100" w:firstLine="1492"/>
        <w:spacing w:after="0" w:line="251" w:lineRule="auto"/>
        <w:tabs>
          <w:tab w:leader="none" w:pos="1939" w:val="left"/>
        </w:tabs>
        <w:numPr>
          <w:ilvl w:val="2"/>
          <w:numId w:val="154"/>
        </w:numPr>
        <w:rPr>
          <w:rFonts w:ascii="Arial" w:cs="Arial" w:eastAsia="Arial" w:hAnsi="Arial"/>
          <w:sz w:val="22"/>
          <w:szCs w:val="22"/>
          <w:color w:val="auto"/>
        </w:rPr>
      </w:pPr>
      <w:r>
        <w:rPr>
          <w:rFonts w:ascii="Arial" w:cs="Arial" w:eastAsia="Arial" w:hAnsi="Arial"/>
          <w:sz w:val="22"/>
          <w:szCs w:val="22"/>
          <w:u w:val="single" w:color="auto"/>
          <w:color w:val="auto"/>
        </w:rPr>
        <w:t>Restricted Class Voting</w:t>
      </w:r>
      <w:r>
        <w:rPr>
          <w:rFonts w:ascii="Arial" w:cs="Arial" w:eastAsia="Arial" w:hAnsi="Arial"/>
          <w:sz w:val="22"/>
          <w:szCs w:val="22"/>
          <w:color w:val="auto"/>
        </w:rPr>
        <w:t>. Except as otherwise expressly provided herein or as required by law, the holders of Preferred Stock and the holders of Common Stock shall vote together and not as separate classes.</w:t>
      </w:r>
    </w:p>
    <w:p>
      <w:pPr>
        <w:spacing w:after="0" w:line="119" w:lineRule="exact"/>
        <w:rPr>
          <w:rFonts w:ascii="Arial" w:cs="Arial" w:eastAsia="Arial" w:hAnsi="Arial"/>
          <w:sz w:val="22"/>
          <w:szCs w:val="22"/>
          <w:color w:val="auto"/>
        </w:rPr>
      </w:pPr>
    </w:p>
    <w:p>
      <w:pPr>
        <w:ind w:left="1960" w:hanging="468"/>
        <w:spacing w:after="0"/>
        <w:tabs>
          <w:tab w:leader="none" w:pos="1960" w:val="left"/>
        </w:tabs>
        <w:numPr>
          <w:ilvl w:val="2"/>
          <w:numId w:val="154"/>
        </w:numPr>
        <w:rPr>
          <w:rFonts w:ascii="Arial" w:cs="Arial" w:eastAsia="Arial" w:hAnsi="Arial"/>
          <w:sz w:val="21"/>
          <w:szCs w:val="21"/>
          <w:color w:val="auto"/>
        </w:rPr>
      </w:pPr>
      <w:r>
        <w:rPr>
          <w:rFonts w:ascii="Arial" w:cs="Arial" w:eastAsia="Arial" w:hAnsi="Arial"/>
          <w:sz w:val="21"/>
          <w:szCs w:val="21"/>
          <w:u w:val="single" w:color="auto"/>
          <w:color w:val="auto"/>
        </w:rPr>
        <w:t>No Series Voting</w:t>
      </w:r>
      <w:r>
        <w:rPr>
          <w:rFonts w:ascii="Arial" w:cs="Arial" w:eastAsia="Arial" w:hAnsi="Arial"/>
          <w:sz w:val="21"/>
          <w:szCs w:val="21"/>
          <w:color w:val="auto"/>
        </w:rPr>
        <w:t>. Other than as provided herein or required by law, there shall be no series voting.</w:t>
      </w:r>
    </w:p>
    <w:p>
      <w:pPr>
        <w:spacing w:after="0" w:line="163" w:lineRule="exact"/>
        <w:rPr>
          <w:rFonts w:ascii="Arial" w:cs="Arial" w:eastAsia="Arial" w:hAnsi="Arial"/>
          <w:sz w:val="21"/>
          <w:szCs w:val="21"/>
          <w:color w:val="auto"/>
        </w:rPr>
      </w:pPr>
    </w:p>
    <w:p>
      <w:pPr>
        <w:ind w:right="20" w:firstLine="1492"/>
        <w:spacing w:after="0" w:line="279" w:lineRule="auto"/>
        <w:tabs>
          <w:tab w:leader="none" w:pos="1939" w:val="left"/>
        </w:tabs>
        <w:numPr>
          <w:ilvl w:val="2"/>
          <w:numId w:val="154"/>
        </w:numPr>
        <w:rPr>
          <w:rFonts w:ascii="Arial" w:cs="Arial" w:eastAsia="Arial" w:hAnsi="Arial"/>
          <w:sz w:val="19"/>
          <w:szCs w:val="19"/>
          <w:color w:val="auto"/>
        </w:rPr>
      </w:pPr>
      <w:r>
        <w:rPr>
          <w:rFonts w:ascii="Arial" w:cs="Arial" w:eastAsia="Arial" w:hAnsi="Arial"/>
          <w:sz w:val="19"/>
          <w:szCs w:val="19"/>
          <w:u w:val="single" w:color="auto"/>
          <w:color w:val="auto"/>
        </w:rPr>
        <w:t>Preferred Stock</w:t>
      </w:r>
      <w:r>
        <w:rPr>
          <w:rFonts w:ascii="Arial" w:cs="Arial" w:eastAsia="Arial" w:hAnsi="Arial"/>
          <w:sz w:val="19"/>
          <w:szCs w:val="19"/>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stockholders’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96" w:lineRule="exact"/>
        <w:rPr>
          <w:rFonts w:ascii="Arial" w:cs="Arial" w:eastAsia="Arial" w:hAnsi="Arial"/>
          <w:sz w:val="19"/>
          <w:szCs w:val="19"/>
          <w:color w:val="auto"/>
        </w:rPr>
      </w:pPr>
    </w:p>
    <w:p>
      <w:pPr>
        <w:ind w:left="1960" w:hanging="468"/>
        <w:spacing w:after="0"/>
        <w:tabs>
          <w:tab w:leader="none" w:pos="1960" w:val="left"/>
        </w:tabs>
        <w:numPr>
          <w:ilvl w:val="2"/>
          <w:numId w:val="154"/>
        </w:numPr>
        <w:rPr>
          <w:rFonts w:ascii="Arial" w:cs="Arial" w:eastAsia="Arial" w:hAnsi="Arial"/>
          <w:sz w:val="19"/>
          <w:szCs w:val="19"/>
          <w:color w:val="auto"/>
        </w:rPr>
      </w:pPr>
      <w:r>
        <w:rPr>
          <w:rFonts w:ascii="Arial" w:cs="Arial" w:eastAsia="Arial" w:hAnsi="Arial"/>
          <w:sz w:val="19"/>
          <w:szCs w:val="19"/>
          <w:u w:val="single" w:color="auto"/>
          <w:color w:val="auto"/>
        </w:rPr>
        <w:t>Common Stock</w:t>
      </w:r>
      <w:r>
        <w:rPr>
          <w:rFonts w:ascii="Arial" w:cs="Arial" w:eastAsia="Arial" w:hAnsi="Arial"/>
          <w:sz w:val="19"/>
          <w:szCs w:val="19"/>
          <w:color w:val="auto"/>
        </w:rPr>
        <w:t>. Each holder of shares of Common Stock shall be entitled to one vote for each share thereof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held.</w:t>
      </w:r>
    </w:p>
    <w:p>
      <w:pPr>
        <w:spacing w:after="0" w:line="134" w:lineRule="exact"/>
        <w:rPr>
          <w:rFonts w:ascii="Arial" w:cs="Arial" w:eastAsia="Arial" w:hAnsi="Arial"/>
          <w:sz w:val="19"/>
          <w:szCs w:val="19"/>
          <w:color w:val="auto"/>
        </w:rPr>
      </w:pPr>
    </w:p>
    <w:p>
      <w:pPr>
        <w:jc w:val="both"/>
        <w:ind w:right="480" w:firstLine="1492"/>
        <w:spacing w:after="0" w:line="297" w:lineRule="auto"/>
        <w:tabs>
          <w:tab w:leader="none" w:pos="1939" w:val="left"/>
        </w:tabs>
        <w:numPr>
          <w:ilvl w:val="2"/>
          <w:numId w:val="154"/>
        </w:numPr>
        <w:rPr>
          <w:rFonts w:ascii="Arial" w:cs="Arial" w:eastAsia="Arial" w:hAnsi="Arial"/>
          <w:sz w:val="19"/>
          <w:szCs w:val="19"/>
          <w:color w:val="auto"/>
        </w:rPr>
      </w:pPr>
      <w:r>
        <w:rPr>
          <w:rFonts w:ascii="Arial" w:cs="Arial" w:eastAsia="Arial" w:hAnsi="Arial"/>
          <w:sz w:val="19"/>
          <w:szCs w:val="19"/>
          <w:u w:val="single" w:color="auto"/>
          <w:color w:val="auto"/>
        </w:rPr>
        <w:t>Adjustment in Authorized Common Stock</w:t>
      </w:r>
      <w:r>
        <w:rPr>
          <w:rFonts w:ascii="Arial" w:cs="Arial" w:eastAsia="Arial" w:hAnsi="Arial"/>
          <w:sz w:val="19"/>
          <w:szCs w:val="19"/>
          <w:color w:val="auto"/>
        </w:rPr>
        <w:t>. The number of authorized shares of Common Stock may be increased or decreased (but not below the number of shares of Common Stock then outstanding) by an affirmative vote of the holders of a majority of the outstanding Common Stock and Preferred Stock, voting together as a single class.</w:t>
      </w:r>
    </w:p>
    <w:p>
      <w:pPr>
        <w:spacing w:after="0" w:line="80" w:lineRule="exact"/>
        <w:rPr>
          <w:rFonts w:ascii="Arial" w:cs="Arial" w:eastAsia="Arial" w:hAnsi="Arial"/>
          <w:sz w:val="19"/>
          <w:szCs w:val="19"/>
          <w:color w:val="auto"/>
        </w:rPr>
      </w:pPr>
    </w:p>
    <w:p>
      <w:pPr>
        <w:ind w:right="20" w:firstLine="1492"/>
        <w:spacing w:after="0" w:line="270" w:lineRule="auto"/>
        <w:tabs>
          <w:tab w:leader="none" w:pos="1915" w:val="left"/>
        </w:tabs>
        <w:numPr>
          <w:ilvl w:val="2"/>
          <w:numId w:val="154"/>
        </w:numPr>
        <w:rPr>
          <w:rFonts w:ascii="Arial" w:cs="Arial" w:eastAsia="Arial" w:hAnsi="Arial"/>
          <w:sz w:val="19"/>
          <w:szCs w:val="19"/>
          <w:color w:val="auto"/>
        </w:rPr>
      </w:pPr>
      <w:r>
        <w:rPr>
          <w:rFonts w:ascii="Arial" w:cs="Arial" w:eastAsia="Arial" w:hAnsi="Arial"/>
          <w:sz w:val="19"/>
          <w:szCs w:val="19"/>
          <w:u w:val="single" w:color="auto"/>
          <w:color w:val="auto"/>
        </w:rPr>
        <w:t>Election of Directors</w:t>
      </w:r>
      <w:r>
        <w:rPr>
          <w:rFonts w:ascii="Arial" w:cs="Arial" w:eastAsia="Arial" w:hAnsi="Arial"/>
          <w:sz w:val="19"/>
          <w:szCs w:val="19"/>
          <w:color w:val="auto"/>
        </w:rPr>
        <w:t>. So long as at least 330,305 shares of Series D Preferred Stock (as adjusted for stock splits, subdivisions, combinations or stock dividends with respect to such shares) remain outstanding, the holders of the Series D Preferred Stock, voting as a separate class, shall be entitled to elect two (2) members of the Corporation’s Board of Directors at each meeting or pursuant to each consent of the Corporation’s stockholders for the election of directors. So long as at least 330,305 shares of Series C Preferred Stock (as adjusted for stock splits, subdivisions, combinations or stock dividends with respect to such shares) remain outstanding, the holders of Series C Preferred Stock, voting as a separate class, shall be entitled to elect three</w:t>
      </w:r>
    </w:p>
    <w:p>
      <w:pPr>
        <w:spacing w:after="0" w:line="1" w:lineRule="exact"/>
        <w:rPr>
          <w:rFonts w:ascii="Arial" w:cs="Arial" w:eastAsia="Arial" w:hAnsi="Arial"/>
          <w:sz w:val="19"/>
          <w:szCs w:val="19"/>
          <w:color w:val="auto"/>
        </w:rPr>
      </w:pPr>
    </w:p>
    <w:p>
      <w:pPr>
        <w:ind w:firstLine="8"/>
        <w:spacing w:after="0" w:line="280" w:lineRule="auto"/>
        <w:tabs>
          <w:tab w:leader="none" w:pos="30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members of the Corporation’s Board of Directors at each meeting or pursuant to each consent of the Corporation’s stockholders for the election of directors. Any additional members of the Corporation’s Board of Directors shall be elected by the holders of Common Stock, Series A Preferred Stock, Series B Preferred Stock, Series C Preferred Stock, Series D Preferred Stock, Series D-1 Preferred Stock, Series E Preferred Stock and Series E-1 Preferred Stock, voting together as a single class.</w:t>
      </w:r>
    </w:p>
    <w:p>
      <w:pPr>
        <w:spacing w:after="0" w:line="96" w:lineRule="exact"/>
        <w:rPr>
          <w:rFonts w:ascii="Arial" w:cs="Arial" w:eastAsia="Arial" w:hAnsi="Arial"/>
          <w:sz w:val="19"/>
          <w:szCs w:val="19"/>
          <w:color w:val="auto"/>
        </w:rPr>
      </w:pPr>
    </w:p>
    <w:p>
      <w:pPr>
        <w:ind w:right="240" w:firstLine="807"/>
        <w:spacing w:after="0" w:line="297" w:lineRule="auto"/>
        <w:tabs>
          <w:tab w:leader="none" w:pos="1177"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Amendments and Changes Requiring Approval of Preferred Stock</w:t>
      </w:r>
      <w:r>
        <w:rPr>
          <w:rFonts w:ascii="Arial" w:cs="Arial" w:eastAsia="Arial" w:hAnsi="Arial"/>
          <w:sz w:val="19"/>
          <w:szCs w:val="19"/>
          <w:color w:val="auto"/>
        </w:rPr>
        <w:t xml:space="preserve">. As long as any of the Preferred Stock shall be issued and outstanding, the Corporation shall not, without first obtaining the approval (by vote or written consent as provided by law) of the holders of at least two-thirds (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5"/>
          <w:szCs w:val="15"/>
          <w:color w:val="auto"/>
        </w:rPr>
        <w:t>3</w:t>
      </w:r>
      <w:r>
        <w:rPr>
          <w:rFonts w:ascii="Arial" w:cs="Arial" w:eastAsia="Arial" w:hAnsi="Arial"/>
          <w:sz w:val="19"/>
          <w:szCs w:val="19"/>
          <w:color w:val="auto"/>
        </w:rPr>
        <w:t>) of the outstanding shares of the Preferred Stock voting together as a single class:</w:t>
      </w:r>
    </w:p>
    <w:p>
      <w:pPr>
        <w:spacing w:after="0" w:line="80" w:lineRule="exact"/>
        <w:rPr>
          <w:rFonts w:ascii="Arial" w:cs="Arial" w:eastAsia="Arial" w:hAnsi="Arial"/>
          <w:sz w:val="19"/>
          <w:szCs w:val="19"/>
          <w:color w:val="auto"/>
        </w:rPr>
      </w:pPr>
    </w:p>
    <w:p>
      <w:pPr>
        <w:ind w:right="660" w:firstLine="1492"/>
        <w:spacing w:after="0" w:line="251" w:lineRule="auto"/>
        <w:tabs>
          <w:tab w:leader="none" w:pos="1939" w:val="left"/>
        </w:tabs>
        <w:numPr>
          <w:ilvl w:val="2"/>
          <w:numId w:val="155"/>
        </w:numPr>
        <w:rPr>
          <w:rFonts w:ascii="Arial" w:cs="Arial" w:eastAsia="Arial" w:hAnsi="Arial"/>
          <w:sz w:val="22"/>
          <w:szCs w:val="22"/>
          <w:color w:val="auto"/>
        </w:rPr>
      </w:pPr>
      <w:r>
        <w:rPr>
          <w:rFonts w:ascii="Arial" w:cs="Arial" w:eastAsia="Arial" w:hAnsi="Arial"/>
          <w:sz w:val="22"/>
          <w:szCs w:val="22"/>
          <w:color w:val="auto"/>
        </w:rPr>
        <w:t>amend, alter or repeal any provision of the Certificate of Incorporation or By-laws of the Corporation (including pursuant to a merger) if such action would adversely alter the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60"/>
          </w:cols>
          <w:pgMar w:left="240" w:top="267" w:right="299" w:bottom="1440" w:gutter="0" w:footer="0" w:header="0"/>
        </w:sectPr>
      </w:pPr>
    </w:p>
    <w:bookmarkStart w:id="234" w:name="page235"/>
    <w:bookmarkEnd w:id="234"/>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preferences, privileges or powers of, or restrictions provided for the benefit of the Preferred Stock or any series thereof;</w:t>
      </w:r>
    </w:p>
    <w:p>
      <w:pPr>
        <w:spacing w:after="0" w:line="187" w:lineRule="exact"/>
        <w:rPr>
          <w:sz w:val="20"/>
          <w:szCs w:val="20"/>
          <w:color w:val="auto"/>
        </w:rPr>
      </w:pPr>
    </w:p>
    <w:p>
      <w:pPr>
        <w:ind w:right="120" w:firstLine="1492"/>
        <w:spacing w:after="0" w:line="251" w:lineRule="auto"/>
        <w:tabs>
          <w:tab w:leader="none" w:pos="195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enter into any transaction or series of related transactions deemed to be a liquidation, dissolution or winding up of the Corporation pursuant to Section 5(h) above;</w:t>
      </w:r>
    </w:p>
    <w:p>
      <w:pPr>
        <w:spacing w:after="0" w:line="119" w:lineRule="exact"/>
        <w:rPr>
          <w:rFonts w:ascii="Arial" w:cs="Arial" w:eastAsia="Arial" w:hAnsi="Arial"/>
          <w:sz w:val="22"/>
          <w:szCs w:val="22"/>
          <w:color w:val="auto"/>
        </w:rPr>
      </w:pPr>
    </w:p>
    <w:p>
      <w:pPr>
        <w:ind w:left="1940" w:hanging="448"/>
        <w:spacing w:after="0"/>
        <w:tabs>
          <w:tab w:leader="none" w:pos="19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voluntarily liquidate or dissolve;</w:t>
      </w:r>
    </w:p>
    <w:p>
      <w:pPr>
        <w:spacing w:after="0" w:line="152" w:lineRule="exact"/>
        <w:rPr>
          <w:rFonts w:ascii="Arial" w:cs="Arial" w:eastAsia="Arial" w:hAnsi="Arial"/>
          <w:sz w:val="22"/>
          <w:szCs w:val="22"/>
          <w:color w:val="auto"/>
        </w:rPr>
      </w:pPr>
    </w:p>
    <w:p>
      <w:pPr>
        <w:ind w:right="560" w:firstLine="1492"/>
        <w:spacing w:after="0" w:line="251" w:lineRule="auto"/>
        <w:tabs>
          <w:tab w:leader="none" w:pos="195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declare or pay any distribution (as defined in Section 3(d) except for distributions upon a liquidation or dissolution) with respect to the Common Stock of the Corporation;</w:t>
      </w:r>
    </w:p>
    <w:p>
      <w:pPr>
        <w:spacing w:after="0" w:line="119" w:lineRule="exact"/>
        <w:rPr>
          <w:rFonts w:ascii="Arial" w:cs="Arial" w:eastAsia="Arial" w:hAnsi="Arial"/>
          <w:sz w:val="22"/>
          <w:szCs w:val="22"/>
          <w:color w:val="auto"/>
        </w:rPr>
      </w:pPr>
    </w:p>
    <w:p>
      <w:pPr>
        <w:ind w:right="360" w:firstLine="1492"/>
        <w:spacing w:after="0" w:line="251" w:lineRule="auto"/>
        <w:tabs>
          <w:tab w:leader="none" w:pos="1939" w:val="left"/>
        </w:tabs>
        <w:numPr>
          <w:ilvl w:val="1"/>
          <w:numId w:val="156"/>
        </w:numPr>
        <w:rPr>
          <w:rFonts w:ascii="Arial" w:cs="Arial" w:eastAsia="Arial" w:hAnsi="Arial"/>
          <w:sz w:val="22"/>
          <w:szCs w:val="22"/>
          <w:color w:val="auto"/>
        </w:rPr>
      </w:pPr>
      <w:r>
        <w:rPr>
          <w:rFonts w:ascii="Arial" w:cs="Arial" w:eastAsia="Arial" w:hAnsi="Arial"/>
          <w:sz w:val="22"/>
          <w:szCs w:val="22"/>
          <w:color w:val="auto"/>
        </w:rPr>
        <w:t>permit any subsidiary of the Corporation to sell securities to a third party (other than directors’ qualifying shares in the case of subsidiaries outside the United States);</w:t>
      </w:r>
    </w:p>
    <w:p>
      <w:pPr>
        <w:spacing w:after="0" w:line="119" w:lineRule="exact"/>
        <w:rPr>
          <w:rFonts w:ascii="Arial" w:cs="Arial" w:eastAsia="Arial" w:hAnsi="Arial"/>
          <w:sz w:val="22"/>
          <w:szCs w:val="22"/>
          <w:color w:val="auto"/>
        </w:rPr>
      </w:pPr>
    </w:p>
    <w:p>
      <w:pPr>
        <w:ind w:right="940" w:firstLine="1492"/>
        <w:spacing w:after="0" w:line="251" w:lineRule="auto"/>
        <w:tabs>
          <w:tab w:leader="none" w:pos="1915"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increase or decrease (other than for decreases resulting from conversion of the Preferred Stock) the authorized number of shares of Preferred Stock;</w:t>
      </w:r>
    </w:p>
    <w:p>
      <w:pPr>
        <w:spacing w:after="0" w:line="119" w:lineRule="exact"/>
        <w:rPr>
          <w:rFonts w:ascii="Arial" w:cs="Arial" w:eastAsia="Arial" w:hAnsi="Arial"/>
          <w:sz w:val="22"/>
          <w:szCs w:val="22"/>
          <w:color w:val="auto"/>
        </w:rPr>
      </w:pPr>
    </w:p>
    <w:p>
      <w:pPr>
        <w:ind w:right="180" w:firstLine="1492"/>
        <w:spacing w:after="0" w:line="297" w:lineRule="auto"/>
        <w:tabs>
          <w:tab w:leader="none" w:pos="195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authorize or create (by reclassification, merger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80" w:lineRule="exact"/>
        <w:rPr>
          <w:rFonts w:ascii="Arial" w:cs="Arial" w:eastAsia="Arial" w:hAnsi="Arial"/>
          <w:sz w:val="19"/>
          <w:szCs w:val="19"/>
          <w:color w:val="auto"/>
        </w:rPr>
      </w:pPr>
    </w:p>
    <w:p>
      <w:pPr>
        <w:ind w:left="1960" w:hanging="468"/>
        <w:spacing w:after="0"/>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increase or decrease the authorized number of directors of the Corporation; or</w:t>
      </w:r>
    </w:p>
    <w:p>
      <w:pPr>
        <w:spacing w:after="0" w:line="152" w:lineRule="exact"/>
        <w:rPr>
          <w:rFonts w:ascii="Arial" w:cs="Arial" w:eastAsia="Arial" w:hAnsi="Arial"/>
          <w:sz w:val="22"/>
          <w:szCs w:val="22"/>
          <w:color w:val="auto"/>
        </w:rPr>
      </w:pPr>
    </w:p>
    <w:p>
      <w:pPr>
        <w:ind w:left="1920" w:hanging="428"/>
        <w:spacing w:after="0"/>
        <w:tabs>
          <w:tab w:leader="none" w:pos="192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amend this Section 8.</w:t>
      </w:r>
    </w:p>
    <w:p>
      <w:pPr>
        <w:spacing w:after="0" w:line="152" w:lineRule="exact"/>
        <w:rPr>
          <w:rFonts w:ascii="Arial" w:cs="Arial" w:eastAsia="Arial" w:hAnsi="Arial"/>
          <w:sz w:val="22"/>
          <w:szCs w:val="22"/>
          <w:color w:val="auto"/>
        </w:rPr>
      </w:pPr>
    </w:p>
    <w:p>
      <w:pPr>
        <w:ind w:left="1180" w:hanging="373"/>
        <w:spacing w:after="0"/>
        <w:tabs>
          <w:tab w:leader="none" w:pos="1180"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Amendments and Changes Requiring the Approval of the Series E Preferred Stock and Series E-1 Preferred Stock</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firstLine="1492"/>
        <w:spacing w:after="0" w:line="258" w:lineRule="auto"/>
        <w:tabs>
          <w:tab w:leader="none" w:pos="1927"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As long as any of the Series E Preferred Stock shall be issued and outstanding, the Corporation shall not, without first obtaining the approval (by vote or written consent as provided by law) of the holders of at least 60% of the outstanding shares of the Series E Preferred Stock and Series E-1 Preferred Stock voting together as a single class:</w:t>
      </w:r>
    </w:p>
    <w:p>
      <w:pPr>
        <w:spacing w:after="0" w:line="112" w:lineRule="exact"/>
        <w:rPr>
          <w:rFonts w:ascii="Arial" w:cs="Arial" w:eastAsia="Arial" w:hAnsi="Arial"/>
          <w:sz w:val="21"/>
          <w:szCs w:val="21"/>
          <w:color w:val="auto"/>
        </w:rPr>
      </w:pPr>
    </w:p>
    <w:p>
      <w:pPr>
        <w:ind w:right="20" w:firstLine="2290"/>
        <w:spacing w:after="0" w:line="297" w:lineRule="auto"/>
        <w:tabs>
          <w:tab w:leader="none" w:pos="2702" w:val="left"/>
        </w:tabs>
        <w:numPr>
          <w:ilvl w:val="2"/>
          <w:numId w:val="157"/>
        </w:numPr>
        <w:rPr>
          <w:rFonts w:ascii="Arial" w:cs="Arial" w:eastAsia="Arial" w:hAnsi="Arial"/>
          <w:sz w:val="19"/>
          <w:szCs w:val="19"/>
          <w:color w:val="auto"/>
        </w:rPr>
      </w:pPr>
      <w:r>
        <w:rPr>
          <w:rFonts w:ascii="Arial" w:cs="Arial" w:eastAsia="Arial" w:hAnsi="Arial"/>
          <w:sz w:val="19"/>
          <w:szCs w:val="19"/>
          <w:color w:val="auto"/>
        </w:rPr>
        <w:t>amend, alter or repeal any provision of the Certificate of Incorporation of the Corporation (including pursuant to a merger) if such action would adversely alter the rights, preferences, privileges or powers of, or restrictions provided for the benefit of the Series E Preferred Stock in a manner different from any other series of Preferred Stock; or</w:t>
      </w:r>
    </w:p>
    <w:p>
      <w:pPr>
        <w:spacing w:after="0" w:line="80" w:lineRule="exact"/>
        <w:rPr>
          <w:rFonts w:ascii="Arial" w:cs="Arial" w:eastAsia="Arial" w:hAnsi="Arial"/>
          <w:sz w:val="19"/>
          <w:szCs w:val="19"/>
          <w:color w:val="auto"/>
        </w:rPr>
      </w:pPr>
    </w:p>
    <w:p>
      <w:pPr>
        <w:ind w:left="2780" w:hanging="490"/>
        <w:spacing w:after="0"/>
        <w:tabs>
          <w:tab w:leader="none" w:pos="2780" w:val="left"/>
        </w:tabs>
        <w:numPr>
          <w:ilvl w:val="2"/>
          <w:numId w:val="157"/>
        </w:numPr>
        <w:rPr>
          <w:rFonts w:ascii="Arial" w:cs="Arial" w:eastAsia="Arial" w:hAnsi="Arial"/>
          <w:sz w:val="22"/>
          <w:szCs w:val="22"/>
          <w:color w:val="auto"/>
        </w:rPr>
      </w:pPr>
      <w:r>
        <w:rPr>
          <w:rFonts w:ascii="Arial" w:cs="Arial" w:eastAsia="Arial" w:hAnsi="Arial"/>
          <w:sz w:val="22"/>
          <w:szCs w:val="22"/>
          <w:color w:val="auto"/>
        </w:rPr>
        <w:t>amend this Section 9(a).</w:t>
      </w:r>
    </w:p>
    <w:p>
      <w:pPr>
        <w:spacing w:after="0" w:line="152" w:lineRule="exact"/>
        <w:rPr>
          <w:rFonts w:ascii="Arial" w:cs="Arial" w:eastAsia="Arial" w:hAnsi="Arial"/>
          <w:sz w:val="22"/>
          <w:szCs w:val="22"/>
          <w:color w:val="auto"/>
        </w:rPr>
      </w:pPr>
    </w:p>
    <w:p>
      <w:pPr>
        <w:ind w:right="400" w:firstLine="1492"/>
        <w:spacing w:after="0" w:line="297" w:lineRule="auto"/>
        <w:tabs>
          <w:tab w:leader="none" w:pos="194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As long as any of the Series E Preferred Stock shall be issued and outstanding, the Corporation shall not, without first obtaining the approval (by vote or written consent as provided by law) of the holders of at least a majority of the outstanding shares of the Series E Preferred Stock and Series E-1 Preferred Stock voting together as a single class: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267" w:right="239" w:bottom="1440" w:gutter="0" w:footer="0" w:header="0"/>
        </w:sectPr>
      </w:pPr>
    </w:p>
    <w:bookmarkStart w:id="235" w:name="page236"/>
    <w:bookmarkEnd w:id="235"/>
    <w:p>
      <w:pPr>
        <w:ind w:left="-20" w:right="40" w:firstLine="2290"/>
        <w:spacing w:after="0" w:line="251" w:lineRule="auto"/>
        <w:tabs>
          <w:tab w:leader="none" w:pos="2682" w:val="left"/>
        </w:tabs>
        <w:numPr>
          <w:ilvl w:val="2"/>
          <w:numId w:val="15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or pay any distribution (as defined in Section 3(d) except for distributions upon a liquidation or dissolution) with respect to the Common Stock or Preferred Stock of the Corporation; or</w:t>
      </w:r>
    </w:p>
    <w:p>
      <w:pPr>
        <w:spacing w:after="0" w:line="119" w:lineRule="exact"/>
        <w:rPr>
          <w:rFonts w:ascii="Arial" w:cs="Arial" w:eastAsia="Arial" w:hAnsi="Arial"/>
          <w:sz w:val="22"/>
          <w:szCs w:val="22"/>
          <w:color w:val="auto"/>
        </w:rPr>
      </w:pPr>
    </w:p>
    <w:p>
      <w:pPr>
        <w:ind w:left="2760" w:hanging="490"/>
        <w:spacing w:after="0"/>
        <w:tabs>
          <w:tab w:leader="none" w:pos="276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amend this Section 9(b).</w:t>
      </w:r>
    </w:p>
    <w:p>
      <w:pPr>
        <w:spacing w:after="0" w:line="152" w:lineRule="exact"/>
        <w:rPr>
          <w:rFonts w:ascii="Arial" w:cs="Arial" w:eastAsia="Arial" w:hAnsi="Arial"/>
          <w:sz w:val="22"/>
          <w:szCs w:val="22"/>
          <w:color w:val="auto"/>
        </w:rPr>
      </w:pPr>
    </w:p>
    <w:p>
      <w:pPr>
        <w:ind w:left="-20" w:right="240" w:firstLine="1492"/>
        <w:spacing w:after="0" w:line="252" w:lineRule="auto"/>
        <w:tabs>
          <w:tab w:leader="none" w:pos="1907" w:val="left"/>
        </w:tabs>
        <w:numPr>
          <w:ilvl w:val="1"/>
          <w:numId w:val="159"/>
        </w:numPr>
        <w:rPr>
          <w:rFonts w:ascii="Arial" w:cs="Arial" w:eastAsia="Arial" w:hAnsi="Arial"/>
          <w:sz w:val="21"/>
          <w:szCs w:val="21"/>
          <w:color w:val="auto"/>
        </w:rPr>
      </w:pPr>
      <w:r>
        <w:rPr>
          <w:rFonts w:ascii="Arial" w:cs="Arial" w:eastAsia="Arial" w:hAnsi="Arial"/>
          <w:sz w:val="21"/>
          <w:szCs w:val="21"/>
          <w:color w:val="auto"/>
        </w:rPr>
        <w:t xml:space="preserve">As long as any of the Series E Preferred Stock shall be issued and outstanding, the Corporation shall not, without first obtaining the approval (by vote or written consent as provided by law) of the holders of at least 66 </w:t>
      </w:r>
      <w:r>
        <w:rPr>
          <w:rFonts w:ascii="Arial" w:cs="Arial" w:eastAsia="Arial" w:hAnsi="Arial"/>
          <w:sz w:val="13"/>
          <w:szCs w:val="13"/>
          <w:color w:val="auto"/>
        </w:rPr>
        <w:t>2</w:t>
      </w:r>
      <w:r>
        <w:rPr>
          <w:rFonts w:ascii="Arial" w:cs="Arial" w:eastAsia="Arial" w:hAnsi="Arial"/>
          <w:sz w:val="21"/>
          <w:szCs w:val="21"/>
          <w:color w:val="auto"/>
        </w:rPr>
        <w:t>/</w:t>
      </w:r>
      <w:r>
        <w:rPr>
          <w:rFonts w:ascii="Arial" w:cs="Arial" w:eastAsia="Arial" w:hAnsi="Arial"/>
          <w:sz w:val="16"/>
          <w:szCs w:val="16"/>
          <w:color w:val="auto"/>
        </w:rPr>
        <w:t>3</w:t>
      </w:r>
      <w:r>
        <w:rPr>
          <w:rFonts w:ascii="Arial" w:cs="Arial" w:eastAsia="Arial" w:hAnsi="Arial"/>
          <w:sz w:val="21"/>
          <w:szCs w:val="21"/>
          <w:color w:val="auto"/>
        </w:rPr>
        <w:t>% of the outstanding shares of the Series D Preferred Stock, Series D-1 Preferred Stock, Series E Preferred Stock and Series E-1 Preferred Stock voting together as a single class on an as converted to Common Stock basis:</w:t>
      </w:r>
    </w:p>
    <w:p>
      <w:pPr>
        <w:spacing w:after="0" w:line="120" w:lineRule="exact"/>
        <w:rPr>
          <w:rFonts w:ascii="Arial" w:cs="Arial" w:eastAsia="Arial" w:hAnsi="Arial"/>
          <w:sz w:val="21"/>
          <w:szCs w:val="21"/>
          <w:color w:val="auto"/>
        </w:rPr>
      </w:pPr>
    </w:p>
    <w:p>
      <w:pPr>
        <w:ind w:left="-20" w:right="160" w:firstLine="2290"/>
        <w:spacing w:after="0" w:line="251" w:lineRule="auto"/>
        <w:tabs>
          <w:tab w:leader="none" w:pos="2682" w:val="left"/>
        </w:tabs>
        <w:numPr>
          <w:ilvl w:val="2"/>
          <w:numId w:val="159"/>
        </w:numPr>
        <w:rPr>
          <w:rFonts w:ascii="Arial" w:cs="Arial" w:eastAsia="Arial" w:hAnsi="Arial"/>
          <w:sz w:val="22"/>
          <w:szCs w:val="22"/>
          <w:color w:val="auto"/>
        </w:rPr>
      </w:pPr>
      <w:r>
        <w:rPr>
          <w:rFonts w:ascii="Arial" w:cs="Arial" w:eastAsia="Arial" w:hAnsi="Arial"/>
          <w:sz w:val="22"/>
          <w:szCs w:val="22"/>
          <w:color w:val="auto"/>
        </w:rPr>
        <w:t>increase or decrease (other than for decreases resulting from conversion of the Preferred Stock) the authorized number of shares of Series E Preferred Stock;</w:t>
      </w:r>
    </w:p>
    <w:p>
      <w:pPr>
        <w:spacing w:after="0" w:line="119" w:lineRule="exact"/>
        <w:rPr>
          <w:rFonts w:ascii="Arial" w:cs="Arial" w:eastAsia="Arial" w:hAnsi="Arial"/>
          <w:sz w:val="22"/>
          <w:szCs w:val="22"/>
          <w:color w:val="auto"/>
        </w:rPr>
      </w:pPr>
    </w:p>
    <w:p>
      <w:pPr>
        <w:ind w:left="-20" w:right="20" w:firstLine="2290"/>
        <w:spacing w:after="0" w:line="297" w:lineRule="auto"/>
        <w:tabs>
          <w:tab w:leader="none" w:pos="2743" w:val="left"/>
        </w:tabs>
        <w:numPr>
          <w:ilvl w:val="2"/>
          <w:numId w:val="159"/>
        </w:numPr>
        <w:rPr>
          <w:rFonts w:ascii="Arial" w:cs="Arial" w:eastAsia="Arial" w:hAnsi="Arial"/>
          <w:sz w:val="19"/>
          <w:szCs w:val="19"/>
          <w:color w:val="auto"/>
        </w:rPr>
      </w:pPr>
      <w:r>
        <w:rPr>
          <w:rFonts w:ascii="Arial" w:cs="Arial" w:eastAsia="Arial" w:hAnsi="Arial"/>
          <w:sz w:val="19"/>
          <w:szCs w:val="19"/>
          <w:color w:val="auto"/>
        </w:rPr>
        <w:t>authorize or create (by reclassification, merger or otherwise) any new class or series of capital stock having rights, preferences or privileges with respect to dividends, payments upon liquidation or other rights senior to or on a parity with the Series E Preferred Stock or with respect to voting senior to the Series E Preferred Stock; or</w:t>
      </w:r>
    </w:p>
    <w:p>
      <w:pPr>
        <w:spacing w:after="0" w:line="80" w:lineRule="exact"/>
        <w:rPr>
          <w:rFonts w:ascii="Arial" w:cs="Arial" w:eastAsia="Arial" w:hAnsi="Arial"/>
          <w:sz w:val="19"/>
          <w:szCs w:val="19"/>
          <w:color w:val="auto"/>
        </w:rPr>
      </w:pPr>
    </w:p>
    <w:p>
      <w:pPr>
        <w:ind w:left="2820" w:hanging="550"/>
        <w:spacing w:after="0"/>
        <w:tabs>
          <w:tab w:leader="none" w:pos="2820" w:val="left"/>
        </w:tabs>
        <w:numPr>
          <w:ilvl w:val="2"/>
          <w:numId w:val="159"/>
        </w:numPr>
        <w:rPr>
          <w:rFonts w:ascii="Arial" w:cs="Arial" w:eastAsia="Arial" w:hAnsi="Arial"/>
          <w:sz w:val="22"/>
          <w:szCs w:val="22"/>
          <w:color w:val="auto"/>
        </w:rPr>
      </w:pPr>
      <w:r>
        <w:rPr>
          <w:rFonts w:ascii="Arial" w:cs="Arial" w:eastAsia="Arial" w:hAnsi="Arial"/>
          <w:sz w:val="22"/>
          <w:szCs w:val="22"/>
          <w:color w:val="auto"/>
        </w:rPr>
        <w:t>amend this Section 9(c).</w:t>
      </w:r>
    </w:p>
    <w:p>
      <w:pPr>
        <w:spacing w:after="0" w:line="152" w:lineRule="exact"/>
        <w:rPr>
          <w:rFonts w:ascii="Arial" w:cs="Arial" w:eastAsia="Arial" w:hAnsi="Arial"/>
          <w:sz w:val="22"/>
          <w:szCs w:val="22"/>
          <w:color w:val="auto"/>
        </w:rPr>
      </w:pPr>
    </w:p>
    <w:p>
      <w:pPr>
        <w:ind w:left="1280" w:hanging="493"/>
        <w:spacing w:after="0"/>
        <w:tabs>
          <w:tab w:leader="none" w:pos="128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Amendments and Changes Requiring the Approval of the Series D Preferred Stock and Series D-1 Preferred Stock</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20" w:firstLine="1492"/>
        <w:spacing w:after="0" w:line="258" w:lineRule="auto"/>
        <w:tabs>
          <w:tab w:leader="none" w:pos="1907" w:val="left"/>
        </w:tabs>
        <w:numPr>
          <w:ilvl w:val="1"/>
          <w:numId w:val="160"/>
        </w:numPr>
        <w:rPr>
          <w:rFonts w:ascii="Arial" w:cs="Arial" w:eastAsia="Arial" w:hAnsi="Arial"/>
          <w:sz w:val="21"/>
          <w:szCs w:val="21"/>
          <w:color w:val="auto"/>
        </w:rPr>
      </w:pPr>
      <w:r>
        <w:rPr>
          <w:rFonts w:ascii="Arial" w:cs="Arial" w:eastAsia="Arial" w:hAnsi="Arial"/>
          <w:sz w:val="21"/>
          <w:szCs w:val="21"/>
          <w:color w:val="auto"/>
        </w:rPr>
        <w:t>As long as any of the Series D Preferred Stock shall be issued and outstanding, the Corporation shall not, without first obtaining the approval (by vote or written consent as provided by law) of the holders of at least 60% of the outstanding shares of the Series D Preferred Stock and Series D-1 Preferred Stock voting together as a single class:</w:t>
      </w:r>
    </w:p>
    <w:p>
      <w:pPr>
        <w:spacing w:after="0" w:line="112" w:lineRule="exact"/>
        <w:rPr>
          <w:rFonts w:ascii="Arial" w:cs="Arial" w:eastAsia="Arial" w:hAnsi="Arial"/>
          <w:sz w:val="21"/>
          <w:szCs w:val="21"/>
          <w:color w:val="auto"/>
        </w:rPr>
      </w:pPr>
    </w:p>
    <w:p>
      <w:pPr>
        <w:ind w:left="-20" w:right="140" w:firstLine="2290"/>
        <w:spacing w:after="0" w:line="258" w:lineRule="auto"/>
        <w:tabs>
          <w:tab w:leader="none" w:pos="2682" w:val="left"/>
        </w:tabs>
        <w:numPr>
          <w:ilvl w:val="2"/>
          <w:numId w:val="160"/>
        </w:numPr>
        <w:rPr>
          <w:rFonts w:ascii="Arial" w:cs="Arial" w:eastAsia="Arial" w:hAnsi="Arial"/>
          <w:sz w:val="21"/>
          <w:szCs w:val="21"/>
          <w:color w:val="auto"/>
        </w:rPr>
      </w:pPr>
      <w:r>
        <w:rPr>
          <w:rFonts w:ascii="Arial" w:cs="Arial" w:eastAsia="Arial" w:hAnsi="Arial"/>
          <w:sz w:val="21"/>
          <w:szCs w:val="21"/>
          <w:color w:val="auto"/>
        </w:rPr>
        <w:t>amend, alter or repeal any provision of the Certificate of Incorporation of the Corporation if such action would adversely alter the rights, preferences, privileges or powers of, or restrictions provided for the benefit of the Series D Preferred Stock in a manner different from any other series of Preferred Stock; or</w:t>
      </w:r>
    </w:p>
    <w:p>
      <w:pPr>
        <w:spacing w:after="0" w:line="112" w:lineRule="exact"/>
        <w:rPr>
          <w:rFonts w:ascii="Arial" w:cs="Arial" w:eastAsia="Arial" w:hAnsi="Arial"/>
          <w:sz w:val="21"/>
          <w:szCs w:val="21"/>
          <w:color w:val="auto"/>
        </w:rPr>
      </w:pPr>
    </w:p>
    <w:p>
      <w:pPr>
        <w:ind w:left="2760" w:hanging="490"/>
        <w:spacing w:after="0"/>
        <w:tabs>
          <w:tab w:leader="none" w:pos="276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amend this Section 10(a).</w:t>
      </w:r>
    </w:p>
    <w:p>
      <w:pPr>
        <w:spacing w:after="0" w:line="152" w:lineRule="exact"/>
        <w:rPr>
          <w:rFonts w:ascii="Arial" w:cs="Arial" w:eastAsia="Arial" w:hAnsi="Arial"/>
          <w:sz w:val="22"/>
          <w:szCs w:val="22"/>
          <w:color w:val="auto"/>
        </w:rPr>
      </w:pPr>
    </w:p>
    <w:p>
      <w:pPr>
        <w:ind w:left="-20" w:right="380" w:firstLine="1492"/>
        <w:spacing w:after="0" w:line="297" w:lineRule="auto"/>
        <w:tabs>
          <w:tab w:leader="none" w:pos="192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As long as any of the Series D Preferred Stock shall be issued and outstanding, the Corporation shall not, without first obtaining the approval (by vote or written consent as provided by law) of the holders of at least a majority of the outstanding shares of the Series D Preferred Stock and Series D-1 Preferred Stock voting together as a single class:</w:t>
      </w:r>
    </w:p>
    <w:p>
      <w:pPr>
        <w:spacing w:after="0" w:line="80" w:lineRule="exact"/>
        <w:rPr>
          <w:rFonts w:ascii="Arial" w:cs="Arial" w:eastAsia="Arial" w:hAnsi="Arial"/>
          <w:sz w:val="19"/>
          <w:szCs w:val="19"/>
          <w:color w:val="auto"/>
        </w:rPr>
      </w:pPr>
    </w:p>
    <w:p>
      <w:pPr>
        <w:ind w:left="-20" w:right="160" w:firstLine="2290"/>
        <w:spacing w:after="0" w:line="251" w:lineRule="auto"/>
        <w:tabs>
          <w:tab w:leader="none" w:pos="2682" w:val="left"/>
        </w:tabs>
        <w:numPr>
          <w:ilvl w:val="2"/>
          <w:numId w:val="160"/>
        </w:numPr>
        <w:rPr>
          <w:rFonts w:ascii="Arial" w:cs="Arial" w:eastAsia="Arial" w:hAnsi="Arial"/>
          <w:sz w:val="22"/>
          <w:szCs w:val="22"/>
          <w:color w:val="auto"/>
        </w:rPr>
      </w:pPr>
      <w:r>
        <w:rPr>
          <w:rFonts w:ascii="Arial" w:cs="Arial" w:eastAsia="Arial" w:hAnsi="Arial"/>
          <w:sz w:val="22"/>
          <w:szCs w:val="22"/>
          <w:color w:val="auto"/>
        </w:rPr>
        <w:t>increase or decrease (other than for decreases resulting from conversion of the Preferred Stock) the authorized number of shares of Series D Preferred Stock;</w:t>
      </w:r>
    </w:p>
    <w:p>
      <w:pPr>
        <w:spacing w:after="0" w:line="119" w:lineRule="exact"/>
        <w:rPr>
          <w:rFonts w:ascii="Arial" w:cs="Arial" w:eastAsia="Arial" w:hAnsi="Arial"/>
          <w:sz w:val="22"/>
          <w:szCs w:val="22"/>
          <w:color w:val="auto"/>
        </w:rPr>
      </w:pPr>
    </w:p>
    <w:p>
      <w:pPr>
        <w:ind w:left="-20" w:right="80" w:firstLine="2290"/>
        <w:spacing w:after="0" w:line="251" w:lineRule="auto"/>
        <w:tabs>
          <w:tab w:leader="none" w:pos="2743" w:val="left"/>
        </w:tabs>
        <w:numPr>
          <w:ilvl w:val="2"/>
          <w:numId w:val="160"/>
        </w:numPr>
        <w:rPr>
          <w:rFonts w:ascii="Arial" w:cs="Arial" w:eastAsia="Arial" w:hAnsi="Arial"/>
          <w:sz w:val="22"/>
          <w:szCs w:val="22"/>
          <w:color w:val="auto"/>
        </w:rPr>
      </w:pPr>
      <w:r>
        <w:rPr>
          <w:rFonts w:ascii="Arial" w:cs="Arial" w:eastAsia="Arial" w:hAnsi="Arial"/>
          <w:sz w:val="22"/>
          <w:szCs w:val="22"/>
          <w:color w:val="auto"/>
        </w:rPr>
        <w:t>authorize or create (by reclassification or otherwise) any new class or series of capital stock having rights, preferences or privileges with respect to dividends, payments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60" w:top="267" w:right="239" w:bottom="1440" w:gutter="0" w:footer="0" w:header="0"/>
        </w:sectPr>
      </w:pPr>
    </w:p>
    <w:bookmarkStart w:id="236" w:name="page237"/>
    <w:bookmarkEnd w:id="236"/>
    <w:p>
      <w:pPr>
        <w:ind w:right="2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liquidation or other rights senior to or on a parity with the Series D Preferred Stock or with respect to voting senior to the Series D Preferred Stock;</w:t>
      </w:r>
    </w:p>
    <w:p>
      <w:pPr>
        <w:spacing w:after="0" w:line="119" w:lineRule="exact"/>
        <w:rPr>
          <w:sz w:val="20"/>
          <w:szCs w:val="20"/>
          <w:color w:val="auto"/>
        </w:rPr>
      </w:pPr>
    </w:p>
    <w:p>
      <w:pPr>
        <w:ind w:right="680" w:firstLine="2290"/>
        <w:spacing w:after="0" w:line="274" w:lineRule="auto"/>
        <w:tabs>
          <w:tab w:leader="none" w:pos="2823" w:val="left"/>
        </w:tabs>
        <w:numPr>
          <w:ilvl w:val="2"/>
          <w:numId w:val="161"/>
        </w:numPr>
        <w:rPr>
          <w:rFonts w:ascii="Arial" w:cs="Arial" w:eastAsia="Arial" w:hAnsi="Arial"/>
          <w:sz w:val="21"/>
          <w:szCs w:val="21"/>
          <w:color w:val="auto"/>
        </w:rPr>
      </w:pPr>
      <w:r>
        <w:rPr>
          <w:rFonts w:ascii="Arial" w:cs="Arial" w:eastAsia="Arial" w:hAnsi="Arial"/>
          <w:sz w:val="21"/>
          <w:szCs w:val="21"/>
          <w:color w:val="auto"/>
        </w:rPr>
        <w:t>declare or pay any distribution (as defined in Section 3(d) except for distributions upon a liquidation or dissolution) with respect to the Common Stock or Preferred Stock of the Corporation;</w:t>
      </w:r>
    </w:p>
    <w:p>
      <w:pPr>
        <w:spacing w:after="0" w:line="96" w:lineRule="exact"/>
        <w:rPr>
          <w:rFonts w:ascii="Arial" w:cs="Arial" w:eastAsia="Arial" w:hAnsi="Arial"/>
          <w:sz w:val="21"/>
          <w:szCs w:val="21"/>
          <w:color w:val="auto"/>
        </w:rPr>
      </w:pPr>
    </w:p>
    <w:p>
      <w:pPr>
        <w:ind w:left="2820" w:hanging="530"/>
        <w:spacing w:after="0"/>
        <w:tabs>
          <w:tab w:leader="none" w:pos="2820" w:val="left"/>
        </w:tabs>
        <w:numPr>
          <w:ilvl w:val="2"/>
          <w:numId w:val="161"/>
        </w:numPr>
        <w:rPr>
          <w:rFonts w:ascii="Arial" w:cs="Arial" w:eastAsia="Arial" w:hAnsi="Arial"/>
          <w:sz w:val="22"/>
          <w:szCs w:val="22"/>
          <w:color w:val="auto"/>
        </w:rPr>
      </w:pPr>
      <w:r>
        <w:rPr>
          <w:rFonts w:ascii="Arial" w:cs="Arial" w:eastAsia="Arial" w:hAnsi="Arial"/>
          <w:sz w:val="22"/>
          <w:szCs w:val="22"/>
          <w:color w:val="auto"/>
        </w:rPr>
        <w:t>increase the authorized number of directors of the Corporation above eleven (11); or</w:t>
      </w:r>
    </w:p>
    <w:p>
      <w:pPr>
        <w:spacing w:after="0" w:line="152" w:lineRule="exact"/>
        <w:rPr>
          <w:rFonts w:ascii="Arial" w:cs="Arial" w:eastAsia="Arial" w:hAnsi="Arial"/>
          <w:sz w:val="22"/>
          <w:szCs w:val="22"/>
          <w:color w:val="auto"/>
        </w:rPr>
      </w:pPr>
    </w:p>
    <w:p>
      <w:pPr>
        <w:ind w:left="2760" w:hanging="470"/>
        <w:spacing w:after="0"/>
        <w:tabs>
          <w:tab w:leader="none" w:pos="2760" w:val="left"/>
        </w:tabs>
        <w:numPr>
          <w:ilvl w:val="2"/>
          <w:numId w:val="161"/>
        </w:numPr>
        <w:rPr>
          <w:rFonts w:ascii="Arial" w:cs="Arial" w:eastAsia="Arial" w:hAnsi="Arial"/>
          <w:sz w:val="22"/>
          <w:szCs w:val="22"/>
          <w:color w:val="auto"/>
        </w:rPr>
      </w:pPr>
      <w:r>
        <w:rPr>
          <w:rFonts w:ascii="Arial" w:cs="Arial" w:eastAsia="Arial" w:hAnsi="Arial"/>
          <w:sz w:val="22"/>
          <w:szCs w:val="22"/>
          <w:color w:val="auto"/>
        </w:rPr>
        <w:t>amend this Section 10(b).</w:t>
      </w:r>
    </w:p>
    <w:p>
      <w:pPr>
        <w:spacing w:after="0" w:line="152" w:lineRule="exact"/>
        <w:rPr>
          <w:rFonts w:ascii="Arial" w:cs="Arial" w:eastAsia="Arial" w:hAnsi="Arial"/>
          <w:sz w:val="22"/>
          <w:szCs w:val="22"/>
          <w:color w:val="auto"/>
        </w:rPr>
      </w:pPr>
    </w:p>
    <w:p>
      <w:pPr>
        <w:jc w:val="both"/>
        <w:ind w:firstLine="807"/>
        <w:spacing w:after="0" w:line="297" w:lineRule="auto"/>
        <w:tabs>
          <w:tab w:leader="none" w:pos="1277"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Amendments and Changes Requiring the Approval of the Series C Preferred Stock</w:t>
      </w:r>
      <w:r>
        <w:rPr>
          <w:rFonts w:ascii="Arial" w:cs="Arial" w:eastAsia="Arial" w:hAnsi="Arial"/>
          <w:sz w:val="19"/>
          <w:szCs w:val="19"/>
          <w:color w:val="auto"/>
        </w:rPr>
        <w:t xml:space="preserve">. As long as any of the Series C Preferred Stock shall be issued and outstanding, the Corporation shall not, without first obtaining the approval (by vote or written consent as provided by law) of the holders of at least two-thirds (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5"/>
          <w:szCs w:val="15"/>
          <w:color w:val="auto"/>
        </w:rPr>
        <w:t>3</w:t>
      </w:r>
      <w:r>
        <w:rPr>
          <w:rFonts w:ascii="Arial" w:cs="Arial" w:eastAsia="Arial" w:hAnsi="Arial"/>
          <w:sz w:val="19"/>
          <w:szCs w:val="19"/>
          <w:color w:val="auto"/>
        </w:rPr>
        <w:t>) of the outstanding shares of the Series C Preferred Stock:</w:t>
      </w:r>
    </w:p>
    <w:p>
      <w:pPr>
        <w:spacing w:after="0" w:line="80" w:lineRule="exact"/>
        <w:rPr>
          <w:rFonts w:ascii="Arial" w:cs="Arial" w:eastAsia="Arial" w:hAnsi="Arial"/>
          <w:sz w:val="19"/>
          <w:szCs w:val="19"/>
          <w:color w:val="auto"/>
        </w:rPr>
      </w:pPr>
    </w:p>
    <w:p>
      <w:pPr>
        <w:ind w:right="280" w:firstLine="1492"/>
        <w:spacing w:after="0"/>
        <w:tabs>
          <w:tab w:leader="none" w:pos="193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amend, alter or repeal any provision of the Certificate of Incorporation of the Corporation if such action would adversely alter the rights, preferences, privileges or powers of, or restrictions provided for the benefit of the Series C Preferred Stock in a manner different from any other series of Preferred Stock;</w:t>
      </w:r>
    </w:p>
    <w:p>
      <w:pPr>
        <w:spacing w:after="0" w:line="132" w:lineRule="exact"/>
        <w:rPr>
          <w:rFonts w:ascii="Arial" w:cs="Arial" w:eastAsia="Arial" w:hAnsi="Arial"/>
          <w:sz w:val="22"/>
          <w:szCs w:val="22"/>
          <w:color w:val="auto"/>
        </w:rPr>
      </w:pPr>
    </w:p>
    <w:p>
      <w:pPr>
        <w:ind w:right="680" w:firstLine="1492"/>
        <w:spacing w:after="0" w:line="251" w:lineRule="auto"/>
        <w:tabs>
          <w:tab w:leader="none" w:pos="1952"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increase or decrease (other than for decreases resulting from conversion of the Preferred Stock) the authorized number of shares of Series C Preferred Stock;</w:t>
      </w:r>
    </w:p>
    <w:p>
      <w:pPr>
        <w:spacing w:after="0" w:line="119" w:lineRule="exact"/>
        <w:rPr>
          <w:rFonts w:ascii="Arial" w:cs="Arial" w:eastAsia="Arial" w:hAnsi="Arial"/>
          <w:sz w:val="22"/>
          <w:szCs w:val="22"/>
          <w:color w:val="auto"/>
        </w:rPr>
      </w:pPr>
    </w:p>
    <w:p>
      <w:pPr>
        <w:ind w:right="80" w:firstLine="1492"/>
        <w:spacing w:after="0"/>
        <w:tabs>
          <w:tab w:leader="none" w:pos="193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132" w:lineRule="exact"/>
        <w:rPr>
          <w:rFonts w:ascii="Arial" w:cs="Arial" w:eastAsia="Arial" w:hAnsi="Arial"/>
          <w:sz w:val="22"/>
          <w:szCs w:val="22"/>
          <w:color w:val="auto"/>
        </w:rPr>
      </w:pPr>
    </w:p>
    <w:p>
      <w:pPr>
        <w:ind w:right="340" w:firstLine="1492"/>
        <w:spacing w:after="0" w:line="251" w:lineRule="auto"/>
        <w:tabs>
          <w:tab w:leader="none" w:pos="1952" w:val="left"/>
        </w:tabs>
        <w:numPr>
          <w:ilvl w:val="1"/>
          <w:numId w:val="162"/>
        </w:numPr>
        <w:rPr>
          <w:rFonts w:ascii="Arial" w:cs="Arial" w:eastAsia="Arial" w:hAnsi="Arial"/>
          <w:sz w:val="22"/>
          <w:szCs w:val="22"/>
          <w:color w:val="auto"/>
        </w:rPr>
      </w:pPr>
      <w:r>
        <w:rPr>
          <w:rFonts w:ascii="Arial" w:cs="Arial" w:eastAsia="Arial" w:hAnsi="Arial"/>
          <w:sz w:val="22"/>
          <w:szCs w:val="22"/>
          <w:color w:val="auto"/>
        </w:rPr>
        <w:t>declare or pay any distribution (as defined in Section 3(d) except for distributions upon a liquidation or dissolution) with respect to the Common Stock or Preferred Stock of the Corporation;</w:t>
      </w:r>
    </w:p>
    <w:p>
      <w:pPr>
        <w:spacing w:after="0" w:line="119" w:lineRule="exact"/>
        <w:rPr>
          <w:rFonts w:ascii="Arial" w:cs="Arial" w:eastAsia="Arial" w:hAnsi="Arial"/>
          <w:sz w:val="22"/>
          <w:szCs w:val="22"/>
          <w:color w:val="auto"/>
        </w:rPr>
      </w:pPr>
    </w:p>
    <w:p>
      <w:pPr>
        <w:ind w:left="1940" w:hanging="448"/>
        <w:spacing w:after="0"/>
        <w:tabs>
          <w:tab w:leader="none" w:pos="194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increase the authorized number of directors of the Corporation above eleven (11); or</w:t>
      </w:r>
    </w:p>
    <w:p>
      <w:pPr>
        <w:spacing w:after="0" w:line="152" w:lineRule="exact"/>
        <w:rPr>
          <w:rFonts w:ascii="Arial" w:cs="Arial" w:eastAsia="Arial" w:hAnsi="Arial"/>
          <w:sz w:val="22"/>
          <w:szCs w:val="22"/>
          <w:color w:val="auto"/>
        </w:rPr>
      </w:pPr>
    </w:p>
    <w:p>
      <w:pPr>
        <w:ind w:left="1920" w:hanging="428"/>
        <w:spacing w:after="0"/>
        <w:tabs>
          <w:tab w:leader="none" w:pos="192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amend this Section 11.</w:t>
      </w:r>
    </w:p>
    <w:p>
      <w:pPr>
        <w:spacing w:after="0" w:line="152" w:lineRule="exact"/>
        <w:rPr>
          <w:rFonts w:ascii="Arial" w:cs="Arial" w:eastAsia="Arial" w:hAnsi="Arial"/>
          <w:sz w:val="22"/>
          <w:szCs w:val="22"/>
          <w:color w:val="auto"/>
        </w:rPr>
      </w:pPr>
    </w:p>
    <w:p>
      <w:pPr>
        <w:jc w:val="both"/>
        <w:ind w:firstLine="807"/>
        <w:spacing w:after="0" w:line="297" w:lineRule="auto"/>
        <w:tabs>
          <w:tab w:leader="none" w:pos="1285"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Amendments and Changes Requiring the Approval of the Series B Preferred Stock</w:t>
      </w:r>
      <w:r>
        <w:rPr>
          <w:rFonts w:ascii="Arial" w:cs="Arial" w:eastAsia="Arial" w:hAnsi="Arial"/>
          <w:sz w:val="19"/>
          <w:szCs w:val="19"/>
          <w:color w:val="auto"/>
        </w:rPr>
        <w:t>. As long as any of the Series B Preferred Stock shall be issued and outstanding, the Corporation shall not, without first obtaining the approval (by vote or written consent as provided by law) of the holders of at least two-thirds of the outstanding shares of the Series B Preferred Stock:</w:t>
      </w:r>
    </w:p>
    <w:p>
      <w:pPr>
        <w:spacing w:after="0" w:line="80" w:lineRule="exact"/>
        <w:rPr>
          <w:rFonts w:ascii="Arial" w:cs="Arial" w:eastAsia="Arial" w:hAnsi="Arial"/>
          <w:sz w:val="19"/>
          <w:szCs w:val="19"/>
          <w:color w:val="auto"/>
        </w:rPr>
      </w:pPr>
    </w:p>
    <w:p>
      <w:pPr>
        <w:ind w:right="280" w:firstLine="1492"/>
        <w:spacing w:after="0"/>
        <w:tabs>
          <w:tab w:leader="none" w:pos="193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amend, alter or repeal any provision of the Certificate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240" w:top="267" w:right="459" w:bottom="1440" w:gutter="0" w:footer="0" w:header="0"/>
        </w:sectPr>
      </w:pPr>
    </w:p>
    <w:bookmarkStart w:id="237" w:name="page238"/>
    <w:bookmarkEnd w:id="237"/>
    <w:p>
      <w:pPr>
        <w:ind w:right="840" w:firstLine="1492"/>
        <w:spacing w:after="0" w:line="251" w:lineRule="auto"/>
        <w:tabs>
          <w:tab w:leader="none" w:pos="1952" w:val="left"/>
        </w:tabs>
        <w:numPr>
          <w:ilvl w:val="1"/>
          <w:numId w:val="16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 or decrease (other than for decreases resulting from conversion of the Preferred Stock) the authorized number of shares of Series B Preferred Stock; or</w:t>
      </w:r>
    </w:p>
    <w:p>
      <w:pPr>
        <w:spacing w:after="0" w:line="119" w:lineRule="exact"/>
        <w:rPr>
          <w:rFonts w:ascii="Arial" w:cs="Arial" w:eastAsia="Arial" w:hAnsi="Arial"/>
          <w:sz w:val="22"/>
          <w:szCs w:val="22"/>
          <w:color w:val="auto"/>
        </w:rPr>
      </w:pPr>
    </w:p>
    <w:p>
      <w:pPr>
        <w:ind w:left="1940" w:hanging="448"/>
        <w:spacing w:after="0"/>
        <w:tabs>
          <w:tab w:leader="none" w:pos="194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amend this Section 12.</w:t>
      </w:r>
    </w:p>
    <w:p>
      <w:pPr>
        <w:spacing w:after="0" w:line="152" w:lineRule="exact"/>
        <w:rPr>
          <w:rFonts w:ascii="Arial" w:cs="Arial" w:eastAsia="Arial" w:hAnsi="Arial"/>
          <w:sz w:val="22"/>
          <w:szCs w:val="22"/>
          <w:color w:val="auto"/>
        </w:rPr>
      </w:pPr>
    </w:p>
    <w:p>
      <w:pPr>
        <w:ind w:right="240" w:firstLine="807"/>
        <w:spacing w:after="0" w:line="297" w:lineRule="auto"/>
        <w:tabs>
          <w:tab w:leader="none" w:pos="128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Status of Converted Stock.</w:t>
      </w:r>
      <w:r>
        <w:rPr>
          <w:rFonts w:ascii="Arial" w:cs="Arial" w:eastAsia="Arial" w:hAnsi="Arial"/>
          <w:sz w:val="19"/>
          <w:szCs w:val="19"/>
          <w:color w:val="auto"/>
        </w:rPr>
        <w:t xml:space="preserve"> In the event any shares of Preferred Stock shall be converted pursuant to Section 6 hereof, then the shares so converted shall be cancelled and shall not be issuable by the Corporation. The Certificate of Incorporation shall be appropriately amended to effect the corresponding reduction in the Corporation’s authorized capital stock.</w:t>
      </w:r>
    </w:p>
    <w:p>
      <w:pPr>
        <w:spacing w:after="0" w:line="80" w:lineRule="exact"/>
        <w:rPr>
          <w:rFonts w:ascii="Arial" w:cs="Arial" w:eastAsia="Arial" w:hAnsi="Arial"/>
          <w:sz w:val="19"/>
          <w:szCs w:val="19"/>
          <w:color w:val="auto"/>
        </w:rPr>
      </w:pPr>
    </w:p>
    <w:p>
      <w:pPr>
        <w:ind w:right="140" w:firstLine="807"/>
        <w:spacing w:after="0"/>
        <w:tabs>
          <w:tab w:leader="none" w:pos="1285"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w:t>
      </w:r>
    </w:p>
    <w:p>
      <w:pPr>
        <w:spacing w:after="0" w:line="152" w:lineRule="exact"/>
        <w:rPr>
          <w:sz w:val="20"/>
          <w:szCs w:val="20"/>
          <w:color w:val="auto"/>
        </w:rPr>
      </w:pPr>
    </w:p>
    <w:p>
      <w:pPr>
        <w:ind w:right="580" w:firstLine="799"/>
        <w:spacing w:after="0"/>
        <w:rPr>
          <w:sz w:val="20"/>
          <w:szCs w:val="20"/>
          <w:color w:val="auto"/>
        </w:rPr>
      </w:pPr>
      <w:r>
        <w:rPr>
          <w:rFonts w:ascii="Arial" w:cs="Arial" w:eastAsia="Arial" w:hAnsi="Arial"/>
          <w:sz w:val="22"/>
          <w:szCs w:val="22"/>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right.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Corporation is to have perpetual existence.</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VII</w:t>
      </w:r>
    </w:p>
    <w:p>
      <w:pPr>
        <w:spacing w:after="0" w:line="152" w:lineRule="exact"/>
        <w:rPr>
          <w:sz w:val="20"/>
          <w:szCs w:val="20"/>
          <w:color w:val="auto"/>
        </w:rPr>
      </w:pPr>
    </w:p>
    <w:p>
      <w:pPr>
        <w:ind w:right="40" w:firstLine="799"/>
        <w:spacing w:after="0" w:line="251" w:lineRule="auto"/>
        <w:rPr>
          <w:sz w:val="20"/>
          <w:szCs w:val="20"/>
          <w:color w:val="auto"/>
        </w:rPr>
      </w:pPr>
      <w:r>
        <w:rPr>
          <w:rFonts w:ascii="Arial" w:cs="Arial" w:eastAsia="Arial" w:hAnsi="Arial"/>
          <w:sz w:val="22"/>
          <w:szCs w:val="22"/>
          <w:color w:val="auto"/>
        </w:rPr>
        <w:t>Elections of directors need not be by written ballot unless a stockholder demands election by written ballot at the meeting and before voting begins or unless the Bylaws of the Corporation shall so provide.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VIII</w:t>
      </w:r>
    </w:p>
    <w:p>
      <w:pPr>
        <w:spacing w:after="0" w:line="152"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Unless otherwise set forth herein, the number of directors which constitute the Board of Directors of the Corporation shall be designated in the Bylaws of the Corporation.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IX</w:t>
      </w:r>
    </w:p>
    <w:p>
      <w:pPr>
        <w:spacing w:after="0" w:line="152" w:lineRule="exact"/>
        <w:rPr>
          <w:sz w:val="20"/>
          <w:szCs w:val="20"/>
          <w:color w:val="auto"/>
        </w:rPr>
      </w:pPr>
    </w:p>
    <w:p>
      <w:pPr>
        <w:ind w:right="220" w:firstLine="799"/>
        <w:spacing w:after="0" w:line="251" w:lineRule="auto"/>
        <w:rPr>
          <w:sz w:val="20"/>
          <w:szCs w:val="20"/>
          <w:color w:val="auto"/>
        </w:rPr>
      </w:pPr>
      <w:r>
        <w:rPr>
          <w:rFonts w:ascii="Arial" w:cs="Arial" w:eastAsia="Arial" w:hAnsi="Arial"/>
          <w:sz w:val="22"/>
          <w:szCs w:val="22"/>
          <w:color w:val="auto"/>
        </w:rPr>
        <w:t>In furtherance and not in limitation of the powers conferred by statute, the Board of Directors is expressly authorized to make, alter, amend or repeal the Bylaws of the Corporation.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60"/>
          </w:cols>
          <w:pgMar w:left="240" w:top="267" w:right="29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152" w:lineRule="exact"/>
        <w:rPr>
          <w:sz w:val="20"/>
          <w:szCs w:val="20"/>
          <w:color w:val="auto"/>
        </w:rPr>
      </w:pPr>
    </w:p>
    <w:p>
      <w:pPr>
        <w:jc w:val="both"/>
        <w:ind w:right="520" w:firstLine="807"/>
        <w:spacing w:after="0" w:line="297" w:lineRule="auto"/>
        <w:tabs>
          <w:tab w:leader="none" w:pos="1177"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Limitation of Directors’ Liability</w:t>
      </w:r>
      <w:r>
        <w:rPr>
          <w:rFonts w:ascii="Arial" w:cs="Arial" w:eastAsia="Arial" w:hAnsi="Arial"/>
          <w:sz w:val="19"/>
          <w:szCs w:val="19"/>
          <w:color w:val="auto"/>
        </w:rPr>
        <w:t>. To the fullest extent permitted by the General Corporation Law of the State of Delaware as the same exists or as may hereafter be amended, a director of the Corporation shall not be personally liable to the Corporation or its stockholders for monetary damages for breach of fiduciary duty as a director.</w:t>
      </w:r>
    </w:p>
    <w:p>
      <w:pPr>
        <w:spacing w:after="0" w:line="80" w:lineRule="exact"/>
        <w:rPr>
          <w:rFonts w:ascii="Arial" w:cs="Arial" w:eastAsia="Arial" w:hAnsi="Arial"/>
          <w:sz w:val="19"/>
          <w:szCs w:val="19"/>
          <w:color w:val="auto"/>
        </w:rPr>
      </w:pPr>
    </w:p>
    <w:p>
      <w:pPr>
        <w:ind w:firstLine="807"/>
        <w:spacing w:after="0" w:line="236" w:lineRule="auto"/>
        <w:tabs>
          <w:tab w:leader="none" w:pos="1177"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Corporation may indemnify to the fullest extent permitted by law any person made or threatened to be made a party to an action or proceeding, whether criminal, civil, administrative or investigative, by reason of the fact that such person or his or her testator or intestate is or was a director, officer or employee of the Corporation, or any predecessor of the Corporation, or serves or served at any other enterprise as a director, officer or employee at the request of the Corporation or any predecessor to the Corporation.</w:t>
      </w:r>
    </w:p>
    <w:p>
      <w:pPr>
        <w:spacing w:after="0" w:line="133" w:lineRule="exact"/>
        <w:rPr>
          <w:rFonts w:ascii="Arial" w:cs="Arial" w:eastAsia="Arial" w:hAnsi="Arial"/>
          <w:sz w:val="22"/>
          <w:szCs w:val="22"/>
          <w:color w:val="auto"/>
        </w:rPr>
      </w:pPr>
    </w:p>
    <w:p>
      <w:pPr>
        <w:ind w:firstLine="807"/>
        <w:spacing w:after="0" w:line="238" w:lineRule="auto"/>
        <w:tabs>
          <w:tab w:leader="none" w:pos="1177"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Neither any amendment nor repeal of this Article X, nor the adoption of any provision of the Corporation’s Certificate of Incorporation inconsistent with this Article X, shall eliminate or reduce the effect of this Article X, in respect of any matter occurring, or any action or proceeding accruing or arising or that, but for this Article X, would accrue or arise, prior to such amendment, repeal, or adoption of an inconsistent provision.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XI</w:t>
      </w:r>
    </w:p>
    <w:p>
      <w:pPr>
        <w:spacing w:after="0" w:line="152" w:lineRule="exact"/>
        <w:rPr>
          <w:sz w:val="20"/>
          <w:szCs w:val="20"/>
          <w:color w:val="auto"/>
        </w:rPr>
      </w:pPr>
    </w:p>
    <w:p>
      <w:pPr>
        <w:jc w:val="both"/>
        <w:ind w:right="60" w:firstLine="799"/>
        <w:spacing w:after="0" w:line="297" w:lineRule="auto"/>
        <w:rPr>
          <w:sz w:val="20"/>
          <w:szCs w:val="20"/>
          <w:color w:val="auto"/>
        </w:rPr>
      </w:pPr>
      <w:r>
        <w:rPr>
          <w:rFonts w:ascii="Arial" w:cs="Arial" w:eastAsia="Arial" w:hAnsi="Arial"/>
          <w:sz w:val="19"/>
          <w:szCs w:val="19"/>
          <w:color w:val="auto"/>
        </w:rPr>
        <w:t>Meetings of the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 * *</w:t>
      </w:r>
    </w:p>
    <w:p>
      <w:pPr>
        <w:spacing w:after="0" w:line="13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267"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t>Exhibit 3.2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EIGHTH AMENDED AND RESTATED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52" w:lineRule="exact"/>
        <w:rPr>
          <w:sz w:val="20"/>
          <w:szCs w:val="20"/>
          <w:color w:val="auto"/>
        </w:rPr>
      </w:pPr>
    </w:p>
    <w:p>
      <w:pPr>
        <w:ind w:right="20" w:firstLine="799"/>
        <w:spacing w:after="0" w:line="256" w:lineRule="auto"/>
        <w:rPr>
          <w:sz w:val="20"/>
          <w:szCs w:val="20"/>
          <w:color w:val="auto"/>
        </w:rPr>
      </w:pPr>
      <w:r>
        <w:rPr>
          <w:rFonts w:ascii="Arial" w:cs="Arial" w:eastAsia="Arial" w:hAnsi="Arial"/>
          <w:sz w:val="22"/>
          <w:szCs w:val="22"/>
          <w:color w:val="auto"/>
        </w:rPr>
        <w:t>Fluidigm Corporation, a corporation organized and existing under the laws of the State of Delaware (the “</w:t>
      </w:r>
      <w:r>
        <w:rPr>
          <w:rFonts w:ascii="Arial" w:cs="Arial" w:eastAsia="Arial" w:hAnsi="Arial"/>
          <w:sz w:val="22"/>
          <w:szCs w:val="22"/>
          <w:b w:val="1"/>
          <w:bCs w:val="1"/>
          <w:color w:val="auto"/>
        </w:rPr>
        <w:t>Corporation</w:t>
      </w:r>
      <w:r>
        <w:rPr>
          <w:rFonts w:ascii="Arial" w:cs="Arial" w:eastAsia="Arial" w:hAnsi="Arial"/>
          <w:sz w:val="22"/>
          <w:szCs w:val="22"/>
          <w:color w:val="auto"/>
        </w:rPr>
        <w:t>”), certifies that:</w:t>
      </w:r>
    </w:p>
    <w:p>
      <w:pPr>
        <w:spacing w:after="0" w:line="115" w:lineRule="exact"/>
        <w:rPr>
          <w:sz w:val="20"/>
          <w:szCs w:val="20"/>
          <w:color w:val="auto"/>
        </w:rPr>
      </w:pPr>
    </w:p>
    <w:p>
      <w:pPr>
        <w:jc w:val="both"/>
        <w:ind w:firstLine="807"/>
        <w:spacing w:after="0"/>
        <w:tabs>
          <w:tab w:leader="none" w:pos="161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name of the Corporation is Fluidigm Corporation. The Corporation was originally incorporated under the same name, and its original Certificate of Incorporation was filed with the Secretary of State of the State of Delaware on March 29, 2007.</w:t>
      </w:r>
    </w:p>
    <w:p>
      <w:pPr>
        <w:spacing w:after="0" w:line="126" w:lineRule="exact"/>
        <w:rPr>
          <w:rFonts w:ascii="Arial" w:cs="Arial" w:eastAsia="Arial" w:hAnsi="Arial"/>
          <w:sz w:val="22"/>
          <w:szCs w:val="22"/>
          <w:color w:val="auto"/>
        </w:rPr>
      </w:pPr>
    </w:p>
    <w:p>
      <w:pPr>
        <w:jc w:val="both"/>
        <w:ind w:firstLine="807"/>
        <w:spacing w:after="0" w:line="239" w:lineRule="auto"/>
        <w:tabs>
          <w:tab w:leader="none" w:pos="160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This Eighth Amended and Restated Certificate of Incorporation (this “</w:t>
      </w:r>
      <w:r>
        <w:rPr>
          <w:rFonts w:ascii="Arial" w:cs="Arial" w:eastAsia="Arial" w:hAnsi="Arial"/>
          <w:sz w:val="22"/>
          <w:szCs w:val="22"/>
          <w:b w:val="1"/>
          <w:bCs w:val="1"/>
          <w:color w:val="auto"/>
        </w:rPr>
        <w:t>Amended and Restated Certificate of</w:t>
      </w:r>
      <w:r>
        <w:rPr>
          <w:rFonts w:ascii="Arial" w:cs="Arial" w:eastAsia="Arial" w:hAnsi="Arial"/>
          <w:sz w:val="22"/>
          <w:szCs w:val="22"/>
          <w:color w:val="auto"/>
        </w:rPr>
        <w:t xml:space="preserve"> </w:t>
      </w:r>
      <w:r>
        <w:rPr>
          <w:rFonts w:ascii="Arial" w:cs="Arial" w:eastAsia="Arial" w:hAnsi="Arial"/>
          <w:sz w:val="22"/>
          <w:szCs w:val="22"/>
          <w:b w:val="1"/>
          <w:bCs w:val="1"/>
          <w:color w:val="auto"/>
        </w:rPr>
        <w:t>Incorporation</w:t>
      </w:r>
      <w:r>
        <w:rPr>
          <w:rFonts w:ascii="Arial" w:cs="Arial" w:eastAsia="Arial" w:hAnsi="Arial"/>
          <w:sz w:val="22"/>
          <w:szCs w:val="22"/>
          <w:color w:val="auto"/>
        </w:rPr>
        <w:t>”) was duly adopted in accordance with Sections 242 and 245 of the General Corporation Law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and has been duly approved by the written consent of the stockholders of the Corporation in accordance with Section 228 of the General Corporation Law of the State of Delaware.</w:t>
      </w:r>
    </w:p>
    <w:p>
      <w:pPr>
        <w:spacing w:after="0" w:line="132" w:lineRule="exact"/>
        <w:rPr>
          <w:rFonts w:ascii="Arial" w:cs="Arial" w:eastAsia="Arial" w:hAnsi="Arial"/>
          <w:sz w:val="22"/>
          <w:szCs w:val="22"/>
          <w:color w:val="auto"/>
        </w:rPr>
      </w:pPr>
    </w:p>
    <w:p>
      <w:pPr>
        <w:ind w:firstLine="807"/>
        <w:spacing w:after="0" w:line="251" w:lineRule="auto"/>
        <w:tabs>
          <w:tab w:leader="none" w:pos="147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The text of the Seventh Amended and Restated Certificate of Incorporation is amended and restated to read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19" w:lineRule="exact"/>
        <w:rPr>
          <w:sz w:val="20"/>
          <w:szCs w:val="20"/>
          <w:color w:val="auto"/>
        </w:rPr>
      </w:pPr>
    </w:p>
    <w:p>
      <w:pPr>
        <w:ind w:right="20" w:firstLine="799"/>
        <w:spacing w:after="0" w:line="251" w:lineRule="auto"/>
        <w:rPr>
          <w:sz w:val="20"/>
          <w:szCs w:val="20"/>
          <w:color w:val="auto"/>
        </w:rPr>
      </w:pPr>
      <w:r>
        <w:rPr>
          <w:rFonts w:ascii="Arial" w:cs="Arial" w:eastAsia="Arial" w:hAnsi="Arial"/>
          <w:sz w:val="22"/>
          <w:szCs w:val="22"/>
          <w:color w:val="auto"/>
        </w:rPr>
        <w:t>IN WITNESS WHEREOF, Fluidigm Corporation has caused this Amended and Restated Certificate of Incorporation to be signed by Gajus V. Worthington, a duly authorized officer of the Corporation, on January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269240</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-38735</wp:posOffset>
            </wp:positionV>
            <wp:extent cx="137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Gajus V. Worthington</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1420"/>
          </w:cols>
          <w:pgMar w:left="240" w:top="112" w:right="239" w:bottom="1440" w:gutter="0" w:footer="0" w:header="0"/>
        </w:sectPr>
      </w:pPr>
    </w:p>
    <w:bookmarkStart w:id="240" w:name="page241"/>
    <w:bookmarkEnd w:id="240"/>
    <w:p>
      <w:pPr>
        <w:ind w:left="514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name of the corporation is Fluidigm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w:t>
      </w:r>
    </w:p>
    <w:p>
      <w:pPr>
        <w:spacing w:after="0" w:line="15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158" w:lineRule="exact"/>
        <w:rPr>
          <w:sz w:val="20"/>
          <w:szCs w:val="20"/>
          <w:color w:val="auto"/>
        </w:rPr>
      </w:pPr>
    </w:p>
    <w:p>
      <w:pPr>
        <w:jc w:val="both"/>
        <w:ind w:right="20" w:firstLine="799"/>
        <w:spacing w:after="0" w:line="328" w:lineRule="auto"/>
        <w:rPr>
          <w:sz w:val="20"/>
          <w:szCs w:val="20"/>
          <w:color w:val="auto"/>
        </w:rPr>
      </w:pPr>
      <w:r>
        <w:rPr>
          <w:rFonts w:ascii="Arial" w:cs="Arial" w:eastAsia="Arial" w:hAnsi="Arial"/>
          <w:sz w:val="19"/>
          <w:szCs w:val="19"/>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58" w:lineRule="exact"/>
        <w:rPr>
          <w:sz w:val="20"/>
          <w:szCs w:val="20"/>
          <w:color w:val="auto"/>
        </w:rPr>
      </w:pPr>
    </w:p>
    <w:p>
      <w:pPr>
        <w:jc w:val="both"/>
        <w:ind w:firstLine="799"/>
        <w:spacing w:after="0" w:line="274" w:lineRule="auto"/>
        <w:rPr>
          <w:sz w:val="20"/>
          <w:szCs w:val="20"/>
          <w:color w:val="auto"/>
        </w:rPr>
      </w:pPr>
      <w:r>
        <w:rPr>
          <w:rFonts w:ascii="Arial" w:cs="Arial" w:eastAsia="Arial" w:hAnsi="Arial"/>
          <w:sz w:val="21"/>
          <w:szCs w:val="21"/>
          <w:color w:val="auto"/>
        </w:rPr>
        <w:t>The nature of the business or purposes to be conducted or promoted by the Corporation is to engage in any lawful act or activity for which corporations may be organized under the Delaware General Corporation Law (“</w:t>
      </w:r>
      <w:r>
        <w:rPr>
          <w:rFonts w:ascii="Arial" w:cs="Arial" w:eastAsia="Arial" w:hAnsi="Arial"/>
          <w:sz w:val="21"/>
          <w:szCs w:val="21"/>
          <w:b w:val="1"/>
          <w:bCs w:val="1"/>
          <w:color w:val="auto"/>
        </w:rPr>
        <w:t>DGCL</w:t>
      </w:r>
      <w:r>
        <w:rPr>
          <w:rFonts w:ascii="Arial" w:cs="Arial" w:eastAsia="Arial" w:hAnsi="Arial"/>
          <w:sz w:val="21"/>
          <w:szCs w:val="21"/>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58" w:lineRule="exact"/>
        <w:rPr>
          <w:sz w:val="20"/>
          <w:szCs w:val="20"/>
          <w:color w:val="auto"/>
        </w:rPr>
      </w:pPr>
    </w:p>
    <w:p>
      <w:pPr>
        <w:jc w:val="both"/>
        <w:ind w:firstLine="799"/>
        <w:spacing w:after="0" w:line="238" w:lineRule="auto"/>
        <w:rPr>
          <w:sz w:val="20"/>
          <w:szCs w:val="20"/>
          <w:color w:val="auto"/>
        </w:rPr>
      </w:pPr>
      <w:r>
        <w:rPr>
          <w:rFonts w:ascii="Arial" w:cs="Arial" w:eastAsia="Arial" w:hAnsi="Arial"/>
          <w:sz w:val="22"/>
          <w:szCs w:val="22"/>
          <w:color w:val="auto"/>
        </w:rPr>
        <w:t>Section 1. This Corporation is authorized to issue two classes of stock, to be designated, respectively, Common Stock and Preferred Stock. The total number of shares of stock that the Corporation shall have authority to issue is two hundred ten million (210,000,000) shares, of which two hundred million (200,000,000) shares are Common Stock, $0.001 par value, and ten million (10,000,000) shares are Preferred Stock, $0.001 par value.</w:t>
      </w:r>
    </w:p>
    <w:p>
      <w:pPr>
        <w:spacing w:after="0" w:line="131"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Section 2. Each share of Common Stock shall entitle the holder thereof to one (1) vote on any matter submitted to a vote at a meeting of stockholders.</w:t>
      </w:r>
    </w:p>
    <w:p>
      <w:pPr>
        <w:spacing w:after="0" w:line="119" w:lineRule="exact"/>
        <w:rPr>
          <w:sz w:val="20"/>
          <w:szCs w:val="20"/>
          <w:color w:val="auto"/>
        </w:rPr>
      </w:pPr>
    </w:p>
    <w:p>
      <w:pPr>
        <w:jc w:val="both"/>
        <w:ind w:firstLine="799"/>
        <w:spacing w:after="0" w:line="272" w:lineRule="auto"/>
        <w:rPr>
          <w:sz w:val="20"/>
          <w:szCs w:val="20"/>
          <w:color w:val="auto"/>
        </w:rPr>
      </w:pPr>
      <w:r>
        <w:rPr>
          <w:rFonts w:ascii="Arial" w:cs="Arial" w:eastAsia="Arial" w:hAnsi="Arial"/>
          <w:sz w:val="19"/>
          <w:szCs w:val="19"/>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1" w:right="239" w:bottom="1440" w:gutter="0" w:footer="0" w:header="0"/>
        </w:sectPr>
      </w:pPr>
    </w:p>
    <w:bookmarkStart w:id="241" w:name="page242"/>
    <w:bookmarkEnd w:id="241"/>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132" w:lineRule="exact"/>
        <w:rPr>
          <w:sz w:val="20"/>
          <w:szCs w:val="20"/>
          <w:color w:val="auto"/>
        </w:rPr>
      </w:pPr>
    </w:p>
    <w:p>
      <w:pPr>
        <w:jc w:val="both"/>
        <w:ind w:firstLine="799"/>
        <w:spacing w:after="0" w:line="235" w:lineRule="auto"/>
        <w:rPr>
          <w:sz w:val="20"/>
          <w:szCs w:val="20"/>
          <w:color w:val="auto"/>
        </w:rPr>
      </w:pPr>
      <w:r>
        <w:rPr>
          <w:rFonts w:ascii="Arial" w:cs="Arial" w:eastAsia="Arial" w:hAnsi="Arial"/>
          <w:sz w:val="22"/>
          <w:szCs w:val="22"/>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58" w:lineRule="exact"/>
        <w:rPr>
          <w:sz w:val="20"/>
          <w:szCs w:val="20"/>
          <w:color w:val="auto"/>
        </w:rPr>
      </w:pPr>
    </w:p>
    <w:p>
      <w:pPr>
        <w:jc w:val="both"/>
        <w:ind w:firstLine="799"/>
        <w:spacing w:after="0" w:line="282" w:lineRule="auto"/>
        <w:rPr>
          <w:sz w:val="20"/>
          <w:szCs w:val="20"/>
          <w:color w:val="auto"/>
        </w:rPr>
      </w:pPr>
      <w:r>
        <w:rPr>
          <w:rFonts w:ascii="Arial" w:cs="Arial" w:eastAsia="Arial" w:hAnsi="Arial"/>
          <w:sz w:val="19"/>
          <w:szCs w:val="19"/>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94" w:lineRule="exact"/>
        <w:rPr>
          <w:sz w:val="20"/>
          <w:szCs w:val="20"/>
          <w:color w:val="auto"/>
        </w:rPr>
      </w:pPr>
    </w:p>
    <w:p>
      <w:pPr>
        <w:jc w:val="both"/>
        <w:ind w:firstLine="799"/>
        <w:spacing w:after="0" w:line="269" w:lineRule="auto"/>
        <w:rPr>
          <w:sz w:val="20"/>
          <w:szCs w:val="20"/>
          <w:color w:val="auto"/>
        </w:rPr>
      </w:pPr>
      <w:r>
        <w:rPr>
          <w:rFonts w:ascii="Arial" w:cs="Arial" w:eastAsia="Arial" w:hAnsi="Arial"/>
          <w:sz w:val="19"/>
          <w:szCs w:val="19"/>
          <w:color w:val="auto"/>
        </w:rPr>
        <w:t>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w:t>
      </w:r>
    </w:p>
    <w:p>
      <w:pPr>
        <w:spacing w:after="0" w:line="4" w:lineRule="exact"/>
        <w:rPr>
          <w:sz w:val="20"/>
          <w:szCs w:val="20"/>
          <w:color w:val="auto"/>
        </w:rPr>
      </w:pPr>
    </w:p>
    <w:p>
      <w:pPr>
        <w:jc w:val="both"/>
        <w:ind w:firstLine="8"/>
        <w:spacing w:after="0" w:line="277" w:lineRule="auto"/>
        <w:tabs>
          <w:tab w:leader="none" w:pos="27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decrease in the number of directors constituting the Board of Directors shall shorten the term of any incumbent director.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58"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Section 1. Any director or the entire Board of Directors may be removed from office at any time, but only for cause, and only by the affirmative vote of the holders of at least a majority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242" w:name="page243"/>
    <w:bookmarkEnd w:id="24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voting power of the issued and outstanding capital stock of the Corporation entitled to vote in the election of directors.</w:t>
      </w:r>
    </w:p>
    <w:p>
      <w:pPr>
        <w:spacing w:after="0" w:line="164" w:lineRule="exact"/>
        <w:rPr>
          <w:sz w:val="20"/>
          <w:szCs w:val="20"/>
          <w:color w:val="auto"/>
        </w:rPr>
      </w:pPr>
    </w:p>
    <w:p>
      <w:pPr>
        <w:jc w:val="both"/>
        <w:ind w:firstLine="799"/>
        <w:spacing w:after="0" w:line="274" w:lineRule="auto"/>
        <w:rPr>
          <w:sz w:val="20"/>
          <w:szCs w:val="20"/>
          <w:color w:val="auto"/>
        </w:rPr>
      </w:pPr>
      <w:r>
        <w:rPr>
          <w:rFonts w:ascii="Arial" w:cs="Arial" w:eastAsia="Arial" w:hAnsi="Arial"/>
          <w:sz w:val="19"/>
          <w:szCs w:val="19"/>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9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VII</w:t>
      </w:r>
    </w:p>
    <w:p>
      <w:pPr>
        <w:spacing w:after="0" w:line="158" w:lineRule="exact"/>
        <w:rPr>
          <w:sz w:val="20"/>
          <w:szCs w:val="20"/>
          <w:color w:val="auto"/>
        </w:rPr>
      </w:pPr>
    </w:p>
    <w:p>
      <w:pPr>
        <w:ind w:left="800"/>
        <w:spacing w:after="0"/>
        <w:tabs>
          <w:tab w:leader="none" w:pos="20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The Corporation is to have perpetual existence.</w:t>
      </w:r>
    </w:p>
    <w:p>
      <w:pPr>
        <w:spacing w:after="0" w:line="152"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21"/>
          <w:szCs w:val="21"/>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20"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9"/>
          <w:szCs w:val="19"/>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XI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04" w:lineRule="exact"/>
        <w:rPr>
          <w:sz w:val="20"/>
          <w:szCs w:val="20"/>
          <w:color w:val="auto"/>
        </w:rPr>
      </w:pPr>
    </w:p>
    <w:p>
      <w:pPr>
        <w:ind w:left="800"/>
        <w:spacing w:after="0"/>
        <w:tabs>
          <w:tab w:leader="none" w:pos="23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The election of directors need not be by written ballot unless the Bylaws of the Corporation shall so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provide.</w:t>
      </w:r>
    </w:p>
    <w:p>
      <w:pPr>
        <w:spacing w:after="0" w:line="134" w:lineRule="exact"/>
        <w:rPr>
          <w:sz w:val="20"/>
          <w:szCs w:val="20"/>
          <w:color w:val="auto"/>
        </w:rPr>
      </w:pPr>
    </w:p>
    <w:p>
      <w:pPr>
        <w:ind w:left="800"/>
        <w:spacing w:after="0"/>
        <w:tabs>
          <w:tab w:leader="none" w:pos="20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No stockholder will be permitted to cumulate votes at any election of directors.</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58"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32"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9"/>
          <w:szCs w:val="19"/>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89"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58" w:lineRule="exact"/>
        <w:rPr>
          <w:sz w:val="20"/>
          <w:szCs w:val="20"/>
          <w:color w:val="auto"/>
        </w:rPr>
      </w:pPr>
    </w:p>
    <w:p>
      <w:pPr>
        <w:jc w:val="both"/>
        <w:ind w:right="20" w:firstLine="799"/>
        <w:spacing w:after="0" w:line="236" w:lineRule="auto"/>
        <w:rPr>
          <w:sz w:val="20"/>
          <w:szCs w:val="20"/>
          <w:color w:val="auto"/>
        </w:rPr>
      </w:pPr>
      <w:r>
        <w:rPr>
          <w:rFonts w:ascii="Arial" w:cs="Arial" w:eastAsia="Arial" w:hAnsi="Arial"/>
          <w:sz w:val="22"/>
          <w:szCs w:val="22"/>
          <w:color w:val="auto"/>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34"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9"/>
          <w:szCs w:val="19"/>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104" w:lineRule="exact"/>
        <w:rPr>
          <w:sz w:val="20"/>
          <w:szCs w:val="20"/>
          <w:color w:val="auto"/>
        </w:rPr>
      </w:pPr>
    </w:p>
    <w:p>
      <w:pPr>
        <w:jc w:val="both"/>
        <w:ind w:firstLine="799"/>
        <w:spacing w:after="0" w:line="279" w:lineRule="auto"/>
        <w:rPr>
          <w:sz w:val="20"/>
          <w:szCs w:val="20"/>
          <w:color w:val="auto"/>
        </w:rPr>
      </w:pPr>
      <w:r>
        <w:rPr>
          <w:rFonts w:ascii="Arial" w:cs="Arial" w:eastAsia="Arial" w:hAnsi="Arial"/>
          <w:sz w:val="19"/>
          <w:szCs w:val="19"/>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1" w:right="239" w:bottom="1440" w:gutter="0" w:footer="0" w:header="0"/>
        </w:sectPr>
      </w:pPr>
    </w:p>
    <w:bookmarkStart w:id="244" w:name="page245"/>
    <w:bookmarkEnd w:id="244"/>
    <w:p>
      <w:pPr>
        <w:jc w:val="both"/>
        <w:ind w:firstLine="799"/>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58" w:lineRule="exact"/>
        <w:rPr>
          <w:sz w:val="20"/>
          <w:szCs w:val="20"/>
          <w:color w:val="auto"/>
        </w:rPr>
      </w:pPr>
    </w:p>
    <w:p>
      <w:pPr>
        <w:jc w:val="both"/>
        <w:ind w:firstLine="799"/>
        <w:spacing w:after="0" w:line="297" w:lineRule="auto"/>
        <w:rPr>
          <w:sz w:val="20"/>
          <w:szCs w:val="20"/>
          <w:color w:val="auto"/>
        </w:rPr>
      </w:pPr>
      <w:r>
        <w:rPr>
          <w:rFonts w:ascii="Arial" w:cs="Arial" w:eastAsia="Arial" w:hAnsi="Arial"/>
          <w:sz w:val="19"/>
          <w:szCs w:val="19"/>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58"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9"/>
          <w:szCs w:val="19"/>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any other provision of this Amended and Restated Certificate of Incorporation or any provision of law that might otherwise permit a lesser vote or no vote, the Board of Directors acting pursuant to a resolution adopted by a majority of the Board of Directors and the affirmative vote of sixty-six and two-thirds percent (66 2/3%)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98"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3.4</w:t>
      </w:r>
    </w:p>
    <w:p>
      <w:pPr>
        <w:spacing w:after="0" w:line="157"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AMENDED AND RESTATED BYLAWS OF</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FLUIDIGM CORPORATION</w:t>
      </w:r>
    </w:p>
    <w:p>
      <w:pPr>
        <w:spacing w:after="0" w:line="190" w:lineRule="exact"/>
        <w:rPr>
          <w:sz w:val="20"/>
          <w:szCs w:val="20"/>
          <w:color w:val="auto"/>
        </w:rPr>
      </w:pPr>
    </w:p>
    <w:p>
      <w:pPr>
        <w:jc w:val="center"/>
        <w:ind w:right="1200"/>
        <w:spacing w:after="0"/>
        <w:tabs>
          <w:tab w:leader="none" w:pos="200" w:val="left"/>
        </w:tabs>
        <w:rPr>
          <w:sz w:val="20"/>
          <w:szCs w:val="20"/>
          <w:color w:val="auto"/>
        </w:rPr>
      </w:pPr>
      <w:r>
        <w:rPr>
          <w:rFonts w:ascii="Arial" w:cs="Arial" w:eastAsia="Arial" w:hAnsi="Arial"/>
          <w:sz w:val="18"/>
          <w:szCs w:val="18"/>
          <w:color w:val="auto"/>
        </w:rPr>
        <w:t>(as amended and restated on January</w:t>
      </w:r>
      <w:r>
        <w:rPr>
          <w:sz w:val="20"/>
          <w:szCs w:val="20"/>
          <w:color w:val="auto"/>
        </w:rPr>
        <w:tab/>
      </w:r>
      <w:r>
        <w:rPr>
          <w:rFonts w:ascii="Arial" w:cs="Arial" w:eastAsia="Arial" w:hAnsi="Arial"/>
          <w:sz w:val="15"/>
          <w:szCs w:val="15"/>
          <w:color w:val="auto"/>
        </w:rPr>
        <w:t>, 2011 and effective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-13970</wp:posOffset>
            </wp:positionV>
            <wp:extent cx="1117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center"/>
        <w:ind w:right="1200"/>
        <w:spacing w:after="0"/>
        <w:rPr>
          <w:sz w:val="20"/>
          <w:szCs w:val="20"/>
          <w:color w:val="auto"/>
        </w:rPr>
      </w:pPr>
      <w:r>
        <w:rPr>
          <w:rFonts w:ascii="Arial" w:cs="Arial" w:eastAsia="Arial" w:hAnsi="Arial"/>
          <w:sz w:val="18"/>
          <w:szCs w:val="18"/>
          <w:color w:val="auto"/>
        </w:rPr>
        <w:t>closing of the corporation’s initial public offering)</w:t>
      </w:r>
    </w:p>
    <w:p>
      <w:pPr>
        <w:sectPr>
          <w:pgSz w:w="11900" w:h="16838" w:orient="portrait"/>
          <w:cols w:equalWidth="0" w:num="1">
            <w:col w:w="10220"/>
          </w:cols>
          <w:pgMar w:left="1440" w:top="125"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978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420"/>
        </w:trPr>
        <w:tc>
          <w:tcPr>
            <w:tcW w:w="118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317"/>
        </w:trPr>
        <w:tc>
          <w:tcPr>
            <w:tcW w:w="1096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1.1</w:t>
            </w:r>
          </w:p>
        </w:tc>
        <w:tc>
          <w:tcPr>
            <w:tcW w:w="9780" w:type="dxa"/>
            <w:vAlign w:val="bottom"/>
          </w:tcPr>
          <w:p>
            <w:pPr>
              <w:ind w:left="120"/>
              <w:spacing w:after="0"/>
              <w:rPr>
                <w:sz w:val="20"/>
                <w:szCs w:val="20"/>
                <w:color w:val="auto"/>
              </w:rPr>
            </w:pPr>
            <w:r>
              <w:rPr>
                <w:rFonts w:ascii="Arial" w:cs="Arial" w:eastAsia="Arial" w:hAnsi="Arial"/>
                <w:sz w:val="18"/>
                <w:szCs w:val="18"/>
                <w:color w:val="auto"/>
              </w:rPr>
              <w:t>REGISTERED OFFICE</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1.2</w:t>
            </w:r>
          </w:p>
        </w:tc>
        <w:tc>
          <w:tcPr>
            <w:tcW w:w="9780" w:type="dxa"/>
            <w:vAlign w:val="bottom"/>
          </w:tcPr>
          <w:p>
            <w:pPr>
              <w:ind w:left="120"/>
              <w:spacing w:after="0"/>
              <w:rPr>
                <w:sz w:val="20"/>
                <w:szCs w:val="20"/>
                <w:color w:val="auto"/>
              </w:rPr>
            </w:pPr>
            <w:r>
              <w:rPr>
                <w:rFonts w:ascii="Arial" w:cs="Arial" w:eastAsia="Arial" w:hAnsi="Arial"/>
                <w:sz w:val="18"/>
                <w:szCs w:val="18"/>
                <w:color w:val="auto"/>
              </w:rPr>
              <w:t>OTHER OFFICES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2.1</w:t>
            </w:r>
          </w:p>
        </w:tc>
        <w:tc>
          <w:tcPr>
            <w:tcW w:w="978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2.2</w:t>
            </w:r>
          </w:p>
        </w:tc>
        <w:tc>
          <w:tcPr>
            <w:tcW w:w="9780" w:type="dxa"/>
            <w:vAlign w:val="bottom"/>
          </w:tcPr>
          <w:p>
            <w:pPr>
              <w:ind w:left="120"/>
              <w:spacing w:after="0"/>
              <w:rPr>
                <w:sz w:val="20"/>
                <w:szCs w:val="20"/>
                <w:color w:val="auto"/>
              </w:rPr>
            </w:pPr>
            <w:r>
              <w:rPr>
                <w:rFonts w:ascii="Arial" w:cs="Arial" w:eastAsia="Arial" w:hAnsi="Arial"/>
                <w:sz w:val="18"/>
                <w:szCs w:val="18"/>
                <w:color w:val="auto"/>
              </w:rPr>
              <w:t>ANNUAL MEETING</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2.3</w:t>
            </w:r>
          </w:p>
        </w:tc>
        <w:tc>
          <w:tcPr>
            <w:tcW w:w="978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2.4</w:t>
            </w:r>
          </w:p>
        </w:tc>
        <w:tc>
          <w:tcPr>
            <w:tcW w:w="9780" w:type="dxa"/>
            <w:vAlign w:val="bottom"/>
          </w:tcPr>
          <w:p>
            <w:pPr>
              <w:ind w:left="120"/>
              <w:spacing w:after="0"/>
              <w:rPr>
                <w:sz w:val="20"/>
                <w:szCs w:val="20"/>
                <w:color w:val="auto"/>
              </w:rPr>
            </w:pPr>
            <w:r>
              <w:rPr>
                <w:rFonts w:ascii="Arial" w:cs="Arial" w:eastAsia="Arial" w:hAnsi="Arial"/>
                <w:sz w:val="18"/>
                <w:szCs w:val="18"/>
                <w:color w:val="auto"/>
              </w:rPr>
              <w:t>ADVANCE NOTICE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2.5</w:t>
            </w:r>
          </w:p>
        </w:tc>
        <w:tc>
          <w:tcPr>
            <w:tcW w:w="978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2.6</w:t>
            </w:r>
          </w:p>
        </w:tc>
        <w:tc>
          <w:tcPr>
            <w:tcW w:w="9780" w:type="dxa"/>
            <w:vAlign w:val="bottom"/>
          </w:tcPr>
          <w:p>
            <w:pPr>
              <w:ind w:left="120"/>
              <w:spacing w:after="0"/>
              <w:rPr>
                <w:sz w:val="20"/>
                <w:szCs w:val="20"/>
                <w:color w:val="auto"/>
              </w:rPr>
            </w:pPr>
            <w:r>
              <w:rPr>
                <w:rFonts w:ascii="Arial" w:cs="Arial" w:eastAsia="Arial" w:hAnsi="Arial"/>
                <w:sz w:val="18"/>
                <w:szCs w:val="18"/>
                <w:color w:val="auto"/>
              </w:rPr>
              <w:t>QUORUM</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2.7</w:t>
            </w:r>
          </w:p>
        </w:tc>
        <w:tc>
          <w:tcPr>
            <w:tcW w:w="9780" w:type="dxa"/>
            <w:vAlign w:val="bottom"/>
          </w:tcPr>
          <w:p>
            <w:pPr>
              <w:ind w:left="120"/>
              <w:spacing w:after="0"/>
              <w:rPr>
                <w:sz w:val="20"/>
                <w:szCs w:val="20"/>
                <w:color w:val="auto"/>
              </w:rPr>
            </w:pPr>
            <w:r>
              <w:rPr>
                <w:rFonts w:ascii="Arial" w:cs="Arial" w:eastAsia="Arial" w:hAnsi="Arial"/>
                <w:sz w:val="18"/>
                <w:szCs w:val="18"/>
                <w:color w:val="auto"/>
              </w:rPr>
              <w:t>ADJOURNED MEETING; NOTICE</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2.8</w:t>
            </w:r>
          </w:p>
        </w:tc>
        <w:tc>
          <w:tcPr>
            <w:tcW w:w="978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2.9</w:t>
            </w:r>
          </w:p>
        </w:tc>
        <w:tc>
          <w:tcPr>
            <w:tcW w:w="9780" w:type="dxa"/>
            <w:vAlign w:val="bottom"/>
          </w:tcPr>
          <w:p>
            <w:pPr>
              <w:ind w:left="120"/>
              <w:spacing w:after="0"/>
              <w:rPr>
                <w:sz w:val="20"/>
                <w:szCs w:val="20"/>
                <w:color w:val="auto"/>
              </w:rPr>
            </w:pPr>
            <w:r>
              <w:rPr>
                <w:rFonts w:ascii="Arial" w:cs="Arial" w:eastAsia="Arial" w:hAnsi="Arial"/>
                <w:sz w:val="18"/>
                <w:szCs w:val="18"/>
                <w:color w:val="auto"/>
              </w:rPr>
              <w:t>VOTING</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2.10</w:t>
            </w:r>
          </w:p>
        </w:tc>
        <w:tc>
          <w:tcPr>
            <w:tcW w:w="9780" w:type="dxa"/>
            <w:vAlign w:val="bottom"/>
          </w:tcPr>
          <w:p>
            <w:pPr>
              <w:ind w:left="120"/>
              <w:spacing w:after="0"/>
              <w:rPr>
                <w:sz w:val="20"/>
                <w:szCs w:val="20"/>
                <w:color w:val="auto"/>
              </w:rPr>
            </w:pPr>
            <w:r>
              <w:rPr>
                <w:rFonts w:ascii="Arial" w:cs="Arial" w:eastAsia="Arial" w:hAnsi="Arial"/>
                <w:sz w:val="18"/>
                <w:szCs w:val="18"/>
                <w:color w:val="auto"/>
              </w:rPr>
              <w:t>STOCKHOLDER ACTION BY WRITTEN CONSENT WITHOUT A MEETING</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2.11</w:t>
            </w:r>
          </w:p>
        </w:tc>
        <w:tc>
          <w:tcPr>
            <w:tcW w:w="9780" w:type="dxa"/>
            <w:vAlign w:val="bottom"/>
          </w:tcPr>
          <w:p>
            <w:pPr>
              <w:ind w:left="120"/>
              <w:spacing w:after="0"/>
              <w:rPr>
                <w:sz w:val="20"/>
                <w:szCs w:val="20"/>
                <w:color w:val="auto"/>
              </w:rPr>
            </w:pPr>
            <w:r>
              <w:rPr>
                <w:rFonts w:ascii="Arial" w:cs="Arial" w:eastAsia="Arial" w:hAnsi="Arial"/>
                <w:sz w:val="18"/>
                <w:szCs w:val="18"/>
                <w:color w:val="auto"/>
              </w:rPr>
              <w:t>RECORD DATES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2.12</w:t>
            </w:r>
          </w:p>
        </w:tc>
        <w:tc>
          <w:tcPr>
            <w:tcW w:w="9780" w:type="dxa"/>
            <w:vAlign w:val="bottom"/>
          </w:tcPr>
          <w:p>
            <w:pPr>
              <w:ind w:left="120"/>
              <w:spacing w:after="0"/>
              <w:rPr>
                <w:sz w:val="20"/>
                <w:szCs w:val="20"/>
                <w:color w:val="auto"/>
              </w:rPr>
            </w:pPr>
            <w:r>
              <w:rPr>
                <w:rFonts w:ascii="Arial" w:cs="Arial" w:eastAsia="Arial" w:hAnsi="Arial"/>
                <w:sz w:val="18"/>
                <w:szCs w:val="18"/>
                <w:color w:val="auto"/>
              </w:rPr>
              <w:t>PROXIES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2.13</w:t>
            </w:r>
          </w:p>
        </w:tc>
        <w:tc>
          <w:tcPr>
            <w:tcW w:w="9780" w:type="dxa"/>
            <w:vAlign w:val="bottom"/>
          </w:tcPr>
          <w:p>
            <w:pPr>
              <w:ind w:left="120"/>
              <w:spacing w:after="0"/>
              <w:rPr>
                <w:sz w:val="20"/>
                <w:szCs w:val="20"/>
                <w:color w:val="auto"/>
              </w:rPr>
            </w:pPr>
            <w:r>
              <w:rPr>
                <w:rFonts w:ascii="Arial" w:cs="Arial" w:eastAsia="Arial" w:hAnsi="Arial"/>
                <w:sz w:val="18"/>
                <w:szCs w:val="18"/>
                <w:color w:val="auto"/>
              </w:rPr>
              <w:t>LIST OF STOCKHOLDERS ENTITLED TO VOTE</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2.14</w:t>
            </w:r>
          </w:p>
        </w:tc>
        <w:tc>
          <w:tcPr>
            <w:tcW w:w="9780" w:type="dxa"/>
            <w:vAlign w:val="bottom"/>
          </w:tcPr>
          <w:p>
            <w:pPr>
              <w:ind w:left="120"/>
              <w:spacing w:after="0"/>
              <w:rPr>
                <w:sz w:val="20"/>
                <w:szCs w:val="20"/>
                <w:color w:val="auto"/>
              </w:rPr>
            </w:pPr>
            <w:r>
              <w:rPr>
                <w:rFonts w:ascii="Arial" w:cs="Arial" w:eastAsia="Arial" w:hAnsi="Arial"/>
                <w:sz w:val="18"/>
                <w:szCs w:val="18"/>
                <w:color w:val="auto"/>
              </w:rPr>
              <w:t>INSPECTORS OF ELECTION</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3.1</w:t>
            </w:r>
          </w:p>
        </w:tc>
        <w:tc>
          <w:tcPr>
            <w:tcW w:w="9780" w:type="dxa"/>
            <w:vAlign w:val="bottom"/>
          </w:tcPr>
          <w:p>
            <w:pPr>
              <w:ind w:left="120"/>
              <w:spacing w:after="0"/>
              <w:rPr>
                <w:sz w:val="20"/>
                <w:szCs w:val="20"/>
                <w:color w:val="auto"/>
              </w:rPr>
            </w:pPr>
            <w:r>
              <w:rPr>
                <w:rFonts w:ascii="Arial" w:cs="Arial" w:eastAsia="Arial" w:hAnsi="Arial"/>
                <w:sz w:val="18"/>
                <w:szCs w:val="18"/>
                <w:color w:val="auto"/>
              </w:rPr>
              <w:t>POWERS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3.2</w:t>
            </w:r>
          </w:p>
        </w:tc>
        <w:tc>
          <w:tcPr>
            <w:tcW w:w="978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3.3</w:t>
            </w:r>
          </w:p>
        </w:tc>
        <w:tc>
          <w:tcPr>
            <w:tcW w:w="9780" w:type="dxa"/>
            <w:vAlign w:val="bottom"/>
          </w:tcPr>
          <w:p>
            <w:pPr>
              <w:ind w:left="120"/>
              <w:spacing w:after="0"/>
              <w:rPr>
                <w:sz w:val="20"/>
                <w:szCs w:val="20"/>
                <w:color w:val="auto"/>
              </w:rPr>
            </w:pPr>
            <w:r>
              <w:rPr>
                <w:rFonts w:ascii="Arial" w:cs="Arial" w:eastAsia="Arial" w:hAnsi="Arial"/>
                <w:sz w:val="18"/>
                <w:szCs w:val="18"/>
                <w:color w:val="auto"/>
              </w:rPr>
              <w:t>ELECTION, QUALIFICATION AND TERM OF OFFICE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3.4</w:t>
            </w:r>
          </w:p>
        </w:tc>
        <w:tc>
          <w:tcPr>
            <w:tcW w:w="9780" w:type="dxa"/>
            <w:vAlign w:val="bottom"/>
          </w:tcPr>
          <w:p>
            <w:pPr>
              <w:ind w:left="120"/>
              <w:spacing w:after="0"/>
              <w:rPr>
                <w:sz w:val="20"/>
                <w:szCs w:val="20"/>
                <w:color w:val="auto"/>
              </w:rPr>
            </w:pPr>
            <w:r>
              <w:rPr>
                <w:rFonts w:ascii="Arial" w:cs="Arial" w:eastAsia="Arial" w:hAnsi="Arial"/>
                <w:sz w:val="18"/>
                <w:szCs w:val="18"/>
                <w:color w:val="auto"/>
              </w:rPr>
              <w:t>RESIGNATION AND VACANCIES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3.5</w:t>
            </w:r>
          </w:p>
        </w:tc>
        <w:tc>
          <w:tcPr>
            <w:tcW w:w="978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3.6</w:t>
            </w:r>
          </w:p>
        </w:tc>
        <w:tc>
          <w:tcPr>
            <w:tcW w:w="978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3.7</w:t>
            </w:r>
          </w:p>
        </w:tc>
        <w:tc>
          <w:tcPr>
            <w:tcW w:w="978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3.8</w:t>
            </w:r>
          </w:p>
        </w:tc>
        <w:tc>
          <w:tcPr>
            <w:tcW w:w="9780" w:type="dxa"/>
            <w:vAlign w:val="bottom"/>
          </w:tcPr>
          <w:p>
            <w:pPr>
              <w:ind w:left="120"/>
              <w:spacing w:after="0"/>
              <w:rPr>
                <w:sz w:val="20"/>
                <w:szCs w:val="20"/>
                <w:color w:val="auto"/>
              </w:rPr>
            </w:pPr>
            <w:r>
              <w:rPr>
                <w:rFonts w:ascii="Arial" w:cs="Arial" w:eastAsia="Arial" w:hAnsi="Arial"/>
                <w:sz w:val="18"/>
                <w:szCs w:val="18"/>
                <w:color w:val="auto"/>
              </w:rPr>
              <w:t>QUORUM; VOTING</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3.9</w:t>
            </w:r>
          </w:p>
        </w:tc>
        <w:tc>
          <w:tcPr>
            <w:tcW w:w="978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3.10</w:t>
            </w:r>
          </w:p>
        </w:tc>
        <w:tc>
          <w:tcPr>
            <w:tcW w:w="978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3.11</w:t>
            </w:r>
          </w:p>
        </w:tc>
        <w:tc>
          <w:tcPr>
            <w:tcW w:w="978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4.1</w:t>
            </w:r>
          </w:p>
        </w:tc>
        <w:tc>
          <w:tcPr>
            <w:tcW w:w="978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4.2</w:t>
            </w:r>
          </w:p>
        </w:tc>
        <w:tc>
          <w:tcPr>
            <w:tcW w:w="9780" w:type="dxa"/>
            <w:vAlign w:val="bottom"/>
          </w:tcPr>
          <w:p>
            <w:pPr>
              <w:ind w:left="120"/>
              <w:spacing w:after="0"/>
              <w:rPr>
                <w:sz w:val="20"/>
                <w:szCs w:val="20"/>
                <w:color w:val="auto"/>
              </w:rPr>
            </w:pPr>
            <w:r>
              <w:rPr>
                <w:rFonts w:ascii="Arial" w:cs="Arial" w:eastAsia="Arial" w:hAnsi="Arial"/>
                <w:sz w:val="18"/>
                <w:szCs w:val="18"/>
                <w:color w:val="auto"/>
              </w:rPr>
              <w:t>COMMITTEE MINUTES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4.3</w:t>
            </w:r>
          </w:p>
        </w:tc>
        <w:tc>
          <w:tcPr>
            <w:tcW w:w="9780" w:type="dxa"/>
            <w:vAlign w:val="bottom"/>
          </w:tcPr>
          <w:p>
            <w:pPr>
              <w:ind w:left="120"/>
              <w:spacing w:after="0"/>
              <w:rPr>
                <w:sz w:val="20"/>
                <w:szCs w:val="20"/>
                <w:color w:val="auto"/>
              </w:rPr>
            </w:pPr>
            <w:r>
              <w:rPr>
                <w:rFonts w:ascii="Arial" w:cs="Arial" w:eastAsia="Arial" w:hAnsi="Arial"/>
                <w:sz w:val="18"/>
                <w:szCs w:val="18"/>
                <w:color w:val="auto"/>
              </w:rPr>
              <w:t>MEETINGS AND ACTION OF COMMITTEES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4.4</w:t>
            </w:r>
          </w:p>
        </w:tc>
        <w:tc>
          <w:tcPr>
            <w:tcW w:w="9780" w:type="dxa"/>
            <w:vAlign w:val="bottom"/>
          </w:tcPr>
          <w:p>
            <w:pPr>
              <w:ind w:left="120"/>
              <w:spacing w:after="0"/>
              <w:rPr>
                <w:sz w:val="20"/>
                <w:szCs w:val="20"/>
                <w:color w:val="auto"/>
              </w:rPr>
            </w:pPr>
            <w:r>
              <w:rPr>
                <w:rFonts w:ascii="Arial" w:cs="Arial" w:eastAsia="Arial" w:hAnsi="Arial"/>
                <w:sz w:val="18"/>
                <w:szCs w:val="18"/>
                <w:color w:val="auto"/>
              </w:rPr>
              <w:t>SUBCOMMITTEES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5.1</w:t>
            </w:r>
          </w:p>
        </w:tc>
        <w:tc>
          <w:tcPr>
            <w:tcW w:w="9780" w:type="dxa"/>
            <w:vAlign w:val="bottom"/>
          </w:tcPr>
          <w:p>
            <w:pPr>
              <w:ind w:left="120"/>
              <w:spacing w:after="0"/>
              <w:rPr>
                <w:sz w:val="20"/>
                <w:szCs w:val="20"/>
                <w:color w:val="auto"/>
              </w:rPr>
            </w:pPr>
            <w:r>
              <w:rPr>
                <w:rFonts w:ascii="Arial" w:cs="Arial" w:eastAsia="Arial" w:hAnsi="Arial"/>
                <w:sz w:val="18"/>
                <w:szCs w:val="18"/>
                <w:color w:val="auto"/>
              </w:rPr>
              <w:t>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5.2</w:t>
            </w:r>
          </w:p>
        </w:tc>
        <w:tc>
          <w:tcPr>
            <w:tcW w:w="9780" w:type="dxa"/>
            <w:vAlign w:val="bottom"/>
          </w:tcPr>
          <w:p>
            <w:pPr>
              <w:ind w:left="120"/>
              <w:spacing w:after="0"/>
              <w:rPr>
                <w:sz w:val="20"/>
                <w:szCs w:val="20"/>
                <w:color w:val="auto"/>
              </w:rPr>
            </w:pPr>
            <w:r>
              <w:rPr>
                <w:rFonts w:ascii="Arial" w:cs="Arial" w:eastAsia="Arial" w:hAnsi="Arial"/>
                <w:sz w:val="18"/>
                <w:szCs w:val="18"/>
                <w:color w:val="auto"/>
              </w:rPr>
              <w:t>APPOINTMENT OF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5.3</w:t>
            </w:r>
          </w:p>
        </w:tc>
        <w:tc>
          <w:tcPr>
            <w:tcW w:w="9780" w:type="dxa"/>
            <w:vAlign w:val="bottom"/>
          </w:tcPr>
          <w:p>
            <w:pPr>
              <w:ind w:left="120"/>
              <w:spacing w:after="0"/>
              <w:rPr>
                <w:sz w:val="20"/>
                <w:szCs w:val="20"/>
                <w:color w:val="auto"/>
              </w:rPr>
            </w:pPr>
            <w:r>
              <w:rPr>
                <w:rFonts w:ascii="Arial" w:cs="Arial" w:eastAsia="Arial" w:hAnsi="Arial"/>
                <w:sz w:val="18"/>
                <w:szCs w:val="18"/>
                <w:color w:val="auto"/>
              </w:rPr>
              <w:t>SUBORDINATE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47" w:name="page248"/>
    <w:bookmarkEnd w:id="24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97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310"/>
        </w:trPr>
        <w:tc>
          <w:tcPr>
            <w:tcW w:w="1180" w:type="dxa"/>
            <w:vAlign w:val="bottom"/>
          </w:tcPr>
          <w:p>
            <w:pPr>
              <w:ind w:left="760"/>
              <w:spacing w:after="0"/>
              <w:rPr>
                <w:sz w:val="20"/>
                <w:szCs w:val="20"/>
                <w:color w:val="auto"/>
              </w:rPr>
            </w:pPr>
            <w:r>
              <w:rPr>
                <w:rFonts w:ascii="Arial" w:cs="Arial" w:eastAsia="Arial" w:hAnsi="Arial"/>
                <w:sz w:val="18"/>
                <w:szCs w:val="18"/>
                <w:color w:val="auto"/>
              </w:rPr>
              <w:t>5.4</w:t>
            </w:r>
          </w:p>
        </w:tc>
        <w:tc>
          <w:tcPr>
            <w:tcW w:w="9780" w:type="dxa"/>
            <w:vAlign w:val="bottom"/>
          </w:tcPr>
          <w:p>
            <w:pPr>
              <w:ind w:left="120"/>
              <w:spacing w:after="0"/>
              <w:rPr>
                <w:sz w:val="20"/>
                <w:szCs w:val="20"/>
                <w:color w:val="auto"/>
              </w:rPr>
            </w:pPr>
            <w:r>
              <w:rPr>
                <w:rFonts w:ascii="Arial" w:cs="Arial" w:eastAsia="Arial" w:hAnsi="Arial"/>
                <w:sz w:val="18"/>
                <w:szCs w:val="18"/>
                <w:color w:val="auto"/>
              </w:rPr>
              <w:t>REMOVAL AND RESIGNATION OF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5.5</w:t>
            </w:r>
          </w:p>
        </w:tc>
        <w:tc>
          <w:tcPr>
            <w:tcW w:w="9780" w:type="dxa"/>
            <w:vAlign w:val="bottom"/>
          </w:tcPr>
          <w:p>
            <w:pPr>
              <w:ind w:left="120"/>
              <w:spacing w:after="0"/>
              <w:rPr>
                <w:sz w:val="20"/>
                <w:szCs w:val="20"/>
                <w:color w:val="auto"/>
              </w:rPr>
            </w:pPr>
            <w:r>
              <w:rPr>
                <w:rFonts w:ascii="Arial" w:cs="Arial" w:eastAsia="Arial" w:hAnsi="Arial"/>
                <w:sz w:val="18"/>
                <w:szCs w:val="18"/>
                <w:color w:val="auto"/>
              </w:rPr>
              <w:t>VACANCIES IN OFFICES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5.6</w:t>
            </w:r>
          </w:p>
        </w:tc>
        <w:tc>
          <w:tcPr>
            <w:tcW w:w="9780" w:type="dxa"/>
            <w:vAlign w:val="bottom"/>
          </w:tcPr>
          <w:p>
            <w:pPr>
              <w:ind w:left="120"/>
              <w:spacing w:after="0"/>
              <w:rPr>
                <w:sz w:val="20"/>
                <w:szCs w:val="20"/>
                <w:color w:val="auto"/>
              </w:rPr>
            </w:pPr>
            <w:r>
              <w:rPr>
                <w:rFonts w:ascii="Arial" w:cs="Arial" w:eastAsia="Arial" w:hAnsi="Arial"/>
                <w:sz w:val="18"/>
                <w:szCs w:val="18"/>
                <w:color w:val="auto"/>
              </w:rPr>
              <w:t>REPRESENTATION OF SHARES OF OTHER CORPORATIONS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5.7</w:t>
            </w:r>
          </w:p>
        </w:tc>
        <w:tc>
          <w:tcPr>
            <w:tcW w:w="9780" w:type="dxa"/>
            <w:vAlign w:val="bottom"/>
          </w:tcPr>
          <w:p>
            <w:pPr>
              <w:ind w:left="120"/>
              <w:spacing w:after="0"/>
              <w:rPr>
                <w:sz w:val="20"/>
                <w:szCs w:val="20"/>
                <w:color w:val="auto"/>
              </w:rPr>
            </w:pPr>
            <w:r>
              <w:rPr>
                <w:rFonts w:ascii="Arial" w:cs="Arial" w:eastAsia="Arial" w:hAnsi="Arial"/>
                <w:sz w:val="18"/>
                <w:szCs w:val="18"/>
                <w:color w:val="auto"/>
              </w:rPr>
              <w:t>AUTHORITY AND DUTIES OF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5.8</w:t>
            </w:r>
          </w:p>
        </w:tc>
        <w:tc>
          <w:tcPr>
            <w:tcW w:w="9780" w:type="dxa"/>
            <w:vAlign w:val="bottom"/>
          </w:tcPr>
          <w:p>
            <w:pPr>
              <w:ind w:left="120"/>
              <w:spacing w:after="0"/>
              <w:rPr>
                <w:sz w:val="20"/>
                <w:szCs w:val="20"/>
                <w:color w:val="auto"/>
              </w:rPr>
            </w:pPr>
            <w:r>
              <w:rPr>
                <w:rFonts w:ascii="Arial" w:cs="Arial" w:eastAsia="Arial" w:hAnsi="Arial"/>
                <w:sz w:val="18"/>
                <w:szCs w:val="18"/>
                <w:color w:val="auto"/>
              </w:rPr>
              <w:t>THE CHAIRPERSON OF THE BOARD</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5.9</w:t>
            </w:r>
          </w:p>
        </w:tc>
        <w:tc>
          <w:tcPr>
            <w:tcW w:w="9780" w:type="dxa"/>
            <w:vAlign w:val="bottom"/>
          </w:tcPr>
          <w:p>
            <w:pPr>
              <w:ind w:left="120"/>
              <w:spacing w:after="0"/>
              <w:rPr>
                <w:sz w:val="20"/>
                <w:szCs w:val="20"/>
                <w:color w:val="auto"/>
              </w:rPr>
            </w:pPr>
            <w:r>
              <w:rPr>
                <w:rFonts w:ascii="Arial" w:cs="Arial" w:eastAsia="Arial" w:hAnsi="Arial"/>
                <w:sz w:val="18"/>
                <w:szCs w:val="18"/>
                <w:color w:val="auto"/>
              </w:rPr>
              <w:t>THE VICE CHAIRPERSON OF THE BOARD</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5.10</w:t>
            </w:r>
          </w:p>
        </w:tc>
        <w:tc>
          <w:tcPr>
            <w:tcW w:w="9780" w:type="dxa"/>
            <w:vAlign w:val="bottom"/>
          </w:tcPr>
          <w:p>
            <w:pPr>
              <w:ind w:left="120"/>
              <w:spacing w:after="0"/>
              <w:rPr>
                <w:sz w:val="20"/>
                <w:szCs w:val="20"/>
                <w:color w:val="auto"/>
              </w:rPr>
            </w:pPr>
            <w:r>
              <w:rPr>
                <w:rFonts w:ascii="Arial" w:cs="Arial" w:eastAsia="Arial" w:hAnsi="Arial"/>
                <w:sz w:val="18"/>
                <w:szCs w:val="18"/>
                <w:color w:val="auto"/>
              </w:rPr>
              <w:t>THE CHIEF EXECUTIVE OFFICER</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5.11</w:t>
            </w:r>
          </w:p>
        </w:tc>
        <w:tc>
          <w:tcPr>
            <w:tcW w:w="9780" w:type="dxa"/>
            <w:vAlign w:val="bottom"/>
          </w:tcPr>
          <w:p>
            <w:pPr>
              <w:ind w:left="120"/>
              <w:spacing w:after="0"/>
              <w:rPr>
                <w:sz w:val="20"/>
                <w:szCs w:val="20"/>
                <w:color w:val="auto"/>
              </w:rPr>
            </w:pPr>
            <w:r>
              <w:rPr>
                <w:rFonts w:ascii="Arial" w:cs="Arial" w:eastAsia="Arial" w:hAnsi="Arial"/>
                <w:sz w:val="18"/>
                <w:szCs w:val="18"/>
                <w:color w:val="auto"/>
              </w:rPr>
              <w:t>THE PRESIDENT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5.12</w:t>
            </w:r>
          </w:p>
        </w:tc>
        <w:tc>
          <w:tcPr>
            <w:tcW w:w="9780" w:type="dxa"/>
            <w:vAlign w:val="bottom"/>
          </w:tcPr>
          <w:p>
            <w:pPr>
              <w:ind w:left="120"/>
              <w:spacing w:after="0"/>
              <w:rPr>
                <w:sz w:val="20"/>
                <w:szCs w:val="20"/>
                <w:color w:val="auto"/>
              </w:rPr>
            </w:pPr>
            <w:r>
              <w:rPr>
                <w:rFonts w:ascii="Arial" w:cs="Arial" w:eastAsia="Arial" w:hAnsi="Arial"/>
                <w:sz w:val="18"/>
                <w:szCs w:val="18"/>
                <w:color w:val="auto"/>
              </w:rPr>
              <w:t>THE VICE PRESIDENTS AND ASSISTANT VICE PRESIDENTS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5.13</w:t>
            </w:r>
          </w:p>
        </w:tc>
        <w:tc>
          <w:tcPr>
            <w:tcW w:w="9780" w:type="dxa"/>
            <w:vAlign w:val="bottom"/>
          </w:tcPr>
          <w:p>
            <w:pPr>
              <w:ind w:left="120"/>
              <w:spacing w:after="0"/>
              <w:rPr>
                <w:sz w:val="20"/>
                <w:szCs w:val="20"/>
                <w:color w:val="auto"/>
              </w:rPr>
            </w:pPr>
            <w:r>
              <w:rPr>
                <w:rFonts w:ascii="Arial" w:cs="Arial" w:eastAsia="Arial" w:hAnsi="Arial"/>
                <w:sz w:val="18"/>
                <w:szCs w:val="18"/>
                <w:color w:val="auto"/>
              </w:rPr>
              <w:t>THE SECRETARY AND ASSISTANT SECRETARIES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5.14</w:t>
            </w:r>
          </w:p>
        </w:tc>
        <w:tc>
          <w:tcPr>
            <w:tcW w:w="9780" w:type="dxa"/>
            <w:vAlign w:val="bottom"/>
          </w:tcPr>
          <w:p>
            <w:pPr>
              <w:ind w:left="120"/>
              <w:spacing w:after="0"/>
              <w:rPr>
                <w:sz w:val="20"/>
                <w:szCs w:val="20"/>
                <w:color w:val="auto"/>
              </w:rPr>
            </w:pPr>
            <w:r>
              <w:rPr>
                <w:rFonts w:ascii="Arial" w:cs="Arial" w:eastAsia="Arial" w:hAnsi="Arial"/>
                <w:sz w:val="18"/>
                <w:szCs w:val="18"/>
                <w:color w:val="auto"/>
              </w:rPr>
              <w:t>THE CHIEF FINANCIAL OFFICER AND ASSISTANT TREASURERS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6.1</w:t>
            </w:r>
          </w:p>
        </w:tc>
        <w:tc>
          <w:tcPr>
            <w:tcW w:w="9780" w:type="dxa"/>
            <w:vAlign w:val="bottom"/>
          </w:tcPr>
          <w:p>
            <w:pPr>
              <w:ind w:left="120"/>
              <w:spacing w:after="0"/>
              <w:rPr>
                <w:sz w:val="20"/>
                <w:szCs w:val="20"/>
                <w:color w:val="auto"/>
              </w:rPr>
            </w:pPr>
            <w:r>
              <w:rPr>
                <w:rFonts w:ascii="Arial" w:cs="Arial" w:eastAsia="Arial" w:hAnsi="Arial"/>
                <w:sz w:val="18"/>
                <w:szCs w:val="18"/>
                <w:color w:val="auto"/>
              </w:rPr>
              <w:t>STOCK CERTIFICATES; PARTLY PAID SHARES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6.2</w:t>
            </w:r>
          </w:p>
        </w:tc>
        <w:tc>
          <w:tcPr>
            <w:tcW w:w="9780" w:type="dxa"/>
            <w:vAlign w:val="bottom"/>
          </w:tcPr>
          <w:p>
            <w:pPr>
              <w:ind w:left="120"/>
              <w:spacing w:after="0"/>
              <w:rPr>
                <w:sz w:val="20"/>
                <w:szCs w:val="20"/>
                <w:color w:val="auto"/>
              </w:rPr>
            </w:pPr>
            <w:r>
              <w:rPr>
                <w:rFonts w:ascii="Arial" w:cs="Arial" w:eastAsia="Arial" w:hAnsi="Arial"/>
                <w:sz w:val="18"/>
                <w:szCs w:val="18"/>
                <w:color w:val="auto"/>
              </w:rPr>
              <w:t>SPECIAL DESIGNATION ON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6.3</w:t>
            </w:r>
          </w:p>
        </w:tc>
        <w:tc>
          <w:tcPr>
            <w:tcW w:w="9780" w:type="dxa"/>
            <w:vAlign w:val="bottom"/>
          </w:tcPr>
          <w:p>
            <w:pPr>
              <w:ind w:left="120"/>
              <w:spacing w:after="0"/>
              <w:rPr>
                <w:sz w:val="20"/>
                <w:szCs w:val="20"/>
                <w:color w:val="auto"/>
              </w:rPr>
            </w:pPr>
            <w:r>
              <w:rPr>
                <w:rFonts w:ascii="Arial" w:cs="Arial" w:eastAsia="Arial" w:hAnsi="Arial"/>
                <w:sz w:val="18"/>
                <w:szCs w:val="18"/>
                <w:color w:val="auto"/>
              </w:rPr>
              <w:t>LOST, STOLEN OR DESTROYED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6.4</w:t>
            </w:r>
          </w:p>
        </w:tc>
        <w:tc>
          <w:tcPr>
            <w:tcW w:w="978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6.5</w:t>
            </w:r>
          </w:p>
        </w:tc>
        <w:tc>
          <w:tcPr>
            <w:tcW w:w="9780" w:type="dxa"/>
            <w:vAlign w:val="bottom"/>
          </w:tcPr>
          <w:p>
            <w:pPr>
              <w:ind w:left="120"/>
              <w:spacing w:after="0"/>
              <w:rPr>
                <w:sz w:val="20"/>
                <w:szCs w:val="20"/>
                <w:color w:val="auto"/>
              </w:rPr>
            </w:pPr>
            <w:r>
              <w:rPr>
                <w:rFonts w:ascii="Arial" w:cs="Arial" w:eastAsia="Arial" w:hAnsi="Arial"/>
                <w:sz w:val="18"/>
                <w:szCs w:val="18"/>
                <w:color w:val="auto"/>
              </w:rPr>
              <w:t>TRANSFER OF STOCK</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6.6</w:t>
            </w:r>
          </w:p>
        </w:tc>
        <w:tc>
          <w:tcPr>
            <w:tcW w:w="9780" w:type="dxa"/>
            <w:vAlign w:val="bottom"/>
          </w:tcPr>
          <w:p>
            <w:pPr>
              <w:ind w:left="120"/>
              <w:spacing w:after="0"/>
              <w:rPr>
                <w:sz w:val="20"/>
                <w:szCs w:val="20"/>
                <w:color w:val="auto"/>
              </w:rPr>
            </w:pPr>
            <w:r>
              <w:rPr>
                <w:rFonts w:ascii="Arial" w:cs="Arial" w:eastAsia="Arial" w:hAnsi="Arial"/>
                <w:sz w:val="18"/>
                <w:szCs w:val="18"/>
                <w:color w:val="auto"/>
              </w:rPr>
              <w:t>STOCK TRANSFER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6.7</w:t>
            </w:r>
          </w:p>
        </w:tc>
        <w:tc>
          <w:tcPr>
            <w:tcW w:w="978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7.1</w:t>
            </w:r>
          </w:p>
        </w:tc>
        <w:tc>
          <w:tcPr>
            <w:tcW w:w="978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7.2</w:t>
            </w:r>
          </w:p>
        </w:tc>
        <w:tc>
          <w:tcPr>
            <w:tcW w:w="9780" w:type="dxa"/>
            <w:vAlign w:val="bottom"/>
          </w:tcPr>
          <w:p>
            <w:pPr>
              <w:ind w:left="120"/>
              <w:spacing w:after="0"/>
              <w:rPr>
                <w:sz w:val="20"/>
                <w:szCs w:val="20"/>
                <w:color w:val="auto"/>
              </w:rPr>
            </w:pPr>
            <w:r>
              <w:rPr>
                <w:rFonts w:ascii="Arial" w:cs="Arial" w:eastAsia="Arial" w:hAnsi="Arial"/>
                <w:sz w:val="18"/>
                <w:szCs w:val="18"/>
                <w:color w:val="auto"/>
              </w:rPr>
              <w:t>NOTICE BY ELECTRONIC TRANSMISSION</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7.3</w:t>
            </w:r>
          </w:p>
        </w:tc>
        <w:tc>
          <w:tcPr>
            <w:tcW w:w="9780" w:type="dxa"/>
            <w:vAlign w:val="bottom"/>
          </w:tcPr>
          <w:p>
            <w:pPr>
              <w:ind w:left="120"/>
              <w:spacing w:after="0"/>
              <w:rPr>
                <w:sz w:val="20"/>
                <w:szCs w:val="20"/>
                <w:color w:val="auto"/>
              </w:rPr>
            </w:pPr>
            <w:r>
              <w:rPr>
                <w:rFonts w:ascii="Arial" w:cs="Arial" w:eastAsia="Arial" w:hAnsi="Arial"/>
                <w:sz w:val="18"/>
                <w:szCs w:val="18"/>
                <w:color w:val="auto"/>
              </w:rPr>
              <w:t>NOTICE TO STOCKHOLDERS SHARING AN ADDRESS</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7.4</w:t>
            </w:r>
          </w:p>
        </w:tc>
        <w:tc>
          <w:tcPr>
            <w:tcW w:w="9780" w:type="dxa"/>
            <w:vAlign w:val="bottom"/>
          </w:tcPr>
          <w:p>
            <w:pPr>
              <w:ind w:left="120"/>
              <w:spacing w:after="0"/>
              <w:rPr>
                <w:sz w:val="20"/>
                <w:szCs w:val="20"/>
                <w:color w:val="auto"/>
              </w:rPr>
            </w:pPr>
            <w:r>
              <w:rPr>
                <w:rFonts w:ascii="Arial" w:cs="Arial" w:eastAsia="Arial" w:hAnsi="Arial"/>
                <w:sz w:val="18"/>
                <w:szCs w:val="18"/>
                <w:color w:val="auto"/>
              </w:rPr>
              <w:t>NOTICE TO PERSON WITH WHOM COMMUNICATION IS UNLAWFUL</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7.5</w:t>
            </w:r>
          </w:p>
        </w:tc>
        <w:tc>
          <w:tcPr>
            <w:tcW w:w="978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180" w:type="dxa"/>
            <w:vAlign w:val="bottom"/>
          </w:tcPr>
          <w:p>
            <w:pPr>
              <w:ind w:left="760"/>
              <w:spacing w:after="0"/>
              <w:rPr>
                <w:sz w:val="20"/>
                <w:szCs w:val="20"/>
                <w:color w:val="auto"/>
              </w:rPr>
            </w:pPr>
            <w:r>
              <w:rPr>
                <w:rFonts w:ascii="Arial" w:cs="Arial" w:eastAsia="Arial" w:hAnsi="Arial"/>
                <w:sz w:val="18"/>
                <w:szCs w:val="18"/>
                <w:color w:val="auto"/>
              </w:rPr>
              <w:t>8.1</w:t>
            </w:r>
          </w:p>
        </w:tc>
        <w:tc>
          <w:tcPr>
            <w:tcW w:w="978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8.2</w:t>
            </w:r>
          </w:p>
        </w:tc>
        <w:tc>
          <w:tcPr>
            <w:tcW w:w="978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ACTIONS BY OR IN THE RIGHT OF THE CORPORATION</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8.3</w:t>
            </w:r>
          </w:p>
        </w:tc>
        <w:tc>
          <w:tcPr>
            <w:tcW w:w="9780" w:type="dxa"/>
            <w:vAlign w:val="bottom"/>
          </w:tcPr>
          <w:p>
            <w:pPr>
              <w:ind w:left="120"/>
              <w:spacing w:after="0"/>
              <w:rPr>
                <w:sz w:val="20"/>
                <w:szCs w:val="20"/>
                <w:color w:val="auto"/>
              </w:rPr>
            </w:pPr>
            <w:r>
              <w:rPr>
                <w:rFonts w:ascii="Arial" w:cs="Arial" w:eastAsia="Arial" w:hAnsi="Arial"/>
                <w:sz w:val="18"/>
                <w:szCs w:val="18"/>
                <w:color w:val="auto"/>
              </w:rPr>
              <w:t>SUCCESSFUL DEFENSE</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8.4</w:t>
            </w:r>
          </w:p>
        </w:tc>
        <w:tc>
          <w:tcPr>
            <w:tcW w:w="9780" w:type="dxa"/>
            <w:vAlign w:val="bottom"/>
          </w:tcPr>
          <w:p>
            <w:pPr>
              <w:ind w:left="120"/>
              <w:spacing w:after="0"/>
              <w:rPr>
                <w:sz w:val="20"/>
                <w:szCs w:val="20"/>
                <w:color w:val="auto"/>
              </w:rPr>
            </w:pPr>
            <w:r>
              <w:rPr>
                <w:rFonts w:ascii="Arial" w:cs="Arial" w:eastAsia="Arial" w:hAnsi="Arial"/>
                <w:sz w:val="18"/>
                <w:szCs w:val="18"/>
                <w:color w:val="auto"/>
              </w:rPr>
              <w:t>INDEMNIFICATION OF OTHERS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8.5</w:t>
            </w:r>
          </w:p>
        </w:tc>
        <w:tc>
          <w:tcPr>
            <w:tcW w:w="9780" w:type="dxa"/>
            <w:vAlign w:val="bottom"/>
          </w:tcPr>
          <w:p>
            <w:pPr>
              <w:ind w:left="120"/>
              <w:spacing w:after="0"/>
              <w:rPr>
                <w:sz w:val="20"/>
                <w:szCs w:val="20"/>
                <w:color w:val="auto"/>
              </w:rPr>
            </w:pPr>
            <w:r>
              <w:rPr>
                <w:rFonts w:ascii="Arial" w:cs="Arial" w:eastAsia="Arial" w:hAnsi="Arial"/>
                <w:sz w:val="18"/>
                <w:szCs w:val="18"/>
                <w:color w:val="auto"/>
              </w:rPr>
              <w:t>ADVANCED PAYMENT OF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8.6</w:t>
            </w:r>
          </w:p>
        </w:tc>
        <w:tc>
          <w:tcPr>
            <w:tcW w:w="9780" w:type="dxa"/>
            <w:vAlign w:val="bottom"/>
          </w:tcPr>
          <w:p>
            <w:pPr>
              <w:ind w:left="120"/>
              <w:spacing w:after="0"/>
              <w:rPr>
                <w:sz w:val="20"/>
                <w:szCs w:val="20"/>
                <w:color w:val="auto"/>
              </w:rPr>
            </w:pPr>
            <w:r>
              <w:rPr>
                <w:rFonts w:ascii="Arial" w:cs="Arial" w:eastAsia="Arial" w:hAnsi="Arial"/>
                <w:sz w:val="18"/>
                <w:szCs w:val="18"/>
                <w:color w:val="auto"/>
              </w:rPr>
              <w:t>LIMITATION ON INDEMNIFICATION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8.7</w:t>
            </w:r>
          </w:p>
        </w:tc>
        <w:tc>
          <w:tcPr>
            <w:tcW w:w="9780" w:type="dxa"/>
            <w:vAlign w:val="bottom"/>
          </w:tcPr>
          <w:p>
            <w:pPr>
              <w:ind w:left="120"/>
              <w:spacing w:after="0"/>
              <w:rPr>
                <w:sz w:val="20"/>
                <w:szCs w:val="20"/>
                <w:color w:val="auto"/>
              </w:rPr>
            </w:pPr>
            <w:r>
              <w:rPr>
                <w:rFonts w:ascii="Arial" w:cs="Arial" w:eastAsia="Arial" w:hAnsi="Arial"/>
                <w:sz w:val="18"/>
                <w:szCs w:val="18"/>
                <w:color w:val="auto"/>
              </w:rPr>
              <w:t>DETERMINATION; CLAIM</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8.8</w:t>
            </w:r>
          </w:p>
        </w:tc>
        <w:tc>
          <w:tcPr>
            <w:tcW w:w="9780" w:type="dxa"/>
            <w:vAlign w:val="bottom"/>
          </w:tcPr>
          <w:p>
            <w:pPr>
              <w:ind w:left="120"/>
              <w:spacing w:after="0"/>
              <w:rPr>
                <w:sz w:val="20"/>
                <w:szCs w:val="20"/>
                <w:color w:val="auto"/>
              </w:rPr>
            </w:pPr>
            <w:r>
              <w:rPr>
                <w:rFonts w:ascii="Arial" w:cs="Arial" w:eastAsia="Arial" w:hAnsi="Arial"/>
                <w:sz w:val="18"/>
                <w:szCs w:val="18"/>
                <w:color w:val="auto"/>
              </w:rPr>
              <w:t>NON-EXCLUSIVITY OF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8.9</w:t>
            </w:r>
          </w:p>
        </w:tc>
        <w:tc>
          <w:tcPr>
            <w:tcW w:w="978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8.10</w:t>
            </w:r>
          </w:p>
        </w:tc>
        <w:tc>
          <w:tcPr>
            <w:tcW w:w="9780" w:type="dxa"/>
            <w:vAlign w:val="bottom"/>
          </w:tcPr>
          <w:p>
            <w:pPr>
              <w:ind w:left="120"/>
              <w:spacing w:after="0"/>
              <w:rPr>
                <w:sz w:val="20"/>
                <w:szCs w:val="20"/>
                <w:color w:val="auto"/>
              </w:rPr>
            </w:pPr>
            <w:r>
              <w:rPr>
                <w:rFonts w:ascii="Arial" w:cs="Arial" w:eastAsia="Arial" w:hAnsi="Arial"/>
                <w:sz w:val="18"/>
                <w:szCs w:val="18"/>
                <w:color w:val="auto"/>
              </w:rPr>
              <w:t>SURVIVAL</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80" w:type="dxa"/>
            <w:vAlign w:val="bottom"/>
          </w:tcPr>
          <w:p>
            <w:pPr>
              <w:ind w:left="760"/>
              <w:spacing w:after="0"/>
              <w:rPr>
                <w:sz w:val="20"/>
                <w:szCs w:val="20"/>
                <w:color w:val="auto"/>
              </w:rPr>
            </w:pPr>
            <w:r>
              <w:rPr>
                <w:rFonts w:ascii="Arial" w:cs="Arial" w:eastAsia="Arial" w:hAnsi="Arial"/>
                <w:sz w:val="18"/>
                <w:szCs w:val="18"/>
                <w:color w:val="auto"/>
              </w:rPr>
              <w:t>8.11</w:t>
            </w:r>
          </w:p>
        </w:tc>
        <w:tc>
          <w:tcPr>
            <w:tcW w:w="9780" w:type="dxa"/>
            <w:vAlign w:val="bottom"/>
          </w:tcPr>
          <w:p>
            <w:pPr>
              <w:ind w:left="120"/>
              <w:spacing w:after="0"/>
              <w:rPr>
                <w:sz w:val="20"/>
                <w:szCs w:val="20"/>
                <w:color w:val="auto"/>
              </w:rPr>
            </w:pPr>
            <w:r>
              <w:rPr>
                <w:rFonts w:ascii="Arial" w:cs="Arial" w:eastAsia="Arial" w:hAnsi="Arial"/>
                <w:sz w:val="18"/>
                <w:szCs w:val="18"/>
                <w:color w:val="auto"/>
              </w:rPr>
              <w:t>EFFECT OF REPEAL OR MODIFICATION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180" w:type="dxa"/>
            <w:vAlign w:val="bottom"/>
          </w:tcPr>
          <w:p>
            <w:pPr>
              <w:ind w:left="760"/>
              <w:spacing w:after="0"/>
              <w:rPr>
                <w:sz w:val="20"/>
                <w:szCs w:val="20"/>
                <w:color w:val="auto"/>
              </w:rPr>
            </w:pPr>
            <w:r>
              <w:rPr>
                <w:rFonts w:ascii="Arial" w:cs="Arial" w:eastAsia="Arial" w:hAnsi="Arial"/>
                <w:sz w:val="18"/>
                <w:szCs w:val="18"/>
                <w:color w:val="auto"/>
              </w:rPr>
              <w:t>8.12</w:t>
            </w:r>
          </w:p>
        </w:tc>
        <w:tc>
          <w:tcPr>
            <w:tcW w:w="978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248" w:name="page249"/>
    <w:bookmarkEnd w:id="24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98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317"/>
        </w:trPr>
        <w:tc>
          <w:tcPr>
            <w:tcW w:w="1096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1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9860" w:type="dxa"/>
            <w:vAlign w:val="bottom"/>
          </w:tcPr>
          <w:p>
            <w:pPr>
              <w:ind w:left="120"/>
              <w:spacing w:after="0"/>
              <w:rPr>
                <w:sz w:val="20"/>
                <w:szCs w:val="20"/>
                <w:color w:val="auto"/>
              </w:rPr>
            </w:pPr>
            <w:r>
              <w:rPr>
                <w:rFonts w:ascii="Arial" w:cs="Arial" w:eastAsia="Arial" w:hAnsi="Arial"/>
                <w:sz w:val="18"/>
                <w:szCs w:val="18"/>
                <w:color w:val="auto"/>
              </w:rPr>
              <w:t>EXECUTION OF CORPORATE CONTRACTS AND INSTRUMENTS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98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9860" w:type="dxa"/>
            <w:vAlign w:val="bottom"/>
          </w:tcPr>
          <w:p>
            <w:pPr>
              <w:ind w:left="120"/>
              <w:spacing w:after="0"/>
              <w:rPr>
                <w:sz w:val="20"/>
                <w:szCs w:val="20"/>
                <w:color w:val="auto"/>
              </w:rPr>
            </w:pPr>
            <w:r>
              <w:rPr>
                <w:rFonts w:ascii="Arial" w:cs="Arial" w:eastAsia="Arial" w:hAnsi="Arial"/>
                <w:sz w:val="18"/>
                <w:szCs w:val="18"/>
                <w:color w:val="auto"/>
              </w:rPr>
              <w:t>SEAL</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1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9860" w:type="dxa"/>
            <w:vAlign w:val="bottom"/>
          </w:tcPr>
          <w:p>
            <w:pPr>
              <w:ind w:left="120"/>
              <w:spacing w:after="0"/>
              <w:rPr>
                <w:sz w:val="20"/>
                <w:szCs w:val="20"/>
                <w:color w:val="auto"/>
              </w:rPr>
            </w:pPr>
            <w:r>
              <w:rPr>
                <w:rFonts w:ascii="Arial" w:cs="Arial" w:eastAsia="Arial" w:hAnsi="Arial"/>
                <w:sz w:val="18"/>
                <w:szCs w:val="18"/>
                <w:color w:val="auto"/>
              </w:rPr>
              <w:t>CONSTRUCTION; 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96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1100" w:type="dxa"/>
            <w:vAlign w:val="bottom"/>
          </w:tcPr>
          <w:p>
            <w:pPr>
              <w:spacing w:after="0"/>
              <w:rPr>
                <w:sz w:val="24"/>
                <w:szCs w:val="24"/>
                <w:color w:val="auto"/>
              </w:rPr>
            </w:pPr>
          </w:p>
        </w:tc>
        <w:tc>
          <w:tcPr>
            <w:tcW w:w="9860" w:type="dxa"/>
            <w:vAlign w:val="bottom"/>
          </w:tcPr>
          <w:p>
            <w:pPr>
              <w:ind w:left="4480"/>
              <w:spacing w:after="0"/>
              <w:rPr>
                <w:sz w:val="20"/>
                <w:szCs w:val="20"/>
                <w:color w:val="auto"/>
              </w:rPr>
            </w:pPr>
            <w:r>
              <w:rPr>
                <w:rFonts w:ascii="Arial" w:cs="Arial" w:eastAsia="Arial" w:hAnsi="Arial"/>
                <w:sz w:val="18"/>
                <w:szCs w:val="18"/>
                <w:color w:val="auto"/>
              </w:rPr>
              <w:t>-iii-</w:t>
            </w:r>
          </w:p>
        </w:tc>
        <w:tc>
          <w:tcPr>
            <w:tcW w:w="36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BYLAWS OF 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143510</wp:posOffset>
            </wp:positionV>
            <wp:extent cx="18783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registered office of Fluidigm Corporation shall be fixed in the corporation’s certificate of incorporation. References in these bylaws to the certificate of incorporation shall mean the certificate of incorporation of the corporation, as amended from time to time, including the terms of any certificate of designations of any series of Preferred Stock.</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corporation’s board of directors may at any time establish other offices at any place or places where the corporation is qualified to do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PLACE OF MEETINGS</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corporation’s principal executive office.</w:t>
      </w:r>
    </w:p>
    <w:p>
      <w:pPr>
        <w:spacing w:after="0" w:line="15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ANNUAL MEETING</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annual meeting of stockholders shall be held on such date, at such time, and at such place (if any) within or without the State of Delaware as shall be designated from time to time by the board of directors and stated in the corporation’s notice of the meeting. At the annual meeting, directors shall be elected and any other proper business may be transacted.</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SPECIAL MEETING</w:t>
      </w:r>
    </w:p>
    <w:p>
      <w:pPr>
        <w:spacing w:after="0" w:line="171" w:lineRule="exact"/>
        <w:rPr>
          <w:sz w:val="20"/>
          <w:szCs w:val="20"/>
          <w:color w:val="auto"/>
        </w:rPr>
      </w:pPr>
    </w:p>
    <w:p>
      <w:pPr>
        <w:jc w:val="both"/>
        <w:ind w:firstLine="1402"/>
        <w:spacing w:after="0" w:line="298" w:lineRule="auto"/>
        <w:tabs>
          <w:tab w:leader="none" w:pos="216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only by (A) the board of directors, (B) the chairperson of the board of directors, (C) the chief executive officer or (D) the president (in the absence of a chief executive officer). A special meeting of the stockholders may not be called by any other person or persons. The board of directors may cancel, postpone or reschedule any previously scheduled special meeting at any time, before or after the notice for such meeting has been sent to the stockholders.</w:t>
      </w:r>
    </w:p>
    <w:p>
      <w:pPr>
        <w:sectPr>
          <w:pgSz w:w="11900" w:h="16838" w:orient="portrait"/>
          <w:cols w:equalWidth="0" w:num="1">
            <w:col w:w="11420"/>
          </w:cols>
          <w:pgMar w:left="240" w:top="490" w:right="239" w:bottom="1440" w:gutter="0" w:footer="0" w:header="0"/>
        </w:sectPr>
      </w:pPr>
    </w:p>
    <w:bookmarkStart w:id="250" w:name="page251"/>
    <w:bookmarkEnd w:id="250"/>
    <w:p>
      <w:pPr>
        <w:jc w:val="both"/>
        <w:ind w:firstLine="1325"/>
        <w:spacing w:after="0" w:line="298" w:lineRule="auto"/>
        <w:tabs>
          <w:tab w:leader="none" w:pos="2013"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the board of directors, the chairperson of the board of directors, the chief executive officer or the president (in the absence of a chief executive officer). Nothing contained in this Section 2.3(ii) shall be construed as limiting, fixing or affecting the time when a meeting of stockholders called by action of the board of directors may be held.</w:t>
      </w:r>
    </w:p>
    <w:p>
      <w:pPr>
        <w:spacing w:after="0" w:line="15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ADVANCE NOTICE PROCEDURES</w:t>
      </w:r>
    </w:p>
    <w:p>
      <w:pPr>
        <w:spacing w:after="0" w:line="171" w:lineRule="exact"/>
        <w:rPr>
          <w:sz w:val="20"/>
          <w:szCs w:val="20"/>
          <w:color w:val="auto"/>
        </w:rPr>
      </w:pPr>
    </w:p>
    <w:p>
      <w:pPr>
        <w:jc w:val="both"/>
        <w:ind w:firstLine="1298"/>
        <w:spacing w:after="0" w:line="309" w:lineRule="auto"/>
        <w:tabs>
          <w:tab w:leader="none" w:pos="1895" w:val="left"/>
        </w:tabs>
        <w:numPr>
          <w:ilvl w:val="0"/>
          <w:numId w:val="170"/>
        </w:numPr>
        <w:rPr>
          <w:rFonts w:ascii="Arial" w:cs="Arial" w:eastAsia="Arial" w:hAnsi="Arial"/>
          <w:sz w:val="15"/>
          <w:szCs w:val="15"/>
          <w:color w:val="auto"/>
        </w:rPr>
      </w:pPr>
      <w:r>
        <w:rPr>
          <w:rFonts w:ascii="Arial" w:cs="Arial" w:eastAsia="Arial" w:hAnsi="Arial"/>
          <w:sz w:val="15"/>
          <w:szCs w:val="15"/>
          <w:i w:val="1"/>
          <w:iCs w:val="1"/>
          <w:color w:val="auto"/>
        </w:rPr>
        <w:t xml:space="preserve">Advance Notice of Stockholder Business. </w:t>
      </w:r>
      <w:r>
        <w:rPr>
          <w:rFonts w:ascii="Arial" w:cs="Arial" w:eastAsia="Arial" w:hAnsi="Arial"/>
          <w:sz w:val="15"/>
          <w:szCs w:val="15"/>
          <w:color w:val="auto"/>
        </w:rPr>
        <w:t>At an annual meeting of the stockholders, only such business shall be conducted as shall have</w:t>
      </w:r>
      <w:r>
        <w:rPr>
          <w:rFonts w:ascii="Arial" w:cs="Arial" w:eastAsia="Arial" w:hAnsi="Arial"/>
          <w:sz w:val="15"/>
          <w:szCs w:val="15"/>
          <w:i w:val="1"/>
          <w:iCs w:val="1"/>
          <w:color w:val="auto"/>
        </w:rPr>
        <w:t xml:space="preserve"> </w:t>
      </w:r>
      <w:r>
        <w:rPr>
          <w:rFonts w:ascii="Arial" w:cs="Arial" w:eastAsia="Arial" w:hAnsi="Arial"/>
          <w:sz w:val="15"/>
          <w:szCs w:val="15"/>
          <w:color w:val="auto"/>
        </w:rPr>
        <w:t>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and Exchange Act of 1934,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108" w:lineRule="exact"/>
        <w:rPr>
          <w:rFonts w:ascii="Arial" w:cs="Arial" w:eastAsia="Arial" w:hAnsi="Arial"/>
          <w:sz w:val="15"/>
          <w:szCs w:val="15"/>
          <w:color w:val="auto"/>
        </w:rPr>
      </w:pPr>
    </w:p>
    <w:p>
      <w:pPr>
        <w:jc w:val="both"/>
        <w:ind w:firstLine="2001"/>
        <w:spacing w:after="0" w:line="286" w:lineRule="auto"/>
        <w:tabs>
          <w:tab w:leader="none" w:pos="26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no annual meeting was held in the previous year or if the date of the annual meeting is advanced by more than 30 days prior to or</w:t>
      </w:r>
      <w:r>
        <w:rPr>
          <w:rFonts w:ascii="Arial" w:cs="Arial" w:eastAsia="Arial" w:hAnsi="Arial"/>
          <w:sz w:val="16"/>
          <w:szCs w:val="16"/>
          <w:i w:val="1"/>
          <w:iCs w:val="1"/>
          <w:color w:val="auto"/>
        </w:rPr>
        <w:t xml:space="preserve"> </w:t>
      </w:r>
      <w:r>
        <w:rPr>
          <w:rFonts w:ascii="Arial" w:cs="Arial" w:eastAsia="Arial" w:hAnsi="Arial"/>
          <w:sz w:val="16"/>
          <w:szCs w:val="16"/>
          <w:color w:val="auto"/>
        </w:rPr>
        <w:t>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Securities Exchange Act of 1934, as amended, or any successor thereto (the “</w:t>
      </w:r>
      <w:r>
        <w:rPr>
          <w:rFonts w:ascii="Arial" w:cs="Arial" w:eastAsia="Arial" w:hAnsi="Arial"/>
          <w:sz w:val="16"/>
          <w:szCs w:val="16"/>
          <w:b w:val="1"/>
          <w:bCs w:val="1"/>
          <w:color w:val="auto"/>
        </w:rPr>
        <w:t>1934 Act</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jc w:val="both"/>
        <w:ind w:right="20" w:firstLine="2109"/>
        <w:spacing w:after="0" w:line="306" w:lineRule="auto"/>
        <w:tabs>
          <w:tab w:leader="none" w:pos="2932" w:val="left"/>
        </w:tabs>
        <w:numPr>
          <w:ilvl w:val="2"/>
          <w:numId w:val="170"/>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 they appear on the corporation’s books,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4" w:right="239" w:bottom="1440" w:gutter="0" w:footer="0" w:header="0"/>
        </w:sectPr>
      </w:pPr>
    </w:p>
    <w:bookmarkStart w:id="251" w:name="page252"/>
    <w:bookmarkEnd w:id="251"/>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6"/>
          <w:szCs w:val="16"/>
          <w:b w:val="1"/>
          <w:bCs w:val="1"/>
          <w:color w:val="auto"/>
        </w:rPr>
        <w:t>Business Solicitation Statement</w:t>
      </w:r>
      <w:r>
        <w:rPr>
          <w:rFonts w:ascii="Arial" w:cs="Arial" w:eastAsia="Arial" w:hAnsi="Arial"/>
          <w:sz w:val="16"/>
          <w:szCs w:val="16"/>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Arial" w:cs="Arial" w:eastAsia="Arial" w:hAnsi="Arial"/>
          <w:sz w:val="16"/>
          <w:szCs w:val="16"/>
          <w:b w:val="1"/>
          <w:bCs w:val="1"/>
          <w:color w:val="auto"/>
        </w:rPr>
        <w:t>Stockholder Associated Person</w:t>
      </w:r>
      <w:r>
        <w:rPr>
          <w:rFonts w:ascii="Arial" w:cs="Arial" w:eastAsia="Arial" w:hAnsi="Arial"/>
          <w:sz w:val="16"/>
          <w:szCs w:val="16"/>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26" w:lineRule="exact"/>
        <w:rPr>
          <w:sz w:val="20"/>
          <w:szCs w:val="20"/>
          <w:color w:val="auto"/>
        </w:rPr>
      </w:pPr>
    </w:p>
    <w:p>
      <w:pPr>
        <w:jc w:val="both"/>
        <w:ind w:firstLine="1993"/>
        <w:spacing w:after="0" w:line="289" w:lineRule="auto"/>
        <w:tabs>
          <w:tab w:leader="none" w:pos="26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18" w:lineRule="exact"/>
        <w:rPr>
          <w:rFonts w:ascii="Arial" w:cs="Arial" w:eastAsia="Arial" w:hAnsi="Arial"/>
          <w:sz w:val="16"/>
          <w:szCs w:val="16"/>
          <w:color w:val="auto"/>
        </w:rPr>
      </w:pPr>
    </w:p>
    <w:p>
      <w:pPr>
        <w:jc w:val="both"/>
        <w:ind w:firstLine="1314"/>
        <w:spacing w:after="0" w:line="290" w:lineRule="auto"/>
        <w:tabs>
          <w:tab w:leader="none" w:pos="1984"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of Director Nominations at Annual Meetings. </w:t>
      </w:r>
      <w:r>
        <w:rPr>
          <w:rFonts w:ascii="Arial" w:cs="Arial" w:eastAsia="Arial" w:hAnsi="Arial"/>
          <w:sz w:val="16"/>
          <w:szCs w:val="16"/>
          <w:color w:val="auto"/>
        </w:rPr>
        <w:t>Notwithstanding anything in these bylaws to the contrary, only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nominated in accordance with the procedures set forth in this Section 2.4(ii) shall be eligible for election or re-election as directors at an annual meeting of stockholders. Nominations of persons for election or re-election to 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52" w:name="page253"/>
    <w:bookmarkEnd w:id="252"/>
    <w:p>
      <w:pPr>
        <w:jc w:val="both"/>
        <w:ind w:firstLine="1829"/>
        <w:spacing w:after="0" w:line="259" w:lineRule="auto"/>
        <w:tabs>
          <w:tab w:leader="none" w:pos="2458" w:val="left"/>
        </w:tabs>
        <w:numPr>
          <w:ilvl w:val="2"/>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140" w:lineRule="exact"/>
        <w:rPr>
          <w:rFonts w:ascii="Arial" w:cs="Arial" w:eastAsia="Arial" w:hAnsi="Arial"/>
          <w:sz w:val="18"/>
          <w:szCs w:val="18"/>
          <w:color w:val="auto"/>
        </w:rPr>
      </w:pPr>
    </w:p>
    <w:p>
      <w:pPr>
        <w:ind w:left="2340" w:hanging="559"/>
        <w:spacing w:after="0"/>
        <w:tabs>
          <w:tab w:leader="none" w:pos="23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To be in proper written form, such stockholder’s notice to the secretary must set forth:</w:t>
      </w:r>
    </w:p>
    <w:p>
      <w:pPr>
        <w:spacing w:after="0" w:line="165" w:lineRule="exact"/>
        <w:rPr>
          <w:rFonts w:ascii="Arial" w:cs="Arial" w:eastAsia="Arial" w:hAnsi="Arial"/>
          <w:sz w:val="18"/>
          <w:szCs w:val="18"/>
          <w:color w:val="auto"/>
        </w:rPr>
      </w:pPr>
    </w:p>
    <w:p>
      <w:pPr>
        <w:ind w:left="2980" w:hanging="534"/>
        <w:spacing w:after="0"/>
        <w:tabs>
          <w:tab w:leader="none" w:pos="2980" w:val="left"/>
        </w:tabs>
        <w:numPr>
          <w:ilvl w:val="5"/>
          <w:numId w:val="174"/>
        </w:numPr>
        <w:rPr>
          <w:rFonts w:ascii="Arial" w:cs="Arial" w:eastAsia="Arial" w:hAnsi="Arial"/>
          <w:sz w:val="16"/>
          <w:szCs w:val="16"/>
          <w:color w:val="auto"/>
        </w:rPr>
      </w:pPr>
      <w:r>
        <w:rPr>
          <w:rFonts w:ascii="Arial" w:cs="Arial" w:eastAsia="Arial" w:hAnsi="Arial"/>
          <w:sz w:val="16"/>
          <w:szCs w:val="16"/>
          <w:color w:val="auto"/>
        </w:rPr>
        <w:t>as to each person (a “</w:t>
      </w:r>
      <w:r>
        <w:rPr>
          <w:rFonts w:ascii="Arial" w:cs="Arial" w:eastAsia="Arial" w:hAnsi="Arial"/>
          <w:sz w:val="16"/>
          <w:szCs w:val="16"/>
          <w:b w:val="1"/>
          <w:bCs w:val="1"/>
          <w:color w:val="auto"/>
        </w:rPr>
        <w:t>nominee</w:t>
      </w:r>
      <w:r>
        <w:rPr>
          <w:rFonts w:ascii="Arial" w:cs="Arial" w:eastAsia="Arial" w:hAnsi="Arial"/>
          <w:sz w:val="16"/>
          <w:szCs w:val="16"/>
          <w:color w:val="auto"/>
        </w:rPr>
        <w:t>”) whom the stockholder proposes to nominate for election or re-election as a director:</w:t>
      </w:r>
    </w:p>
    <w:p>
      <w:pPr>
        <w:spacing w:after="0" w:line="44" w:lineRule="exact"/>
        <w:rPr>
          <w:rFonts w:ascii="Arial" w:cs="Arial" w:eastAsia="Arial" w:hAnsi="Arial"/>
          <w:sz w:val="16"/>
          <w:szCs w:val="16"/>
          <w:color w:val="auto"/>
        </w:rPr>
      </w:pPr>
    </w:p>
    <w:p>
      <w:pPr>
        <w:jc w:val="both"/>
        <w:ind w:firstLine="8"/>
        <w:spacing w:after="0" w:line="285" w:lineRule="auto"/>
        <w:tabs>
          <w:tab w:leader="none" w:pos="29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or re-election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or re-elected, as the case may be); and</w:t>
      </w:r>
    </w:p>
    <w:p>
      <w:pPr>
        <w:spacing w:after="0" w:line="126" w:lineRule="exact"/>
        <w:rPr>
          <w:rFonts w:ascii="Arial" w:cs="Arial" w:eastAsia="Arial" w:hAnsi="Arial"/>
          <w:sz w:val="16"/>
          <w:szCs w:val="16"/>
          <w:color w:val="auto"/>
        </w:rPr>
      </w:pPr>
    </w:p>
    <w:p>
      <w:pPr>
        <w:jc w:val="both"/>
        <w:ind w:firstLine="2414"/>
        <w:spacing w:after="0" w:line="291" w:lineRule="auto"/>
        <w:tabs>
          <w:tab w:leader="none" w:pos="2922" w:val="left"/>
        </w:tabs>
        <w:numPr>
          <w:ilvl w:val="4"/>
          <w:numId w:val="175"/>
        </w:numPr>
        <w:rPr>
          <w:rFonts w:ascii="Arial" w:cs="Arial" w:eastAsia="Arial" w:hAnsi="Arial"/>
          <w:sz w:val="16"/>
          <w:szCs w:val="16"/>
          <w:color w:val="auto"/>
        </w:rPr>
      </w:pPr>
      <w:r>
        <w:rPr>
          <w:rFonts w:ascii="Arial" w:cs="Arial" w:eastAsia="Arial" w:hAnsi="Arial"/>
          <w:sz w:val="16"/>
          <w:szCs w:val="16"/>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or re-elect such nominee(s) (such information provided and statements made as required by clauses (A) and (B) above, a “</w:t>
      </w:r>
      <w:r>
        <w:rPr>
          <w:rFonts w:ascii="Arial" w:cs="Arial" w:eastAsia="Arial" w:hAnsi="Arial"/>
          <w:sz w:val="16"/>
          <w:szCs w:val="16"/>
          <w:b w:val="1"/>
          <w:bCs w:val="1"/>
          <w:color w:val="auto"/>
        </w:rPr>
        <w:t>Nominee Solicitation Statement</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1846"/>
        <w:spacing w:after="0" w:line="283" w:lineRule="auto"/>
        <w:tabs>
          <w:tab w:leader="none" w:pos="2383" w:val="left"/>
        </w:tabs>
        <w:numPr>
          <w:ilvl w:val="3"/>
          <w:numId w:val="175"/>
        </w:numPr>
        <w:rPr>
          <w:rFonts w:ascii="Arial" w:cs="Arial" w:eastAsia="Arial" w:hAnsi="Arial"/>
          <w:sz w:val="16"/>
          <w:szCs w:val="16"/>
          <w:color w:val="auto"/>
        </w:rPr>
      </w:pPr>
      <w:r>
        <w:rPr>
          <w:rFonts w:ascii="Arial" w:cs="Arial" w:eastAsia="Arial" w:hAnsi="Arial"/>
          <w:sz w:val="16"/>
          <w:szCs w:val="16"/>
          <w:color w:val="auto"/>
        </w:rPr>
        <w:t>At the request of the board of directors, any person nominated by a stockholder for election or re-election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publicly-disclosed corporate governance guideline or committee charter of the corporation and</w:t>
      </w:r>
    </w:p>
    <w:p>
      <w:pPr>
        <w:spacing w:after="0" w:line="2"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(3)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4" w:right="239" w:bottom="1440" w:gutter="0" w:footer="0" w:header="0"/>
        </w:sectPr>
      </w:pPr>
    </w:p>
    <w:bookmarkStart w:id="253" w:name="page254"/>
    <w:bookmarkEnd w:id="253"/>
    <w:p>
      <w:pPr>
        <w:jc w:val="both"/>
        <w:ind w:firstLine="1750"/>
        <w:spacing w:after="0" w:line="290" w:lineRule="auto"/>
        <w:tabs>
          <w:tab w:leader="none" w:pos="2218" w:val="left"/>
        </w:tabs>
        <w:numPr>
          <w:ilvl w:val="3"/>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18" w:lineRule="exact"/>
        <w:rPr>
          <w:rFonts w:ascii="Arial" w:cs="Arial" w:eastAsia="Arial" w:hAnsi="Arial"/>
          <w:sz w:val="16"/>
          <w:szCs w:val="16"/>
          <w:color w:val="auto"/>
        </w:rPr>
      </w:pPr>
    </w:p>
    <w:p>
      <w:pPr>
        <w:ind w:left="1640" w:hanging="605"/>
        <w:spacing w:after="0"/>
        <w:tabs>
          <w:tab w:leader="none" w:pos="1640" w:val="left"/>
        </w:tabs>
        <w:numPr>
          <w:ilvl w:val="0"/>
          <w:numId w:val="177"/>
        </w:numPr>
        <w:rPr>
          <w:rFonts w:ascii="Arial" w:cs="Arial" w:eastAsia="Arial" w:hAnsi="Arial"/>
          <w:sz w:val="18"/>
          <w:szCs w:val="18"/>
          <w:i w:val="1"/>
          <w:iCs w:val="1"/>
          <w:color w:val="auto"/>
        </w:rPr>
      </w:pPr>
      <w:r>
        <w:rPr>
          <w:rFonts w:ascii="Arial" w:cs="Arial" w:eastAsia="Arial" w:hAnsi="Arial"/>
          <w:sz w:val="18"/>
          <w:szCs w:val="18"/>
          <w:i w:val="1"/>
          <w:iCs w:val="1"/>
          <w:color w:val="auto"/>
        </w:rPr>
        <w:t>Advance Notice of Director Nominations for Special Meetings.</w:t>
      </w:r>
    </w:p>
    <w:p>
      <w:pPr>
        <w:spacing w:after="0" w:line="171" w:lineRule="exact"/>
        <w:rPr>
          <w:rFonts w:ascii="Arial" w:cs="Arial" w:eastAsia="Arial" w:hAnsi="Arial"/>
          <w:sz w:val="18"/>
          <w:szCs w:val="18"/>
          <w:i w:val="1"/>
          <w:iCs w:val="1"/>
          <w:color w:val="auto"/>
        </w:rPr>
      </w:pPr>
    </w:p>
    <w:p>
      <w:pPr>
        <w:jc w:val="both"/>
        <w:ind w:firstLine="1708"/>
        <w:spacing w:after="0" w:line="286" w:lineRule="auto"/>
        <w:tabs>
          <w:tab w:leader="none" w:pos="2203" w:val="left"/>
        </w:tabs>
        <w:numPr>
          <w:ilvl w:val="1"/>
          <w:numId w:val="177"/>
        </w:numPr>
        <w:rPr>
          <w:rFonts w:ascii="Arial" w:cs="Arial" w:eastAsia="Arial" w:hAnsi="Arial"/>
          <w:sz w:val="16"/>
          <w:szCs w:val="16"/>
          <w:color w:val="auto"/>
        </w:rPr>
      </w:pPr>
      <w:r>
        <w:rPr>
          <w:rFonts w:ascii="Arial" w:cs="Arial" w:eastAsia="Arial" w:hAnsi="Arial"/>
          <w:sz w:val="16"/>
          <w:szCs w:val="16"/>
          <w:color w:val="auto"/>
        </w:rPr>
        <w:t>For a special meeting of stockholders at which directors are to be elected or re-elected, nominations of persons for election or re-election to the board of directors shall be made only (1) by or at the direction of the board of directors or (2) by any stockholder of the corporation who (A) is a stockholder of record at the time of the giving of the notice required by this Section 2.4(iii)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or re-elected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24" w:lineRule="exact"/>
        <w:rPr>
          <w:rFonts w:ascii="Arial" w:cs="Arial" w:eastAsia="Arial" w:hAnsi="Arial"/>
          <w:sz w:val="16"/>
          <w:szCs w:val="16"/>
          <w:color w:val="auto"/>
        </w:rPr>
      </w:pPr>
    </w:p>
    <w:p>
      <w:pPr>
        <w:jc w:val="both"/>
        <w:ind w:firstLine="1737"/>
        <w:spacing w:after="0" w:line="259" w:lineRule="auto"/>
        <w:tabs>
          <w:tab w:leader="none" w:pos="2324" w:val="left"/>
        </w:tabs>
        <w:numPr>
          <w:ilvl w:val="2"/>
          <w:numId w:val="177"/>
        </w:numPr>
        <w:rPr>
          <w:rFonts w:ascii="Arial" w:cs="Arial" w:eastAsia="Arial" w:hAnsi="Arial"/>
          <w:sz w:val="18"/>
          <w:szCs w:val="18"/>
          <w:color w:val="auto"/>
        </w:rPr>
      </w:pPr>
      <w:r>
        <w:rPr>
          <w:rFonts w:ascii="Arial" w:cs="Arial" w:eastAsia="Arial" w:hAnsi="Arial"/>
          <w:sz w:val="18"/>
          <w:szCs w:val="18"/>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40" w:lineRule="exact"/>
        <w:rPr>
          <w:sz w:val="20"/>
          <w:szCs w:val="20"/>
          <w:color w:val="auto"/>
        </w:rPr>
      </w:pPr>
    </w:p>
    <w:p>
      <w:pPr>
        <w:jc w:val="both"/>
        <w:ind w:firstLine="1035"/>
        <w:spacing w:after="0" w:line="259" w:lineRule="auto"/>
        <w:tabs>
          <w:tab w:leader="none" w:pos="1784" w:val="left"/>
        </w:tabs>
        <w:numPr>
          <w:ilvl w:val="0"/>
          <w:numId w:val="178"/>
        </w:numPr>
        <w:rPr>
          <w:rFonts w:ascii="Arial" w:cs="Arial" w:eastAsia="Arial" w:hAnsi="Arial"/>
          <w:sz w:val="18"/>
          <w:szCs w:val="18"/>
          <w:i w:val="1"/>
          <w:iCs w:val="1"/>
          <w:color w:val="auto"/>
        </w:rPr>
      </w:pPr>
      <w:r>
        <w:rPr>
          <w:rFonts w:ascii="Arial" w:cs="Arial" w:eastAsia="Arial" w:hAnsi="Arial"/>
          <w:sz w:val="18"/>
          <w:szCs w:val="18"/>
          <w:i w:val="1"/>
          <w:iCs w:val="1"/>
          <w:color w:val="auto"/>
        </w:rPr>
        <w:t>Other Requirements and Rights</w:t>
      </w:r>
      <w:r>
        <w:rPr>
          <w:rFonts w:ascii="Arial" w:cs="Arial" w:eastAsia="Arial" w:hAnsi="Arial"/>
          <w:sz w:val="18"/>
          <w:szCs w:val="18"/>
          <w:color w:val="auto"/>
        </w:rPr>
        <w:t>. In addition to the foregoing provisions of this Section 2.4, a stockholder must also comply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of state law and of the 1934 Act and the rules and regulations thereunder with respect to the matters set forth in this Section 2.4. Nothing in this Section 2.4 shall be deemed to affect any rights of:</w:t>
      </w:r>
    </w:p>
    <w:p>
      <w:pPr>
        <w:spacing w:after="0" w:line="140" w:lineRule="exact"/>
        <w:rPr>
          <w:rFonts w:ascii="Arial" w:cs="Arial" w:eastAsia="Arial" w:hAnsi="Arial"/>
          <w:sz w:val="18"/>
          <w:szCs w:val="18"/>
          <w:i w:val="1"/>
          <w:iCs w:val="1"/>
          <w:color w:val="auto"/>
        </w:rPr>
      </w:pPr>
    </w:p>
    <w:p>
      <w:pPr>
        <w:ind w:right="20" w:firstLine="1732"/>
        <w:spacing w:after="0" w:line="268" w:lineRule="auto"/>
        <w:tabs>
          <w:tab w:leader="none" w:pos="229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stockholder to request inclusion of proposals in the corporation’s proxy statement pursuant to Rule 14a-8 (or any successor provision) under the 1934 Act; or</w:t>
      </w:r>
    </w:p>
    <w:p>
      <w:pPr>
        <w:spacing w:after="0" w:line="131" w:lineRule="exact"/>
        <w:rPr>
          <w:rFonts w:ascii="Arial" w:cs="Arial" w:eastAsia="Arial" w:hAnsi="Arial"/>
          <w:sz w:val="18"/>
          <w:szCs w:val="18"/>
          <w:color w:val="auto"/>
        </w:rPr>
      </w:pPr>
    </w:p>
    <w:p>
      <w:pPr>
        <w:ind w:left="2280" w:hanging="555"/>
        <w:spacing w:after="0"/>
        <w:tabs>
          <w:tab w:leader="none" w:pos="22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corporation to omit a proposal from the corporation’s proxy statement pursuant to Rule 14a-8 (or any successor provision)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1934 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4" w:right="239" w:bottom="1440" w:gutter="0" w:footer="0" w:header="0"/>
        </w:sectPr>
      </w:pPr>
    </w:p>
    <w:bookmarkStart w:id="254" w:name="page255"/>
    <w:bookmarkEnd w:id="254"/>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NOTICE OF STOCKHOLDERS’ MEETINGS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QUORUM</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84"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ADJOURNED MEETING; NOTICE</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2.11of these bylaws, and shall give notice of the adjourned meeting to each stockholder of record entitled to vote at such adjourned meeting as of the record date fixed for notice of such adjourned meeting.</w:t>
      </w:r>
    </w:p>
    <w:p>
      <w:pPr>
        <w:spacing w:after="0" w:line="15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55" w:name="page256"/>
    <w:bookmarkEnd w:id="25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absence of the chairperson of the board and the chief executive officer), or in their absence any other executive officer of the corporation, shall serve as chairperson of the stockholder meeting.</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VOTING</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5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STOCKHOLDER ACTION BY WRITTEN CONSENT WITHOUT A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Subject to the rights of the holders of the shares of any series of 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4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RECORD DATES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56" w:name="page257"/>
    <w:bookmarkEnd w:id="256"/>
    <w:p>
      <w:pPr>
        <w:jc w:val="both"/>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board of directors may fix a new record date for determination of stockholders entitled to vote at the adjourned meeting,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PROXIES</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185"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LIST OF STOCKHOLDERS ENTITLED TO VOTE</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The officer who has charge of the stock ledger of the corporation shall prepare and make, at least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The stockholder list shall be arranged in alphabetical order and show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257" w:name="page258"/>
    <w:bookmarkEnd w:id="257"/>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2.14</w:t>
      </w:r>
      <w:r>
        <w:rPr>
          <w:sz w:val="20"/>
          <w:szCs w:val="20"/>
          <w:color w:val="auto"/>
        </w:rPr>
        <w:tab/>
      </w:r>
      <w:r>
        <w:rPr>
          <w:rFonts w:ascii="Arial" w:cs="Arial" w:eastAsia="Arial" w:hAnsi="Arial"/>
          <w:sz w:val="16"/>
          <w:szCs w:val="16"/>
          <w:color w:val="auto"/>
        </w:rPr>
        <w:t>INSPECTORS OF ELECTION</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Each inspector, before entering upon the discharge of his or her duties, shall take and sign an oath to execute faithfully the duties of inspector with strict impartiality and according to the best of his or her ability. The inspector or inspectors so appointed and designated shall (i) ascertain the number of shares of capital stock of the corporation outstanding and the voting power of each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 or inspectors’ count of all votes and ballots.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determining the validity and counting of proxies and ballots cast at any meeting of stockholders of the corporation, the inspector or inspectors may consider such information as is permitted by applicable law. If there are three (3) inspectors of election, the decision, act or certificate of a majority is effective in all respects as the decision, act or certificate of all.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NUMBER OF DIRECTORS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board of directors shall consist of one or more members, each of whom shall be a natural person. Unless the certificate of incorporation fixes the number of directors, the number of directors shall be determined from time to time solely by resolution of the board of directors. No reduction of the authorized number of directors shall have the effect of removing any director before that director’s term of office expires.</w:t>
      </w:r>
    </w:p>
    <w:p>
      <w:pPr>
        <w:spacing w:after="0" w:line="14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ELECTION, QUALIFICATION AND TERM OF OFFICE OF DIRECTORS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58" w:name="page259"/>
    <w:bookmarkEnd w:id="258"/>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6"/>
          <w:szCs w:val="16"/>
          <w:color w:val="auto"/>
        </w:rPr>
        <w:t>RESIGNATION AND VACANCIES</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Any director may resign at any time upon notice given in writing or by electronic transmission to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delivered unless the resignation specifies a later effective date or an effective date determined upon the happening of an event or events.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 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PLACE OF MEETINGS; MEETINGS BY TELEPHONE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17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2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REGULAR MEETINGS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59" w:name="page260"/>
    <w:bookmarkEnd w:id="259"/>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w:t>
      </w:r>
      <w:r>
        <w:rPr>
          <w:sz w:val="20"/>
          <w:szCs w:val="20"/>
          <w:color w:val="auto"/>
        </w:rPr>
        <w:tab/>
      </w:r>
      <w:r>
        <w:rPr>
          <w:rFonts w:ascii="Arial" w:cs="Arial" w:eastAsia="Arial" w:hAnsi="Arial"/>
          <w:sz w:val="16"/>
          <w:szCs w:val="16"/>
          <w:color w:val="auto"/>
        </w:rPr>
        <w:t>SPECIAL MEETINGS; NOTICE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Special meetings of the board of directors for any purpose or purposes may be called at any time by the chairperson of the board of directors, the chief executive officer, the president, the secretary or a majority of the authorized number of directors, at such times and places as he or she or they shall designate.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12" w:lineRule="exact"/>
        <w:rPr>
          <w:sz w:val="20"/>
          <w:szCs w:val="20"/>
          <w:color w:val="auto"/>
        </w:rPr>
      </w:pPr>
    </w:p>
    <w:p>
      <w:pPr>
        <w:ind w:left="2160" w:hanging="656"/>
        <w:spacing w:after="0"/>
        <w:tabs>
          <w:tab w:leader="none" w:pos="2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11" w:lineRule="exact"/>
        <w:rPr>
          <w:rFonts w:ascii="Arial" w:cs="Arial" w:eastAsia="Arial" w:hAnsi="Arial"/>
          <w:sz w:val="18"/>
          <w:szCs w:val="18"/>
          <w:color w:val="auto"/>
        </w:rPr>
      </w:pPr>
    </w:p>
    <w:p>
      <w:pPr>
        <w:ind w:left="2160" w:hanging="700"/>
        <w:spacing w:after="0"/>
        <w:tabs>
          <w:tab w:leader="none" w:pos="2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11" w:lineRule="exact"/>
        <w:rPr>
          <w:rFonts w:ascii="Arial" w:cs="Arial" w:eastAsia="Arial" w:hAnsi="Arial"/>
          <w:sz w:val="18"/>
          <w:szCs w:val="18"/>
          <w:color w:val="auto"/>
        </w:rPr>
      </w:pPr>
    </w:p>
    <w:p>
      <w:pPr>
        <w:ind w:left="2160" w:hanging="744"/>
        <w:spacing w:after="0"/>
        <w:tabs>
          <w:tab w:leader="none" w:pos="2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11" w:lineRule="exact"/>
        <w:rPr>
          <w:rFonts w:ascii="Arial" w:cs="Arial" w:eastAsia="Arial" w:hAnsi="Arial"/>
          <w:sz w:val="18"/>
          <w:szCs w:val="18"/>
          <w:color w:val="auto"/>
        </w:rPr>
      </w:pPr>
    </w:p>
    <w:p>
      <w:pPr>
        <w:ind w:left="2160" w:hanging="744"/>
        <w:spacing w:after="0"/>
        <w:tabs>
          <w:tab w:leader="none" w:pos="2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5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QUORUM; VOTING</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BOARD ACTION BY WRITTEN CONSENT WITHOUT A MEETING</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60" w:name="page261"/>
    <w:bookmarkEnd w:id="26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4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FEES AND COMPENSATION OF DIRECTORS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REMOVAL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may be removed from office by the stockholders of the corporation only for cause.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COMMITTEES OF DIRECTORS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60"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COMMITTEE MINUTES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1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MEETINGS AND ACTION OF COMMITTEES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12" w:lineRule="exact"/>
        <w:rPr>
          <w:sz w:val="20"/>
          <w:szCs w:val="20"/>
          <w:color w:val="auto"/>
        </w:rPr>
      </w:pPr>
    </w:p>
    <w:p>
      <w:pPr>
        <w:ind w:left="5560" w:right="5100" w:hanging="4100"/>
        <w:spacing w:after="0" w:line="576" w:lineRule="auto"/>
        <w:tabs>
          <w:tab w:leader="none" w:pos="216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Section 3.5 (place of meetings and meetings by telephone); -12-</w:t>
      </w:r>
    </w:p>
    <w:p>
      <w:pPr>
        <w:sectPr>
          <w:pgSz w:w="11900" w:h="16838" w:orient="portrait"/>
          <w:cols w:equalWidth="0" w:num="1">
            <w:col w:w="11420"/>
          </w:cols>
          <w:pgMar w:left="240" w:top="280" w:right="239" w:bottom="1440" w:gutter="0" w:footer="0" w:header="0"/>
        </w:sectPr>
      </w:pPr>
    </w:p>
    <w:bookmarkStart w:id="261" w:name="page262"/>
    <w:bookmarkEnd w:id="261"/>
    <w:p>
      <w:pPr>
        <w:ind w:left="2160" w:hanging="744"/>
        <w:spacing w:after="0"/>
        <w:tabs>
          <w:tab w:leader="none" w:pos="2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3.6 (regular meetings);</w:t>
      </w:r>
    </w:p>
    <w:p>
      <w:pPr>
        <w:spacing w:after="0" w:line="211" w:lineRule="exact"/>
        <w:rPr>
          <w:rFonts w:ascii="Arial" w:cs="Arial" w:eastAsia="Arial" w:hAnsi="Arial"/>
          <w:sz w:val="18"/>
          <w:szCs w:val="18"/>
          <w:color w:val="auto"/>
        </w:rPr>
      </w:pPr>
    </w:p>
    <w:p>
      <w:pPr>
        <w:ind w:left="2160" w:hanging="788"/>
        <w:spacing w:after="0"/>
        <w:tabs>
          <w:tab w:leader="none" w:pos="2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211" w:lineRule="exact"/>
        <w:rPr>
          <w:rFonts w:ascii="Arial" w:cs="Arial" w:eastAsia="Arial" w:hAnsi="Arial"/>
          <w:sz w:val="18"/>
          <w:szCs w:val="18"/>
          <w:color w:val="auto"/>
        </w:rPr>
      </w:pPr>
    </w:p>
    <w:p>
      <w:pPr>
        <w:ind w:left="2160" w:hanging="788"/>
        <w:spacing w:after="0"/>
        <w:tabs>
          <w:tab w:leader="none" w:pos="2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211" w:lineRule="exact"/>
        <w:rPr>
          <w:rFonts w:ascii="Arial" w:cs="Arial" w:eastAsia="Arial" w:hAnsi="Arial"/>
          <w:sz w:val="18"/>
          <w:szCs w:val="18"/>
          <w:color w:val="auto"/>
        </w:rPr>
      </w:pPr>
    </w:p>
    <w:p>
      <w:pPr>
        <w:ind w:left="2160" w:hanging="744"/>
        <w:spacing w:after="0"/>
        <w:tabs>
          <w:tab w:leader="none" w:pos="2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211" w:lineRule="exact"/>
        <w:rPr>
          <w:rFonts w:ascii="Arial" w:cs="Arial" w:eastAsia="Arial" w:hAnsi="Arial"/>
          <w:sz w:val="18"/>
          <w:szCs w:val="18"/>
          <w:color w:val="auto"/>
        </w:rPr>
      </w:pPr>
    </w:p>
    <w:p>
      <w:pPr>
        <w:ind w:left="2160" w:hanging="788"/>
        <w:spacing w:after="0"/>
        <w:tabs>
          <w:tab w:leader="none" w:pos="2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7.5 (waiver of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of directors and its members.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165" w:lineRule="exact"/>
        <w:rPr>
          <w:sz w:val="20"/>
          <w:szCs w:val="20"/>
          <w:color w:val="auto"/>
        </w:rPr>
      </w:pPr>
    </w:p>
    <w:p>
      <w:pPr>
        <w:ind w:left="1940" w:hanging="598"/>
        <w:spacing w:after="0"/>
        <w:tabs>
          <w:tab w:leader="none" w:pos="1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by resolution of the committee;</w:t>
      </w:r>
    </w:p>
    <w:p>
      <w:pPr>
        <w:spacing w:after="0" w:line="171" w:lineRule="exact"/>
        <w:rPr>
          <w:rFonts w:ascii="Arial" w:cs="Arial" w:eastAsia="Arial" w:hAnsi="Arial"/>
          <w:sz w:val="18"/>
          <w:szCs w:val="18"/>
          <w:color w:val="auto"/>
        </w:rPr>
      </w:pPr>
    </w:p>
    <w:p>
      <w:pPr>
        <w:ind w:left="1960" w:hanging="618"/>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committee; and</w:t>
      </w:r>
    </w:p>
    <w:p>
      <w:pPr>
        <w:spacing w:after="0" w:line="171" w:lineRule="exact"/>
        <w:rPr>
          <w:sz w:val="20"/>
          <w:szCs w:val="20"/>
          <w:color w:val="auto"/>
        </w:rPr>
      </w:pPr>
    </w:p>
    <w:p>
      <w:pPr>
        <w:ind w:firstLine="1376"/>
        <w:spacing w:after="0" w:line="332" w:lineRule="auto"/>
        <w:tabs>
          <w:tab w:leader="none" w:pos="20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SUBCOMMITTEES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62" w:name="page263"/>
    <w:bookmarkEnd w:id="262"/>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APPOINTMENT OF OFFICERS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board of directors shall appoint the officers of the corporation, except such officers as may be appointed in accordance with the provisions of Section 5.3 of these bylaws, subject to the rights, if any, of an officer under any contract of employment. A vacancy in any office because of death, resignation, removal, disqualification or any other cause shall be filled in the manner prescribed in this Section 5 for the regular election to such office.</w:t>
      </w:r>
    </w:p>
    <w:p>
      <w:pPr>
        <w:spacing w:after="0" w:line="14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SUBORDINATE OFFICERS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4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REMOVAL AND RESIGNATION OF OFFICERS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Any officer may resign at any time by giving written or electronic notice to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5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VACANCIES IN OFFICES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Section 5.3.</w:t>
      </w:r>
    </w:p>
    <w:p>
      <w:pPr>
        <w:spacing w:after="0" w:line="21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REPRESENTATION OF SHARES OF OTHER CORPORATIONS</w:t>
      </w:r>
    </w:p>
    <w:p>
      <w:pPr>
        <w:spacing w:after="0" w:line="17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3" w:name="page264"/>
    <w:bookmarkEnd w:id="263"/>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r>
        <w:rPr>
          <w:sz w:val="20"/>
          <w:szCs w:val="20"/>
          <w:color w:val="auto"/>
        </w:rPr>
        <w:tab/>
      </w:r>
      <w:r>
        <w:rPr>
          <w:rFonts w:ascii="Arial" w:cs="Arial" w:eastAsia="Arial" w:hAnsi="Arial"/>
          <w:sz w:val="16"/>
          <w:szCs w:val="16"/>
          <w:color w:val="auto"/>
        </w:rPr>
        <w:t>AUTHORITY AND DUTIES OF OFFICERS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THE CHAIRPERSON OF THE BOARD</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chairperson of the board shall have the powers and duties customarily and usually associated with the office of the chairperson of the board. The chairperson of the board shall preside at meetings of the stockholders and of the board of directors.</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THE VICE CHAIRPERSON OF THE BOARD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vice chairperson of the board shall have the powers and duties customarily and usually associated with the office of the vice chairperson of the board. In the case of absence or disability of the chairperson of the board, the vice chairperson of the board shall perform the duties and exercise the powers of the chairperson of the board.</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THE CHIEF EXECUTIVE OFFICER</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chief executive officer shall have, subject to the supervision, direction and control of the board of directors, ultimate authority for decisions relating to the supervision, direction and management of the affairs and the business of the corporation customarily and usually associated with the position of chief executive officer, including, without limitation, all powers necessary to direct and control the organizational and reporting relationships within the corporation. If at any time the office of the chairperson and vice chairperson of the board shall not be filled, or in the event of the temporary absence or disability of the chairperson of the board and the vice chairperson of the board, the chief executive officer shall perform the duties and exercise the powers of the chairperson of the board unless otherwise determined by the board of directors.</w:t>
      </w:r>
    </w:p>
    <w:p>
      <w:pPr>
        <w:spacing w:after="0" w:line="16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PRESIDENT</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president shall have, subject to the supervision, direction and control of the board of directors, the general powers and duties of supervision, direction and management of the affairs and business of the corporation customarily and usually associated with the position of president. The president shall have such powers and perform such duties as may from time to time be assigned to him or her by the board of directors, the chairperson of the board or the chief executive officer. In the event of the absence or disability of the chief executive officer, the president shall perform the duties and exercise the powers of the chief executive officer unless otherwise determined by the board of directors.</w:t>
      </w:r>
    </w:p>
    <w:p>
      <w:pPr>
        <w:spacing w:after="0" w:line="18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THE VICE PRESIDENTS AND ASSISTANT VICE PRESIDENTS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Each vice president and assistant vice president shall have such powers and perform such duties as may from time to time be assigned to him or her by the board of directors, the chairperson of the board, the chief executive officer or the president.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64" w:name="page265"/>
    <w:bookmarkEnd w:id="264"/>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5.13</w:t>
      </w:r>
      <w:r>
        <w:rPr>
          <w:sz w:val="20"/>
          <w:szCs w:val="20"/>
          <w:color w:val="auto"/>
        </w:rPr>
        <w:tab/>
      </w:r>
      <w:r>
        <w:rPr>
          <w:rFonts w:ascii="Arial" w:cs="Arial" w:eastAsia="Arial" w:hAnsi="Arial"/>
          <w:sz w:val="16"/>
          <w:szCs w:val="16"/>
          <w:color w:val="auto"/>
        </w:rPr>
        <w:t>THE SECRETARY AND ASSISTANT SECRETARIES</w:t>
      </w:r>
    </w:p>
    <w:p>
      <w:pPr>
        <w:spacing w:after="0" w:line="171" w:lineRule="exact"/>
        <w:rPr>
          <w:sz w:val="20"/>
          <w:szCs w:val="20"/>
          <w:color w:val="auto"/>
        </w:rPr>
      </w:pPr>
    </w:p>
    <w:p>
      <w:pPr>
        <w:jc w:val="both"/>
        <w:ind w:firstLine="1303"/>
        <w:spacing w:after="0" w:line="256" w:lineRule="auto"/>
        <w:tabs>
          <w:tab w:leader="none" w:pos="17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secretary shall attend meetings of the board of directors and meetings of the stockholders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the chief executive officer or the president.</w:t>
      </w:r>
    </w:p>
    <w:p>
      <w:pPr>
        <w:spacing w:after="0" w:line="143" w:lineRule="exact"/>
        <w:rPr>
          <w:rFonts w:ascii="Arial" w:cs="Arial" w:eastAsia="Arial" w:hAnsi="Arial"/>
          <w:sz w:val="18"/>
          <w:szCs w:val="18"/>
          <w:color w:val="auto"/>
        </w:rPr>
      </w:pPr>
    </w:p>
    <w:p>
      <w:pPr>
        <w:jc w:val="both"/>
        <w:ind w:firstLine="1301"/>
        <w:spacing w:after="0" w:line="256" w:lineRule="auto"/>
        <w:tabs>
          <w:tab w:leader="none" w:pos="177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assistant secretary shall have such powers and perform such duties as may from time to time be assigned to him or her by the board of directors, the chairperson of the board,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84"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THE CHIEF FINANCIAL OFFICER AND ASSISTANT TREASURERS</w:t>
      </w:r>
    </w:p>
    <w:p>
      <w:pPr>
        <w:spacing w:after="0" w:line="171" w:lineRule="exact"/>
        <w:rPr>
          <w:sz w:val="20"/>
          <w:szCs w:val="20"/>
          <w:color w:val="auto"/>
        </w:rPr>
      </w:pPr>
    </w:p>
    <w:p>
      <w:pPr>
        <w:jc w:val="both"/>
        <w:ind w:firstLine="1367"/>
        <w:spacing w:after="0" w:line="290" w:lineRule="auto"/>
        <w:tabs>
          <w:tab w:leader="none" w:pos="185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chief financial officer shall be the treasurer of the corporation. The chief financial officer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chief financial officer shall also maintain adequate records of all assets, liabilities and transactions of the corporation and shall assure that adequate audits thereof are currently and regularly made. The chief financial officer shall have all such further powers and duties as are customarily and usually associated with the position of chief financial officer, or as may from time to time be assigned to him or her by the board of directors, the chairperson, the chief executive officer or the president.</w:t>
      </w:r>
    </w:p>
    <w:p>
      <w:pPr>
        <w:spacing w:after="0" w:line="118" w:lineRule="exact"/>
        <w:rPr>
          <w:rFonts w:ascii="Arial" w:cs="Arial" w:eastAsia="Arial" w:hAnsi="Arial"/>
          <w:sz w:val="16"/>
          <w:szCs w:val="16"/>
          <w:color w:val="auto"/>
        </w:rPr>
      </w:pPr>
    </w:p>
    <w:p>
      <w:pPr>
        <w:jc w:val="both"/>
        <w:ind w:firstLine="1305"/>
        <w:spacing w:after="0" w:line="256" w:lineRule="auto"/>
        <w:tabs>
          <w:tab w:leader="none" w:pos="178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assistant treasurer shall have such powers and perform such duties as may from time to time be assigned to him or her by the board of directors, the chief executive officer, the president or the chief financial officer. In the event of the absence, inability or refusal to act of the chief financial officer, the assistant treasurer (or if there shall be more than one, the assistant treasurers in the order determined by the board of directors) shall perform the duties and exercise the powers of the chief financial officer.</w:t>
      </w:r>
    </w:p>
    <w:p>
      <w:pPr>
        <w:spacing w:after="0" w:line="29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ARTICLE VI — STOCK</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STOCK CERTIFICATES; PARTLY PAID SHARES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vice-chairperson of the board of directors, or the president or a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65" w:name="page266"/>
    <w:bookmarkEnd w:id="265"/>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8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SPECIAL DESIGNATION ON CERTIFICATES</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LOST, STOLEN OR DESTROYED CERTIFICATES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DIVIDENDS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corporation’s capital stock. Dividends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in cash, in property, or in shares of the corporation’s capital stock, subject to the provisions of the certificate of incorporation.</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TRANSFER OF STOCK</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succession, assignment or authority to transfer is not prohibited by the certificate of incorporation, these bylaws, applicable law or contract.</w:t>
      </w:r>
    </w:p>
    <w:p>
      <w:pPr>
        <w:spacing w:after="0" w:line="184"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STOCK TRANSFER AGREEMENTS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REGISTERED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w:t>
      </w:r>
    </w:p>
    <w:p>
      <w:pPr>
        <w:spacing w:after="0" w:line="171" w:lineRule="exact"/>
        <w:rPr>
          <w:sz w:val="20"/>
          <w:szCs w:val="20"/>
          <w:color w:val="auto"/>
        </w:rPr>
      </w:pPr>
    </w:p>
    <w:p>
      <w:pPr>
        <w:ind w:left="1880" w:hanging="430"/>
        <w:spacing w:after="0"/>
        <w:tabs>
          <w:tab w:leader="none" w:pos="18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shall be entitled to recognize the exclusive right of a person registered on its books as the owner of shares to receive dividends and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 as such owner;</w:t>
      </w:r>
    </w:p>
    <w:p>
      <w:pPr>
        <w:spacing w:after="0" w:line="165" w:lineRule="exact"/>
        <w:rPr>
          <w:sz w:val="20"/>
          <w:szCs w:val="20"/>
          <w:color w:val="auto"/>
        </w:rPr>
      </w:pPr>
    </w:p>
    <w:p>
      <w:pPr>
        <w:ind w:left="1780" w:hanging="438"/>
        <w:spacing w:after="0"/>
        <w:tabs>
          <w:tab w:leader="none" w:pos="17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71" w:lineRule="exact"/>
        <w:rPr>
          <w:sz w:val="20"/>
          <w:szCs w:val="20"/>
          <w:color w:val="auto"/>
        </w:rPr>
      </w:pPr>
    </w:p>
    <w:p>
      <w:pPr>
        <w:ind w:firstLine="1321"/>
        <w:spacing w:after="0" w:line="268" w:lineRule="auto"/>
        <w:tabs>
          <w:tab w:leader="none" w:pos="181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8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NOTICE OF STOCKHOLDERS’ MEETINGS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67" w:name="page268"/>
    <w:bookmarkEnd w:id="267"/>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NOTICE BY ELECTRONIC TRANSMISSION</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13" w:lineRule="exact"/>
        <w:rPr>
          <w:sz w:val="20"/>
          <w:szCs w:val="20"/>
          <w:color w:val="auto"/>
        </w:rPr>
      </w:pPr>
    </w:p>
    <w:p>
      <w:pPr>
        <w:ind w:left="1800" w:hanging="440"/>
        <w:spacing w:after="0"/>
        <w:tabs>
          <w:tab w:leader="none" w:pos="18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corporation is unable to deliver by electronic transmission two consecutive notices given by the corporation in accordance with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consent; and</w:t>
      </w:r>
    </w:p>
    <w:p>
      <w:pPr>
        <w:spacing w:after="0" w:line="165" w:lineRule="exact"/>
        <w:rPr>
          <w:sz w:val="20"/>
          <w:szCs w:val="20"/>
          <w:color w:val="auto"/>
        </w:rPr>
      </w:pPr>
    </w:p>
    <w:p>
      <w:pPr>
        <w:ind w:firstLine="1417"/>
        <w:spacing w:after="0" w:line="268" w:lineRule="auto"/>
        <w:tabs>
          <w:tab w:leader="none" w:pos="194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71" w:lineRule="exact"/>
        <w:rPr>
          <w:sz w:val="20"/>
          <w:szCs w:val="20"/>
          <w:color w:val="auto"/>
        </w:rPr>
      </w:pPr>
    </w:p>
    <w:p>
      <w:pPr>
        <w:ind w:left="1720" w:hanging="422"/>
        <w:spacing w:after="0"/>
        <w:tabs>
          <w:tab w:leader="none" w:pos="17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71" w:lineRule="exact"/>
        <w:rPr>
          <w:rFonts w:ascii="Arial" w:cs="Arial" w:eastAsia="Arial" w:hAnsi="Arial"/>
          <w:sz w:val="18"/>
          <w:szCs w:val="18"/>
          <w:color w:val="auto"/>
        </w:rPr>
      </w:pPr>
    </w:p>
    <w:p>
      <w:pPr>
        <w:ind w:left="1740" w:hanging="442"/>
        <w:spacing w:after="0"/>
        <w:tabs>
          <w:tab w:leader="none" w:pos="174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by electronic mail, when directed to an electronic mail address at which the stockholder has consented to receive notice;</w:t>
      </w:r>
    </w:p>
    <w:p>
      <w:pPr>
        <w:spacing w:after="0" w:line="194" w:lineRule="exact"/>
        <w:rPr>
          <w:rFonts w:ascii="Arial" w:cs="Arial" w:eastAsia="Arial" w:hAnsi="Arial"/>
          <w:sz w:val="16"/>
          <w:szCs w:val="16"/>
          <w:color w:val="auto"/>
        </w:rPr>
      </w:pPr>
    </w:p>
    <w:p>
      <w:pPr>
        <w:ind w:left="1920" w:hanging="515"/>
        <w:spacing w:after="0"/>
        <w:tabs>
          <w:tab w:leader="none" w:pos="192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164" w:lineRule="exact"/>
        <w:rPr>
          <w:rFonts w:ascii="Arial" w:cs="Arial" w:eastAsia="Arial" w:hAnsi="Arial"/>
          <w:sz w:val="18"/>
          <w:szCs w:val="18"/>
          <w:color w:val="auto"/>
        </w:rPr>
      </w:pPr>
    </w:p>
    <w:p>
      <w:pPr>
        <w:ind w:left="1720" w:hanging="422"/>
        <w:spacing w:after="0"/>
        <w:tabs>
          <w:tab w:leader="none" w:pos="17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6"/>
          <w:szCs w:val="16"/>
          <w:color w:val="auto"/>
        </w:rPr>
        <w:t>An “</w:t>
      </w:r>
      <w:r>
        <w:rPr>
          <w:rFonts w:ascii="Arial" w:cs="Arial" w:eastAsia="Arial" w:hAnsi="Arial"/>
          <w:sz w:val="16"/>
          <w:szCs w:val="16"/>
          <w:b w:val="1"/>
          <w:bCs w:val="1"/>
          <w:color w:val="auto"/>
        </w:rPr>
        <w:t>electronic transmission</w:t>
      </w:r>
      <w:r>
        <w:rPr>
          <w:rFonts w:ascii="Arial" w:cs="Arial" w:eastAsia="Arial" w:hAnsi="Arial"/>
          <w:sz w:val="16"/>
          <w:szCs w:val="16"/>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2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NOTICE TO STOCKHOLDERS SHARING AN ADDRESS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68" w:name="page269"/>
    <w:bookmarkEnd w:id="268"/>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NOTICE TO PERSON WITH WHOM COMMUNICATION IS UNLAWFUL</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WAIVER OF NOTICE</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Whenever notice is required to be given to stockholders, directors or other persons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INDEMNIFICATION</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INDEMNIFICATION OF DIRECTORS AND OFFICERS IN THIRD PARTY PROCEEDINGS</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corporation) by reason of the fact that such person is or was a director of the corporation or an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corporation,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respect to any criminal action or proceeding, had reasonable cause to believe that such person’s conduct was unlawful.</w:t>
      </w:r>
    </w:p>
    <w:p>
      <w:pPr>
        <w:spacing w:after="0" w:line="21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INDEMNIFICATION OF DIRECTORS AND OFFICERS IN ACTIONS BY OR IN THE RIGHT OF THE CORPORATION</w:t>
      </w:r>
    </w:p>
    <w:p>
      <w:pPr>
        <w:spacing w:after="0" w:line="17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SUCCESSFUL DEFENSE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INDEMNIFICATION OF OTHERS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other provisions of this Article VIII,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determines.</w:t>
      </w:r>
    </w:p>
    <w:p>
      <w:pPr>
        <w:spacing w:after="0" w:line="18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ADVANCED PAYMENT OF EXPENSES</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Expenses (including attorneys’ fees)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70" w:name="page271"/>
    <w:bookmarkEnd w:id="270"/>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w:t>
      </w:r>
      <w:r>
        <w:rPr>
          <w:sz w:val="20"/>
          <w:szCs w:val="20"/>
          <w:color w:val="auto"/>
        </w:rPr>
        <w:tab/>
      </w:r>
      <w:r>
        <w:rPr>
          <w:rFonts w:ascii="Arial" w:cs="Arial" w:eastAsia="Arial" w:hAnsi="Arial"/>
          <w:sz w:val="16"/>
          <w:szCs w:val="16"/>
          <w:color w:val="auto"/>
        </w:rPr>
        <w:t>LIMITATION ON INDEMNIFICATION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requirements in Section 8.3 and the DGCL, the corporation shall not be obligated to indemnify any person pursuant to this Article VIII in connection with any Proceeding (or any part of any Proceeding):</w:t>
      </w:r>
    </w:p>
    <w:p>
      <w:pPr>
        <w:spacing w:after="0" w:line="132" w:lineRule="exact"/>
        <w:rPr>
          <w:sz w:val="20"/>
          <w:szCs w:val="20"/>
          <w:color w:val="auto"/>
        </w:rPr>
      </w:pPr>
    </w:p>
    <w:p>
      <w:pPr>
        <w:ind w:firstLine="1330"/>
        <w:spacing w:after="0" w:line="268" w:lineRule="auto"/>
        <w:tabs>
          <w:tab w:leader="none" w:pos="178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31" w:lineRule="exact"/>
        <w:rPr>
          <w:rFonts w:ascii="Arial" w:cs="Arial" w:eastAsia="Arial" w:hAnsi="Arial"/>
          <w:sz w:val="18"/>
          <w:szCs w:val="18"/>
          <w:color w:val="auto"/>
        </w:rPr>
      </w:pPr>
    </w:p>
    <w:p>
      <w:pPr>
        <w:ind w:firstLine="1365"/>
        <w:spacing w:after="0" w:line="268" w:lineRule="auto"/>
        <w:tabs>
          <w:tab w:leader="none" w:pos="184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2" w:lineRule="exact"/>
        <w:rPr>
          <w:sz w:val="20"/>
          <w:szCs w:val="20"/>
          <w:color w:val="auto"/>
        </w:rPr>
      </w:pPr>
    </w:p>
    <w:p>
      <w:pPr>
        <w:jc w:val="both"/>
        <w:ind w:firstLine="1331"/>
        <w:spacing w:after="0" w:line="294" w:lineRule="auto"/>
        <w:tabs>
          <w:tab w:leader="none" w:pos="178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15" w:lineRule="exact"/>
        <w:rPr>
          <w:rFonts w:ascii="Arial" w:cs="Arial" w:eastAsia="Arial" w:hAnsi="Arial"/>
          <w:sz w:val="16"/>
          <w:szCs w:val="16"/>
          <w:color w:val="auto"/>
        </w:rPr>
      </w:pPr>
    </w:p>
    <w:p>
      <w:pPr>
        <w:jc w:val="both"/>
        <w:ind w:firstLine="1331"/>
        <w:spacing w:after="0" w:line="256" w:lineRule="auto"/>
        <w:tabs>
          <w:tab w:leader="none" w:pos="177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43" w:lineRule="exact"/>
        <w:rPr>
          <w:sz w:val="20"/>
          <w:szCs w:val="20"/>
          <w:color w:val="auto"/>
        </w:rPr>
      </w:pPr>
    </w:p>
    <w:p>
      <w:pPr>
        <w:jc w:val="both"/>
        <w:ind w:firstLine="1369"/>
        <w:spacing w:after="0" w:line="291" w:lineRule="auto"/>
        <w:tabs>
          <w:tab w:leader="none" w:pos="184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if prohibited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provision or provisions of this Article VIII shall be held to be invalid, illegal or unenforceable for any reason whatsoever: (1)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VIII (including, without limitation, each such portion of any paragraph or clause containing any such provision held to be invalid, illegal or unenforceable) shall be construed so as to give effect to the intent manifested by the provision held invalid, illegal or unenforcebable.</w:t>
      </w:r>
    </w:p>
    <w:p>
      <w:pPr>
        <w:spacing w:after="0" w:line="16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DETERMINATION; CLAIM</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71" w:name="page272"/>
    <w:bookmarkEnd w:id="271"/>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w:t>
      </w:r>
      <w:r>
        <w:rPr>
          <w:sz w:val="20"/>
          <w:szCs w:val="20"/>
          <w:color w:val="auto"/>
        </w:rPr>
        <w:tab/>
      </w:r>
      <w:r>
        <w:rPr>
          <w:rFonts w:ascii="Arial" w:cs="Arial" w:eastAsia="Arial" w:hAnsi="Arial"/>
          <w:sz w:val="16"/>
          <w:szCs w:val="16"/>
          <w:color w:val="auto"/>
        </w:rPr>
        <w:t>NON-EXCLUSIVITY OF RIGHTS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56"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INSURANCE</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5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SURVIVAL</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EFFECT OF REPEAL OR MODIFICATION</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Any amendment, alteration or repeal of this Article VIII shall not adversely affect any right or protection hereunder of any person in respect of any act or omission occurring prior to such amendment, alteration or repeal.</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CERTAIN DEFINITIONS</w:t>
      </w:r>
    </w:p>
    <w:p>
      <w:pPr>
        <w:spacing w:after="0" w:line="16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For purposes of this Article VIII,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6"/>
          <w:szCs w:val="16"/>
          <w:b w:val="1"/>
          <w:b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color w:val="auto"/>
        </w:rPr>
        <w:t>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72" w:name="page273"/>
    <w:bookmarkEnd w:id="272"/>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as referred to in this Article VIII.</w:t>
      </w:r>
    </w:p>
    <w:p>
      <w:pPr>
        <w:spacing w:after="0" w:line="28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IX — GENERAL MATTERS</w:t>
      </w:r>
    </w:p>
    <w:p>
      <w:pPr>
        <w:spacing w:after="0" w:line="218"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EXECUTION OF CORPORATE CONTRACTS AND INSTRUMENTS</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3"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1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SEAL</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72"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CONSTRUCTION; DEFINITIONS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an entity and a natural person.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 AMENDMENTS</w:t>
      </w:r>
    </w:p>
    <w:p>
      <w:pPr>
        <w:spacing w:after="0" w:line="17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These bylaws may be adopted, amended or repealed by the stockholders entitled to vote;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bylaw amendment adopted by stockholders which specifies the votes that shall be necessary for the election of directors shall not be further amended or repealed by the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4.8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8020" w:type="dxa"/>
            <w:vAlign w:val="bottom"/>
          </w:tcPr>
          <w:p>
            <w:pPr>
              <w:ind w:left="760"/>
              <w:spacing w:after="0"/>
              <w:rPr>
                <w:sz w:val="20"/>
                <w:szCs w:val="20"/>
                <w:color w:val="auto"/>
              </w:rPr>
            </w:pPr>
            <w:r>
              <w:rPr>
                <w:rFonts w:ascii="Arial" w:cs="Arial" w:eastAsia="Arial" w:hAnsi="Arial"/>
                <w:sz w:val="18"/>
                <w:szCs w:val="18"/>
                <w:b w:val="1"/>
                <w:bCs w:val="1"/>
                <w:color w:val="auto"/>
              </w:rPr>
              <w:t>BUSINESS FINANCING AGREEMENT</w:t>
            </w:r>
          </w:p>
        </w:tc>
        <w:tc>
          <w:tcPr>
            <w:tcW w:w="0" w:type="dxa"/>
            <w:vAlign w:val="bottom"/>
          </w:tcPr>
          <w:p>
            <w:pPr>
              <w:spacing w:after="0"/>
              <w:rPr>
                <w:sz w:val="1"/>
                <w:szCs w:val="1"/>
                <w:color w:val="auto"/>
              </w:rPr>
            </w:pPr>
          </w:p>
        </w:tc>
      </w:tr>
      <w:tr>
        <w:trPr>
          <w:trHeight w:val="205"/>
        </w:trPr>
        <w:tc>
          <w:tcPr>
            <w:tcW w:w="3400" w:type="dxa"/>
            <w:vAlign w:val="bottom"/>
            <w:tcBorders>
              <w:bottom w:val="single" w:sz="8" w:color="auto"/>
            </w:tcBorders>
          </w:tcPr>
          <w:p>
            <w:pPr>
              <w:spacing w:after="0"/>
              <w:rPr>
                <w:sz w:val="17"/>
                <w:szCs w:val="17"/>
                <w:color w:val="auto"/>
              </w:rPr>
            </w:pPr>
          </w:p>
        </w:tc>
        <w:tc>
          <w:tcPr>
            <w:tcW w:w="8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line="156" w:lineRule="exact"/>
              <w:rPr>
                <w:sz w:val="20"/>
                <w:szCs w:val="20"/>
                <w:color w:val="auto"/>
              </w:rPr>
            </w:pPr>
            <w:r>
              <w:rPr>
                <w:rFonts w:ascii="Arial" w:cs="Arial" w:eastAsia="Arial" w:hAnsi="Arial"/>
                <w:sz w:val="14"/>
                <w:szCs w:val="14"/>
                <w:b w:val="1"/>
                <w:bCs w:val="1"/>
                <w:color w:val="auto"/>
              </w:rPr>
              <w:t>Borrower:   FLUIDIGM CORPORATION</w:t>
            </w:r>
          </w:p>
        </w:tc>
        <w:tc>
          <w:tcPr>
            <w:tcW w:w="8020" w:type="dxa"/>
            <w:vAlign w:val="bottom"/>
          </w:tcPr>
          <w:p>
            <w:pPr>
              <w:ind w:left="2560"/>
              <w:spacing w:after="0" w:line="156" w:lineRule="exact"/>
              <w:rPr>
                <w:sz w:val="20"/>
                <w:szCs w:val="20"/>
                <w:color w:val="auto"/>
              </w:rPr>
            </w:pPr>
            <w:r>
              <w:rPr>
                <w:rFonts w:ascii="Arial" w:cs="Arial" w:eastAsia="Arial" w:hAnsi="Arial"/>
                <w:sz w:val="14"/>
                <w:szCs w:val="14"/>
                <w:b w:val="1"/>
                <w:bCs w:val="1"/>
                <w:color w:val="auto"/>
              </w:rPr>
              <w:t>Lender:   BRIDGE BANK, National Association</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7000 Shoreline Court, Suite100</w:t>
            </w:r>
          </w:p>
        </w:tc>
        <w:tc>
          <w:tcPr>
            <w:tcW w:w="8020" w:type="dxa"/>
            <w:vAlign w:val="bottom"/>
          </w:tcPr>
          <w:p>
            <w:pPr>
              <w:ind w:left="3240"/>
              <w:spacing w:after="0" w:line="149" w:lineRule="exact"/>
              <w:rPr>
                <w:sz w:val="20"/>
                <w:szCs w:val="20"/>
                <w:color w:val="auto"/>
              </w:rPr>
            </w:pPr>
            <w:r>
              <w:rPr>
                <w:rFonts w:ascii="Arial" w:cs="Arial" w:eastAsia="Arial" w:hAnsi="Arial"/>
                <w:sz w:val="14"/>
                <w:szCs w:val="14"/>
                <w:b w:val="1"/>
                <w:bCs w:val="1"/>
                <w:color w:val="auto"/>
              </w:rPr>
              <w:t>55 Almaden Boulevard, Suite 100</w:t>
            </w:r>
          </w:p>
        </w:tc>
        <w:tc>
          <w:tcPr>
            <w:tcW w:w="0" w:type="dxa"/>
            <w:vAlign w:val="bottom"/>
          </w:tcPr>
          <w:p>
            <w:pPr>
              <w:spacing w:after="0"/>
              <w:rPr>
                <w:sz w:val="1"/>
                <w:szCs w:val="1"/>
                <w:color w:val="auto"/>
              </w:rPr>
            </w:pPr>
          </w:p>
        </w:tc>
      </w:tr>
      <w:tr>
        <w:trPr>
          <w:trHeight w:val="81"/>
        </w:trPr>
        <w:tc>
          <w:tcPr>
            <w:tcW w:w="3400" w:type="dxa"/>
            <w:vAlign w:val="bottom"/>
            <w:vMerge w:val="continue"/>
          </w:tcPr>
          <w:p>
            <w:pPr>
              <w:spacing w:after="0"/>
              <w:rPr>
                <w:sz w:val="7"/>
                <w:szCs w:val="7"/>
                <w:color w:val="auto"/>
              </w:rPr>
            </w:pPr>
          </w:p>
        </w:tc>
        <w:tc>
          <w:tcPr>
            <w:tcW w:w="802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San Jose, CA 95113</w:t>
            </w:r>
          </w:p>
        </w:tc>
        <w:tc>
          <w:tcPr>
            <w:tcW w:w="0" w:type="dxa"/>
            <w:vAlign w:val="bottom"/>
          </w:tcPr>
          <w:p>
            <w:pPr>
              <w:spacing w:after="0"/>
              <w:rPr>
                <w:sz w:val="1"/>
                <w:szCs w:val="1"/>
                <w:color w:val="auto"/>
              </w:rPr>
            </w:pPr>
          </w:p>
        </w:tc>
      </w:tr>
      <w:tr>
        <w:trPr>
          <w:trHeight w:val="93"/>
        </w:trPr>
        <w:tc>
          <w:tcPr>
            <w:tcW w:w="34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South San Francisco, CA 94080</w:t>
            </w:r>
          </w:p>
        </w:tc>
        <w:tc>
          <w:tcPr>
            <w:tcW w:w="8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400" w:type="dxa"/>
            <w:vAlign w:val="bottom"/>
            <w:vMerge w:val="continue"/>
          </w:tcPr>
          <w:p>
            <w:pPr>
              <w:spacing w:after="0"/>
              <w:rPr>
                <w:sz w:val="7"/>
                <w:szCs w:val="7"/>
                <w:color w:val="auto"/>
              </w:rPr>
            </w:pPr>
          </w:p>
        </w:tc>
        <w:tc>
          <w:tcPr>
            <w:tcW w:w="8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ind w:right="520" w:firstLine="685"/>
        <w:spacing w:after="0" w:line="332" w:lineRule="auto"/>
        <w:rPr>
          <w:sz w:val="20"/>
          <w:szCs w:val="20"/>
          <w:color w:val="auto"/>
        </w:rPr>
      </w:pPr>
      <w:r>
        <w:rPr>
          <w:rFonts w:ascii="Arial" w:cs="Arial" w:eastAsia="Arial" w:hAnsi="Arial"/>
          <w:sz w:val="16"/>
          <w:szCs w:val="16"/>
          <w:color w:val="auto"/>
        </w:rPr>
        <w:t>This BUSINESS FINANCING AGREEMENT, dated as of December 16, 2010, is made and entered into between BRIDGE BANK, NATIONAL ASSOCIATION (“</w:t>
      </w:r>
      <w:r>
        <w:rPr>
          <w:rFonts w:ascii="Arial" w:cs="Arial" w:eastAsia="Arial" w:hAnsi="Arial"/>
          <w:sz w:val="16"/>
          <w:szCs w:val="16"/>
          <w:b w:val="1"/>
          <w:bCs w:val="1"/>
          <w:u w:val="single" w:color="auto"/>
          <w:color w:val="auto"/>
        </w:rPr>
        <w:t>Lender</w:t>
      </w:r>
      <w:r>
        <w:rPr>
          <w:rFonts w:ascii="Arial" w:cs="Arial" w:eastAsia="Arial" w:hAnsi="Arial"/>
          <w:sz w:val="16"/>
          <w:szCs w:val="16"/>
          <w:color w:val="auto"/>
        </w:rPr>
        <w:t>”) and FLUIDIGM CORPORATION, a Delaware corporation (“</w:t>
      </w:r>
      <w:r>
        <w:rPr>
          <w:rFonts w:ascii="Arial" w:cs="Arial" w:eastAsia="Arial" w:hAnsi="Arial"/>
          <w:sz w:val="16"/>
          <w:szCs w:val="16"/>
          <w:b w:val="1"/>
          <w:bCs w:val="1"/>
          <w:u w:val="single" w:color="auto"/>
          <w:color w:val="auto"/>
        </w:rPr>
        <w:t>Borrower</w:t>
      </w:r>
      <w:r>
        <w:rPr>
          <w:rFonts w:ascii="Arial" w:cs="Arial" w:eastAsia="Arial" w:hAnsi="Arial"/>
          <w:sz w:val="16"/>
          <w:szCs w:val="16"/>
          <w:color w:val="auto"/>
        </w:rPr>
        <w:t>”) on the following terms and conditions:</w:t>
      </w:r>
    </w:p>
    <w:p>
      <w:pPr>
        <w:spacing w:after="0" w:line="201" w:lineRule="exact"/>
        <w:rPr>
          <w:sz w:val="20"/>
          <w:szCs w:val="20"/>
          <w:color w:val="auto"/>
        </w:rPr>
      </w:pPr>
    </w:p>
    <w:p>
      <w:pPr>
        <w:ind w:left="580" w:hanging="572"/>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LINE</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left="1140" w:right="20" w:hanging="567"/>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1.1Advances</w:t>
      </w:r>
      <w:r>
        <w:rPr>
          <w:rFonts w:ascii="Arial" w:cs="Arial" w:eastAsia="Arial" w:hAnsi="Arial"/>
          <w:sz w:val="18"/>
          <w:szCs w:val="18"/>
          <w:color w:val="auto"/>
        </w:rPr>
        <w:t>. Subject to the terms and conditions of this Agreement, from the date on which this Agreement becomes effective until the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Date, Lender will make Advances to Borrower not exceeding the Credit Limit or the Borrowing Base, whichever is less; provided that in no event shall Lender be obligated to make any Advance that results in an Overadvance or while any Overadvance is outstanding. Amounts borrowed under this Section may be repaid and reborrowed during the term of this Agreement. It shall be a condition to each Advance that (a) a Advance Request acceptable to Lender has been received by Lender, (b) all of the representations and warranties set forth in Section 3 are true and correct on the date of such Advance as though made at and as of each such date, and (c) no Default has occurred and is continuing, or would result from such Advance.</w:t>
      </w:r>
    </w:p>
    <w:p>
      <w:pPr>
        <w:spacing w:after="0" w:line="181" w:lineRule="exact"/>
        <w:rPr>
          <w:rFonts w:ascii="Arial" w:cs="Arial" w:eastAsia="Arial" w:hAnsi="Arial"/>
          <w:sz w:val="18"/>
          <w:szCs w:val="18"/>
          <w:b w:val="1"/>
          <w:bCs w:val="1"/>
          <w:color w:val="auto"/>
        </w:rPr>
      </w:pPr>
    </w:p>
    <w:p>
      <w:pPr>
        <w:ind w:left="1140" w:right="180" w:hanging="567"/>
        <w:spacing w:after="0" w:line="310"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6"/>
          <w:szCs w:val="16"/>
          <w:b w:val="1"/>
          <w:bCs w:val="1"/>
          <w:color w:val="auto"/>
        </w:rPr>
        <w:t>Advance Requests</w:t>
      </w:r>
      <w:r>
        <w:rPr>
          <w:rFonts w:ascii="Arial" w:cs="Arial" w:eastAsia="Arial" w:hAnsi="Arial"/>
          <w:sz w:val="16"/>
          <w:szCs w:val="16"/>
          <w:color w:val="auto"/>
        </w:rPr>
        <w:t>. Borrower may request that Lender make an Advance by delivering to Lender a Advance Request therefor and Lender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rely on all the information provided by Borrower to Lender on or with the Advance Request. The Lender may honor Advance Requests, instructions or repayments given by the Borrower (if an individual) or by any Authorized Person.</w:t>
      </w:r>
    </w:p>
    <w:p>
      <w:pPr>
        <w:spacing w:after="0" w:line="137" w:lineRule="exact"/>
        <w:rPr>
          <w:rFonts w:ascii="Arial" w:cs="Arial" w:eastAsia="Arial" w:hAnsi="Arial"/>
          <w:sz w:val="18"/>
          <w:szCs w:val="18"/>
          <w:b w:val="1"/>
          <w:bCs w:val="1"/>
          <w:color w:val="auto"/>
        </w:rPr>
      </w:pPr>
    </w:p>
    <w:p>
      <w:pPr>
        <w:ind w:left="1140" w:right="80" w:hanging="567"/>
        <w:spacing w:after="0" w:line="290" w:lineRule="auto"/>
        <w:rPr>
          <w:rFonts w:ascii="Arial" w:cs="Arial" w:eastAsia="Arial" w:hAnsi="Arial"/>
          <w:sz w:val="18"/>
          <w:szCs w:val="18"/>
          <w:b w:val="1"/>
          <w:bCs w:val="1"/>
          <w:color w:val="auto"/>
        </w:rPr>
      </w:pPr>
      <w:r>
        <w:rPr>
          <w:rFonts w:ascii="Arial" w:cs="Arial" w:eastAsia="Arial" w:hAnsi="Arial"/>
          <w:sz w:val="18"/>
          <w:szCs w:val="18"/>
          <w:b w:val="1"/>
          <w:bCs w:val="1"/>
          <w:color w:val="auto"/>
        </w:rPr>
        <w:t>1.3</w:t>
      </w:r>
      <w:r>
        <w:rPr>
          <w:rFonts w:ascii="Arial" w:cs="Arial" w:eastAsia="Arial" w:hAnsi="Arial"/>
          <w:sz w:val="16"/>
          <w:szCs w:val="16"/>
          <w:b w:val="1"/>
          <w:bCs w:val="1"/>
          <w:color w:val="auto"/>
        </w:rPr>
        <w:t>Due Diligence</w:t>
      </w:r>
      <w:r>
        <w:rPr>
          <w:rFonts w:ascii="Arial" w:cs="Arial" w:eastAsia="Arial" w:hAnsi="Arial"/>
          <w:sz w:val="16"/>
          <w:szCs w:val="16"/>
          <w:color w:val="auto"/>
        </w:rPr>
        <w:t>. Lender may audit Borrower’s Receivables and any and all records pertaining to the Collateral, at Lender’s sole discretion and at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expense. Lender shall require such an audit prior to the initial Advances and not more frequently than annually thereafter, and more frequently at any time Advances an Event of Default exists. Lender may at any time and from time to time contact Account Debtors and other persons obligated or knowledgeable in respect of Receivables to confirm the Receivable Amount of such Receivables, to determine whether Receivables constitute Eligible Receivables, and for any other purpose in connection with this Agreement. If any of the Collateral or Borrower’s books or records pertaining to the Collateral are in the possession of a third party, Borrower authorizes that third party to permit Lender or its agents to have access to perform inspections or audits thereof and to respond to Lender’s requests for information concerning such Collateral and records.</w:t>
      </w:r>
    </w:p>
    <w:p>
      <w:pPr>
        <w:spacing w:after="0" w:line="152" w:lineRule="exact"/>
        <w:rPr>
          <w:rFonts w:ascii="Arial" w:cs="Arial" w:eastAsia="Arial" w:hAnsi="Arial"/>
          <w:sz w:val="18"/>
          <w:szCs w:val="18"/>
          <w:b w:val="1"/>
          <w:bCs w:val="1"/>
          <w:color w:val="auto"/>
        </w:rPr>
      </w:pPr>
    </w:p>
    <w:p>
      <w:pPr>
        <w:ind w:left="1140" w:hanging="567"/>
        <w:spacing w:after="0" w:line="285" w:lineRule="auto"/>
        <w:rPr>
          <w:rFonts w:ascii="Arial" w:cs="Arial" w:eastAsia="Arial" w:hAnsi="Arial"/>
          <w:sz w:val="18"/>
          <w:szCs w:val="18"/>
          <w:b w:val="1"/>
          <w:bCs w:val="1"/>
          <w:color w:val="auto"/>
        </w:rPr>
      </w:pPr>
      <w:r>
        <w:rPr>
          <w:rFonts w:ascii="Arial" w:cs="Arial" w:eastAsia="Arial" w:hAnsi="Arial"/>
          <w:sz w:val="18"/>
          <w:szCs w:val="18"/>
          <w:b w:val="1"/>
          <w:bCs w:val="1"/>
          <w:color w:val="auto"/>
        </w:rPr>
        <w:t>1.4</w:t>
      </w:r>
      <w:r>
        <w:rPr>
          <w:rFonts w:ascii="Arial" w:cs="Arial" w:eastAsia="Arial" w:hAnsi="Arial"/>
          <w:sz w:val="16"/>
          <w:szCs w:val="16"/>
          <w:b w:val="1"/>
          <w:bCs w:val="1"/>
          <w:color w:val="auto"/>
        </w:rPr>
        <w:t>Collections</w:t>
      </w:r>
      <w:r>
        <w:rPr>
          <w:rFonts w:ascii="Arial" w:cs="Arial" w:eastAsia="Arial" w:hAnsi="Arial"/>
          <w:sz w:val="16"/>
          <w:szCs w:val="16"/>
          <w:color w:val="auto"/>
        </w:rPr>
        <w:t>. Lender shall have the exclusive right to receive all Collections on all Receivables. Borrower shall (i) immediately notify, transfer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Lender all Collections Borrower receives, (ii) deliver to Lender a detailed cash receipts journal on Friday of every second week until the lockbox is operational, and (iii) immediately enter into a collection services agreement acceptable to Lender (the “</w:t>
      </w:r>
      <w:r>
        <w:rPr>
          <w:rFonts w:ascii="Arial" w:cs="Arial" w:eastAsia="Arial" w:hAnsi="Arial"/>
          <w:sz w:val="16"/>
          <w:szCs w:val="16"/>
          <w:b w:val="1"/>
          <w:bCs w:val="1"/>
          <w:u w:val="single" w:color="auto"/>
          <w:color w:val="auto"/>
        </w:rPr>
        <w:t>Lockbox Agreement</w:t>
      </w:r>
      <w:r>
        <w:rPr>
          <w:rFonts w:ascii="Arial" w:cs="Arial" w:eastAsia="Arial" w:hAnsi="Arial"/>
          <w:sz w:val="16"/>
          <w:szCs w:val="16"/>
          <w:color w:val="auto"/>
        </w:rPr>
        <w:t xml:space="preserve">”). Borrower shall use the lockbox address as the remit to and payment address for all of Borrower’s Collections and it will be considered an immediate Event of Default if this does not occur or the lockbox is not operational within 45 days of the date of this Agreement. Lender shall credit payments received by Lender from Borrower to Borrower’s Account Balance upon receipt by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and during the continuance of any Event of Default, Lender may apply all Collections to the Obligations in such order and manner as Lender may determine. Lender has no duty to do any act other than to apply such amounts as required above. If an item of Collections is not honored or Lender does not receive good funds for any reason, the amount shall be included in the Account Balance as if the Collections had not been received and Finance Charges shall continue to accrue thereon. All Collections received to the lockbox or otherwise received by Lender will be deposited to Borrower’s non-interest bearing operating account maintained with Lender and will not be credited against the Account Balance until so paid by Borrower (or so applied by Lender pursuant hereto). Lender shall have, with respect to any goods related to the Receivables, all the rights and remedies of an unpaid seller under the California Uniform Commercial Code and other applicable law, including the rights of replevin, claim and delivery, reclamation and stoppage in transit. Borrower shall maintain segregated accounts as to all cash and cash equivalents of Borrower existing on the date hereof and after- arising cash and cash equivalents. Borrower shall employ all pre-existing cash and cash equivalents in the conduct and operation of its business prior to using any of its after-arising cash and cash-equivalents, and all after-arising cash and cash equivalents shall be maintained in accounts at Lender.</w:t>
      </w:r>
    </w:p>
    <w:p>
      <w:pPr>
        <w:spacing w:after="0" w:line="161" w:lineRule="exact"/>
        <w:rPr>
          <w:rFonts w:ascii="Arial" w:cs="Arial" w:eastAsia="Arial" w:hAnsi="Arial"/>
          <w:sz w:val="18"/>
          <w:szCs w:val="18"/>
          <w:b w:val="1"/>
          <w:bCs w:val="1"/>
          <w:color w:val="auto"/>
        </w:rPr>
      </w:pPr>
    </w:p>
    <w:p>
      <w:pPr>
        <w:ind w:left="1140" w:right="420" w:hanging="567"/>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1.5Receivables Activity Report</w:t>
      </w:r>
      <w:r>
        <w:rPr>
          <w:rFonts w:ascii="Arial" w:cs="Arial" w:eastAsia="Arial" w:hAnsi="Arial"/>
          <w:sz w:val="18"/>
          <w:szCs w:val="18"/>
          <w:color w:val="auto"/>
        </w:rPr>
        <w:t>. Within 30 days after the end of each Monthly Period, Lender shall send to Borrower a report covering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for that Monthly Period, including the amount of all Advances, Collections, Adjustments, Finance Charges, and other fees and charges. The accounting shall be deemed correct and conclusive unless Borrower makes written objection to Lender within 30 days after the Lender sends the accounting to Borrower.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74" w:name="page275"/>
    <w:bookmarkEnd w:id="274"/>
    <w:p>
      <w:pPr>
        <w:ind w:left="1132" w:right="220" w:hanging="566"/>
        <w:spacing w:after="0" w:line="258" w:lineRule="auto"/>
        <w:tabs>
          <w:tab w:leader="none" w:pos="111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r>
        <w:rPr>
          <w:sz w:val="20"/>
          <w:szCs w:val="20"/>
          <w:color w:val="auto"/>
        </w:rPr>
        <w:tab/>
      </w:r>
      <w:r>
        <w:rPr>
          <w:rFonts w:ascii="Arial" w:cs="Arial" w:eastAsia="Arial" w:hAnsi="Arial"/>
          <w:sz w:val="18"/>
          <w:szCs w:val="18"/>
          <w:b w:val="1"/>
          <w:bCs w:val="1"/>
          <w:color w:val="auto"/>
        </w:rPr>
        <w:t>Adjustments</w:t>
      </w:r>
      <w:r>
        <w:rPr>
          <w:rFonts w:ascii="Arial" w:cs="Arial" w:eastAsia="Arial" w:hAnsi="Arial"/>
          <w:sz w:val="18"/>
          <w:szCs w:val="18"/>
          <w:color w:val="auto"/>
        </w:rPr>
        <w:t>. In the event any Adjustment or dispute is asserted by any Account Debtor, Borrower shall promptly advise Lender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the Lender’s approval, resolve such disputes and advise Lender of any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case will the aggregate Adjustments made with respect to any Receivable exceed 2% of its original Receivable Amount unless Borrower has obtained the prior written consent of Lender.</w:t>
      </w:r>
    </w:p>
    <w:p>
      <w:pPr>
        <w:spacing w:after="0" w:line="177" w:lineRule="exact"/>
        <w:rPr>
          <w:sz w:val="20"/>
          <w:szCs w:val="20"/>
          <w:color w:val="auto"/>
        </w:rPr>
      </w:pPr>
    </w:p>
    <w:p>
      <w:pPr>
        <w:ind w:left="1132" w:right="160" w:hanging="566"/>
        <w:spacing w:after="0" w:line="339" w:lineRule="auto"/>
        <w:tabs>
          <w:tab w:leader="none" w:pos="1112"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Recourse; Maturity</w:t>
      </w:r>
      <w:r>
        <w:rPr>
          <w:rFonts w:ascii="Arial" w:cs="Arial" w:eastAsia="Arial" w:hAnsi="Arial"/>
          <w:sz w:val="16"/>
          <w:szCs w:val="16"/>
          <w:color w:val="auto"/>
        </w:rPr>
        <w:t>. Advances and the other Obligations shall be with full recourse against Borrower. On the Maturity Date, the Borrower will</w:t>
      </w:r>
      <w:r>
        <w:rPr>
          <w:rFonts w:ascii="Arial" w:cs="Arial" w:eastAsia="Arial" w:hAnsi="Arial"/>
          <w:sz w:val="16"/>
          <w:szCs w:val="16"/>
          <w:b w:val="1"/>
          <w:bCs w:val="1"/>
          <w:color w:val="auto"/>
        </w:rPr>
        <w:t xml:space="preserve"> </w:t>
      </w:r>
      <w:r>
        <w:rPr>
          <w:rFonts w:ascii="Arial" w:cs="Arial" w:eastAsia="Arial" w:hAnsi="Arial"/>
          <w:sz w:val="16"/>
          <w:szCs w:val="16"/>
          <w:color w:val="auto"/>
        </w:rPr>
        <w:t>pay all then outstanding Advances and other Obligations to the Lender or such earlier date as shall be herein provided.</w:t>
      </w:r>
    </w:p>
    <w:p>
      <w:pPr>
        <w:spacing w:after="0" w:line="115" w:lineRule="exact"/>
        <w:rPr>
          <w:sz w:val="20"/>
          <w:szCs w:val="20"/>
          <w:color w:val="auto"/>
        </w:rPr>
      </w:pPr>
    </w:p>
    <w:p>
      <w:pPr>
        <w:ind w:left="1132" w:right="40" w:hanging="566"/>
        <w:spacing w:after="0" w:line="287" w:lineRule="auto"/>
        <w:tabs>
          <w:tab w:leader="none" w:pos="1112"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Letter of Credit Line</w:t>
      </w:r>
      <w:r>
        <w:rPr>
          <w:rFonts w:ascii="Arial" w:cs="Arial" w:eastAsia="Arial" w:hAnsi="Arial"/>
          <w:sz w:val="16"/>
          <w:szCs w:val="16"/>
          <w:color w:val="auto"/>
        </w:rPr>
        <w:t>. Subject to the terms and conditions of this Agreement, Lender hereby agrees to issue or cause an Affiliate to issue letters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credit for the account of Borrower (each, a “Letter of Credit” and collectively, “Letters of Credit”)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Letter of Credit Obligations shall not at any time exceed the Letter of Credit Sublimit and (b) the Letter of Credit Obligations will be treated as Advances for purposes of determining availability under the Credit Limit and shall decrease, on a dollar-for-dollar basis, the amount available for other Advances. The form and substance of each Letter of Credit shall be subject to approval by Lender, in its sole discretion. No Letter of Credit shall have an expiration date subsequent to the Maturity Date. Each Letter of Credit shall be subject to the additional terms of the Letter of Credit agreements, applications and any related documents required by Lender in connection with the issuance thereof (each, a “Letter of Credit Agreement”). Each draft paid under any Letter of Credit shall be repaid by Borrower in accordance with the provisions of the applicable Letter of Credit Agreement. No Letter of Credit shall be made that results in an Overadvance or while any Overadvance is outstanding. Upon the Maturity Date, the amount of Letter of Credit Obligations shall be secured by unencumbered cash on terms acceptable to Lender if the term of this Agreement is not extended by Lender.</w:t>
      </w:r>
    </w:p>
    <w:p>
      <w:pPr>
        <w:spacing w:after="0" w:line="159" w:lineRule="exact"/>
        <w:rPr>
          <w:sz w:val="20"/>
          <w:szCs w:val="20"/>
          <w:color w:val="auto"/>
        </w:rPr>
      </w:pPr>
    </w:p>
    <w:p>
      <w:pPr>
        <w:ind w:left="1132" w:right="40" w:hanging="566"/>
        <w:spacing w:after="0" w:line="255" w:lineRule="auto"/>
        <w:tabs>
          <w:tab w:leader="none" w:pos="1112"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Cash Management Services</w:t>
      </w:r>
      <w:r>
        <w:rPr>
          <w:rFonts w:ascii="Arial" w:cs="Arial" w:eastAsia="Arial" w:hAnsi="Arial"/>
          <w:sz w:val="18"/>
          <w:szCs w:val="18"/>
          <w:color w:val="auto"/>
        </w:rPr>
        <w:t>. Borrower may use availability hereunder up to the Cash Management Sublimit for Lender’s cash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which may include merchant services, direct deposit of payroll, business credit card, and check cashing services identified in various cash management services agreements related to such services (the “Cash Management Services”). The entire Cash Management Sublimit will be treated as an Advance for purposes of determining availability under the Credit Limit and shall decrease, on a dollar-for-dollar basis, the amount available for other Advances. The Cash Management Services shall be subject to additional terms set forth in applicable cash management services agreements.</w:t>
      </w:r>
    </w:p>
    <w:p>
      <w:pPr>
        <w:spacing w:after="0" w:line="180" w:lineRule="exact"/>
        <w:rPr>
          <w:sz w:val="20"/>
          <w:szCs w:val="20"/>
          <w:color w:val="auto"/>
        </w:rPr>
      </w:pPr>
    </w:p>
    <w:p>
      <w:pPr>
        <w:ind w:left="1132" w:right="40" w:hanging="566"/>
        <w:spacing w:after="0" w:line="291" w:lineRule="auto"/>
        <w:tabs>
          <w:tab w:leader="none" w:pos="1112"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Foreign Exchange Facility</w:t>
      </w:r>
      <w:r>
        <w:rPr>
          <w:rFonts w:ascii="Arial" w:cs="Arial" w:eastAsia="Arial" w:hAnsi="Arial"/>
          <w:sz w:val="16"/>
          <w:szCs w:val="16"/>
          <w:color w:val="auto"/>
        </w:rPr>
        <w:t>. Borrower may enter in foreign exchange forward contracts with Lender under which Borrower commits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or sell to Lender a set amount of foreign currency more than one business day after the contract date (the “FX Forward Contract”). The total FX Forward Contracts at any one time may not exceed 10 times the amount of the FX Sublimit. Ten percent (10%) of the amount of each outstanding FX Forward Contract shall be treated as an Advance for purposes of determining availability under the Credit Limit and shall decrease, on a dollar-for-dollar basis, the amount available for other Advances. Lender may terminate the FX Forward Contracts if an Event of Default occurs. Each FX Forward Contract shall be subject to additional terms set forth in the applicable FX Forward Contract or other agreements executed in connection with the foreign exchange facility.</w:t>
      </w:r>
    </w:p>
    <w:p>
      <w:pPr>
        <w:spacing w:after="0" w:line="154" w:lineRule="exact"/>
        <w:rPr>
          <w:sz w:val="20"/>
          <w:szCs w:val="20"/>
          <w:color w:val="auto"/>
        </w:rPr>
      </w:pPr>
    </w:p>
    <w:p>
      <w:pPr>
        <w:ind w:left="1132" w:right="80" w:hanging="566"/>
        <w:spacing w:after="0" w:line="275" w:lineRule="auto"/>
        <w:tabs>
          <w:tab w:leader="none" w:pos="1112" w:val="left"/>
        </w:tabs>
        <w:rPr>
          <w:sz w:val="20"/>
          <w:szCs w:val="20"/>
          <w:color w:val="auto"/>
        </w:rPr>
      </w:pPr>
      <w:r>
        <w:rPr>
          <w:rFonts w:ascii="Arial" w:cs="Arial" w:eastAsia="Arial" w:hAnsi="Arial"/>
          <w:sz w:val="18"/>
          <w:szCs w:val="18"/>
          <w:b w:val="1"/>
          <w:bCs w:val="1"/>
          <w:color w:val="auto"/>
        </w:rPr>
        <w:t>1.11</w:t>
        <w:tab/>
        <w:t>Overadvances</w:t>
      </w:r>
      <w:r>
        <w:rPr>
          <w:rFonts w:ascii="Arial" w:cs="Arial" w:eastAsia="Arial" w:hAnsi="Arial"/>
          <w:sz w:val="18"/>
          <w:szCs w:val="18"/>
          <w:color w:val="auto"/>
        </w:rPr>
        <w:t>. Upon any occurrence of an Overadvance, Borrower shall immediately pay down the Advances so that, after giving effect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no Overadvance exists.</w:t>
      </w:r>
    </w:p>
    <w:p>
      <w:pPr>
        <w:spacing w:after="0" w:line="160" w:lineRule="exact"/>
        <w:rPr>
          <w:sz w:val="20"/>
          <w:szCs w:val="20"/>
          <w:color w:val="auto"/>
        </w:rPr>
      </w:pPr>
    </w:p>
    <w:p>
      <w:pPr>
        <w:ind w:left="572" w:hanging="572"/>
        <w:spacing w:after="0"/>
        <w:tabs>
          <w:tab w:leader="none" w:pos="572"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FINANCE CHARGES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left="1132" w:hanging="567"/>
        <w:spacing w:after="0" w:line="291" w:lineRule="auto"/>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Finance Charges</w:t>
      </w:r>
      <w:r>
        <w:rPr>
          <w:rFonts w:ascii="Arial" w:cs="Arial" w:eastAsia="Arial" w:hAnsi="Arial"/>
          <w:sz w:val="16"/>
          <w:szCs w:val="16"/>
          <w:color w:val="auto"/>
        </w:rPr>
        <w:t>. Lender may, but is not required to, deduct the amount of accrued Finance Charge from Collections received by Lender. Within</w:t>
      </w:r>
      <w:r>
        <w:rPr>
          <w:rFonts w:ascii="Arial" w:cs="Arial" w:eastAsia="Arial" w:hAnsi="Arial"/>
          <w:sz w:val="16"/>
          <w:szCs w:val="16"/>
          <w:b w:val="1"/>
          <w:bCs w:val="1"/>
          <w:color w:val="auto"/>
        </w:rPr>
        <w:t xml:space="preserve"> </w:t>
      </w:r>
      <w:r>
        <w:rPr>
          <w:rFonts w:ascii="Arial" w:cs="Arial" w:eastAsia="Arial" w:hAnsi="Arial"/>
          <w:sz w:val="16"/>
          <w:szCs w:val="16"/>
          <w:color w:val="auto"/>
        </w:rPr>
        <w:t>10 days of each Month End, Borrower shall pay to Lender any accrued and unpaid Finance Charge as of such Month End. Lender may, at its option, charge such Finance Charge, and any other amounts payable hereunder, against any of Borrower’s deposit accounts or against the Account Balance, in which case those amounts shall thereafter accrue Finance Charges at the rate then applicable hereunder. Any Finance Charge not paid when due shall be compounded by becoming a part of the Obligations, and such Finance Charge shall thereafter accrue Finance Charges at the rate then applicable hereunder. All payments shall be free and clear of any taxes, withholdings, duties, impositions or other charges, to the end that Lender will receive the entire amount of any Obligations payable hereunder, regardless of source of payment.</w:t>
      </w:r>
    </w:p>
    <w:p>
      <w:pPr>
        <w:spacing w:after="0" w:line="153"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11" w:lineRule="exact"/>
        <w:rPr>
          <w:rFonts w:ascii="Arial" w:cs="Arial" w:eastAsia="Arial" w:hAnsi="Arial"/>
          <w:sz w:val="18"/>
          <w:szCs w:val="18"/>
          <w:b w:val="1"/>
          <w:bCs w:val="1"/>
          <w:color w:val="auto"/>
        </w:rPr>
      </w:pPr>
    </w:p>
    <w:p>
      <w:pPr>
        <w:ind w:left="1812" w:right="20" w:hanging="678"/>
        <w:spacing w:after="0" w:line="262" w:lineRule="auto"/>
        <w:tabs>
          <w:tab w:leader="none" w:pos="1812" w:val="left"/>
        </w:tabs>
        <w:numPr>
          <w:ilvl w:val="1"/>
          <w:numId w:val="198"/>
        </w:numPr>
        <w:rPr>
          <w:rFonts w:ascii="Arial" w:cs="Arial" w:eastAsia="Arial" w:hAnsi="Arial"/>
          <w:sz w:val="18"/>
          <w:szCs w:val="18"/>
          <w:color w:val="auto"/>
        </w:rPr>
      </w:pPr>
      <w:r>
        <w:rPr>
          <w:rFonts w:ascii="Arial" w:cs="Arial" w:eastAsia="Arial" w:hAnsi="Arial"/>
          <w:sz w:val="18"/>
          <w:szCs w:val="18"/>
          <w:b w:val="1"/>
          <w:bCs w:val="1"/>
          <w:color w:val="auto"/>
        </w:rPr>
        <w:t>Termination Fee</w:t>
      </w:r>
      <w:r>
        <w:rPr>
          <w:rFonts w:ascii="Arial" w:cs="Arial" w:eastAsia="Arial" w:hAnsi="Arial"/>
          <w:sz w:val="18"/>
          <w:szCs w:val="18"/>
          <w:color w:val="auto"/>
        </w:rPr>
        <w:t>. In the event this Agreement is terminated prior to the first anniversary of the date of this Agreement,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Termination Fee to Lender; provided that if such termination is in connection with a refinancing or transfer by Lender to another division of Lender then no Termination Fee shall be payable.</w:t>
      </w:r>
    </w:p>
    <w:p>
      <w:pPr>
        <w:spacing w:after="0" w:line="172" w:lineRule="exact"/>
        <w:rPr>
          <w:rFonts w:ascii="Arial" w:cs="Arial" w:eastAsia="Arial" w:hAnsi="Arial"/>
          <w:sz w:val="18"/>
          <w:szCs w:val="18"/>
          <w:color w:val="auto"/>
        </w:rPr>
      </w:pPr>
    </w:p>
    <w:p>
      <w:pPr>
        <w:ind w:left="1812" w:hanging="678"/>
        <w:spacing w:after="0"/>
        <w:tabs>
          <w:tab w:leader="none" w:pos="1812" w:val="left"/>
        </w:tabs>
        <w:numPr>
          <w:ilvl w:val="1"/>
          <w:numId w:val="198"/>
        </w:numPr>
        <w:rPr>
          <w:rFonts w:ascii="Arial" w:cs="Arial" w:eastAsia="Arial" w:hAnsi="Arial"/>
          <w:sz w:val="16"/>
          <w:szCs w:val="16"/>
          <w:color w:val="auto"/>
        </w:rPr>
      </w:pPr>
      <w:r>
        <w:rPr>
          <w:rFonts w:ascii="Arial" w:cs="Arial" w:eastAsia="Arial" w:hAnsi="Arial"/>
          <w:sz w:val="16"/>
          <w:szCs w:val="16"/>
          <w:b w:val="1"/>
          <w:bCs w:val="1"/>
          <w:color w:val="auto"/>
        </w:rPr>
        <w:t>Facility Fee</w:t>
      </w:r>
      <w:r>
        <w:rPr>
          <w:rFonts w:ascii="Arial" w:cs="Arial" w:eastAsia="Arial" w:hAnsi="Arial"/>
          <w:sz w:val="16"/>
          <w:szCs w:val="16"/>
          <w:color w:val="auto"/>
        </w:rPr>
        <w:t>. Borrower shall pay the Facility Fee to Lender promptly upon the execution of this Agreement and annually thereafter.</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275" w:name="page276"/>
    <w:bookmarkEnd w:id="275"/>
    <w:p>
      <w:pPr>
        <w:ind w:left="1812" w:right="20" w:hanging="678"/>
        <w:spacing w:after="0" w:line="258" w:lineRule="auto"/>
        <w:tabs>
          <w:tab w:leader="none" w:pos="1812"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Fees</w:t>
      </w:r>
      <w:r>
        <w:rPr>
          <w:rFonts w:ascii="Arial" w:cs="Arial" w:eastAsia="Arial" w:hAnsi="Arial"/>
          <w:sz w:val="18"/>
          <w:szCs w:val="18"/>
          <w:color w:val="auto"/>
        </w:rPr>
        <w:t>. Borrower shall pay to Lender fees upon the issuance of each Letter of Credit, upon the payment or negotiation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draft under any Letter of Credit and upon the occurrence of any other activity with respect to any Letter of Credit (including without limitation, the transfer, amendment or cancellation of any Letter of Credit) determined in accordance with Lender’s standard fees and charges then in effect for such activity.</w:t>
      </w:r>
    </w:p>
    <w:p>
      <w:pPr>
        <w:spacing w:after="0" w:line="176" w:lineRule="exact"/>
        <w:rPr>
          <w:rFonts w:ascii="Arial" w:cs="Arial" w:eastAsia="Arial" w:hAnsi="Arial"/>
          <w:sz w:val="18"/>
          <w:szCs w:val="18"/>
          <w:color w:val="auto"/>
        </w:rPr>
      </w:pPr>
    </w:p>
    <w:p>
      <w:pPr>
        <w:jc w:val="both"/>
        <w:ind w:left="1812" w:right="340" w:hanging="678"/>
        <w:spacing w:after="0" w:line="262" w:lineRule="auto"/>
        <w:tabs>
          <w:tab w:leader="none" w:pos="1812"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Cash Management and FX Forward Contract Fees</w:t>
      </w:r>
      <w:r>
        <w:rPr>
          <w:rFonts w:ascii="Arial" w:cs="Arial" w:eastAsia="Arial" w:hAnsi="Arial"/>
          <w:sz w:val="18"/>
          <w:szCs w:val="18"/>
          <w:color w:val="auto"/>
        </w:rPr>
        <w:t>. Borrower shall pay to Lender fees in connection with the Cash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the FX Forward Contracts as determined in accordance with Lender’s standard fees and charges then in effect for such activity.</w:t>
      </w:r>
    </w:p>
    <w:p>
      <w:pPr>
        <w:spacing w:after="0" w:line="172" w:lineRule="exact"/>
        <w:rPr>
          <w:rFonts w:ascii="Arial" w:cs="Arial" w:eastAsia="Arial" w:hAnsi="Arial"/>
          <w:sz w:val="18"/>
          <w:szCs w:val="18"/>
          <w:color w:val="auto"/>
        </w:rPr>
      </w:pPr>
    </w:p>
    <w:p>
      <w:pPr>
        <w:ind w:left="1812" w:right="420" w:hanging="678"/>
        <w:spacing w:after="0" w:line="275" w:lineRule="auto"/>
        <w:tabs>
          <w:tab w:leader="none" w:pos="1812"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Due Diligence Fee</w:t>
      </w:r>
      <w:r>
        <w:rPr>
          <w:rFonts w:ascii="Arial" w:cs="Arial" w:eastAsia="Arial" w:hAnsi="Arial"/>
          <w:sz w:val="18"/>
          <w:szCs w:val="18"/>
          <w:color w:val="auto"/>
        </w:rPr>
        <w:t>. Borrower shall pay a fee of $700 to Lender promptly upon the execution of this Agreement and $500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w:t>
      </w:r>
    </w:p>
    <w:p>
      <w:pPr>
        <w:spacing w:after="0" w:line="160" w:lineRule="exact"/>
        <w:rPr>
          <w:rFonts w:ascii="Arial" w:cs="Arial" w:eastAsia="Arial" w:hAnsi="Arial"/>
          <w:sz w:val="18"/>
          <w:szCs w:val="18"/>
          <w:color w:val="auto"/>
        </w:rPr>
      </w:pPr>
    </w:p>
    <w:p>
      <w:pPr>
        <w:ind w:left="572" w:hanging="572"/>
        <w:spacing w:after="0"/>
        <w:tabs>
          <w:tab w:leader="none" w:pos="572"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Borrower represents and warrants:</w:t>
      </w:r>
    </w:p>
    <w:p>
      <w:pPr>
        <w:spacing w:after="0" w:line="211" w:lineRule="exact"/>
        <w:rPr>
          <w:rFonts w:ascii="Arial" w:cs="Arial" w:eastAsia="Arial" w:hAnsi="Arial"/>
          <w:sz w:val="18"/>
          <w:szCs w:val="18"/>
          <w:b w:val="1"/>
          <w:bCs w:val="1"/>
          <w:color w:val="auto"/>
        </w:rPr>
      </w:pPr>
    </w:p>
    <w:p>
      <w:pPr>
        <w:ind w:left="1132" w:right="40" w:hanging="567"/>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color w:val="auto"/>
        </w:rPr>
        <w:t>No representation, warranty or other statement of Borrower in any certificate or written statement given to Lender contains any untrue statement of a material fact or omits to state a material fact necessary to make the statement contained in the certificates or statement not misleading (it being recognized by Lender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3" w:lineRule="exact"/>
        <w:rPr>
          <w:rFonts w:ascii="Arial" w:cs="Arial" w:eastAsia="Arial" w:hAnsi="Arial"/>
          <w:sz w:val="18"/>
          <w:szCs w:val="18"/>
          <w:b w:val="1"/>
          <w:bCs w:val="1"/>
          <w:color w:val="auto"/>
        </w:rPr>
      </w:pPr>
    </w:p>
    <w:p>
      <w:pPr>
        <w:ind w:left="1132" w:right="120" w:hanging="567"/>
        <w:spacing w:after="0" w:line="306" w:lineRule="auto"/>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6"/>
          <w:szCs w:val="16"/>
          <w:color w:val="auto"/>
        </w:rPr>
        <w:t>Borrower is duly existing and in good standing in its state of formation and qualified and licensed to do business in, and in good standing in, any state in which the conduct of its business or its ownership of property requires that it be qualified, except to the extent that the failure to be so qualified could not reasonably be expected to result in a material adverse effect upon Borrower’s business.</w:t>
      </w:r>
    </w:p>
    <w:p>
      <w:pPr>
        <w:spacing w:after="0" w:line="147" w:lineRule="exact"/>
        <w:rPr>
          <w:rFonts w:ascii="Arial" w:cs="Arial" w:eastAsia="Arial" w:hAnsi="Arial"/>
          <w:sz w:val="18"/>
          <w:szCs w:val="18"/>
          <w:b w:val="1"/>
          <w:bCs w:val="1"/>
          <w:color w:val="auto"/>
        </w:rPr>
      </w:pPr>
    </w:p>
    <w:p>
      <w:pPr>
        <w:ind w:left="1132" w:right="480" w:hanging="567"/>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3.3</w:t>
      </w:r>
      <w:r>
        <w:rPr>
          <w:rFonts w:ascii="Arial" w:cs="Arial" w:eastAsia="Arial" w:hAnsi="Arial"/>
          <w:sz w:val="18"/>
          <w:szCs w:val="18"/>
          <w:color w:val="auto"/>
        </w:rPr>
        <w:t>The execution, delivery and performance of this Agreement has been duly authorized, and does not conflict with Borrower’s organizational documents, nor constitute an Event of Default under any material agreement by which Borrower is bound. Borrower is not in default in any material respect under any material agreement to which or by which it is bound.</w:t>
      </w:r>
    </w:p>
    <w:p>
      <w:pPr>
        <w:spacing w:after="0" w:line="180"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3.4</w:t>
      </w:r>
      <w:r>
        <w:rPr>
          <w:rFonts w:ascii="Arial" w:cs="Arial" w:eastAsia="Arial" w:hAnsi="Arial"/>
          <w:sz w:val="16"/>
          <w:szCs w:val="16"/>
          <w:color w:val="auto"/>
        </w:rPr>
        <w:t>Borrower has good title to the Collateral and all inventory is in all material respects of good and marketable quality, free from material defects/</w:t>
      </w:r>
    </w:p>
    <w:p>
      <w:pPr>
        <w:spacing w:after="0" w:line="211" w:lineRule="exact"/>
        <w:rPr>
          <w:rFonts w:ascii="Arial" w:cs="Arial" w:eastAsia="Arial" w:hAnsi="Arial"/>
          <w:sz w:val="18"/>
          <w:szCs w:val="18"/>
          <w:b w:val="1"/>
          <w:bCs w:val="1"/>
          <w:color w:val="auto"/>
        </w:rPr>
      </w:pPr>
    </w:p>
    <w:p>
      <w:pPr>
        <w:ind w:left="1132" w:right="40" w:hanging="567"/>
        <w:spacing w:after="0" w:line="335" w:lineRule="auto"/>
        <w:rPr>
          <w:rFonts w:ascii="Arial" w:cs="Arial" w:eastAsia="Arial" w:hAnsi="Arial"/>
          <w:sz w:val="18"/>
          <w:szCs w:val="18"/>
          <w:b w:val="1"/>
          <w:bCs w:val="1"/>
          <w:color w:val="auto"/>
        </w:rPr>
      </w:pPr>
      <w:r>
        <w:rPr>
          <w:rFonts w:ascii="Arial" w:cs="Arial" w:eastAsia="Arial" w:hAnsi="Arial"/>
          <w:sz w:val="18"/>
          <w:szCs w:val="18"/>
          <w:b w:val="1"/>
          <w:bCs w:val="1"/>
          <w:color w:val="auto"/>
        </w:rPr>
        <w:t>3.5</w:t>
      </w:r>
      <w:r>
        <w:rPr>
          <w:rFonts w:ascii="Arial" w:cs="Arial" w:eastAsia="Arial" w:hAnsi="Arial"/>
          <w:sz w:val="15"/>
          <w:szCs w:val="15"/>
          <w:color w:val="auto"/>
        </w:rPr>
        <w:t>Borrower’s name, form of organization, chief executive office, and the place where the records concerning all Receivables and Collateral are kept is set forth at the beginning of this Agreement (or as otherwise updated by Borrower in a written notice delivered to Lender), Borrower is located at its address for notices set forth in this Agreement (or such other location as updated by Borrower in a written notice delivered to Lender).</w:t>
      </w:r>
    </w:p>
    <w:p>
      <w:pPr>
        <w:spacing w:after="0" w:line="209" w:lineRule="exact"/>
        <w:rPr>
          <w:rFonts w:ascii="Arial" w:cs="Arial" w:eastAsia="Arial" w:hAnsi="Arial"/>
          <w:sz w:val="18"/>
          <w:szCs w:val="18"/>
          <w:b w:val="1"/>
          <w:bCs w:val="1"/>
          <w:color w:val="auto"/>
        </w:rPr>
      </w:pPr>
    </w:p>
    <w:p>
      <w:pPr>
        <w:ind w:left="572" w:hanging="572"/>
        <w:spacing w:after="0"/>
        <w:tabs>
          <w:tab w:leader="none" w:pos="572"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r>
        <w:rPr>
          <w:rFonts w:ascii="Arial" w:cs="Arial" w:eastAsia="Arial" w:hAnsi="Arial"/>
          <w:sz w:val="18"/>
          <w:szCs w:val="18"/>
          <w:color w:val="auto"/>
        </w:rPr>
        <w:t>. Borrower will:</w:t>
      </w:r>
    </w:p>
    <w:p>
      <w:pPr>
        <w:spacing w:after="0" w:line="211" w:lineRule="exact"/>
        <w:rPr>
          <w:rFonts w:ascii="Arial" w:cs="Arial" w:eastAsia="Arial" w:hAnsi="Arial"/>
          <w:sz w:val="18"/>
          <w:szCs w:val="18"/>
          <w:b w:val="1"/>
          <w:bCs w:val="1"/>
          <w:color w:val="auto"/>
        </w:rPr>
      </w:pPr>
    </w:p>
    <w:p>
      <w:pPr>
        <w:ind w:left="1132" w:hanging="567"/>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8"/>
          <w:szCs w:val="18"/>
          <w:color w:val="auto"/>
        </w:rPr>
        <w:t>Maintain its corporate existence and good standing in its jurisdictions of incorporation and maintain its qualification in each jurisdiction necessary to Borrower’s business or operations.</w:t>
      </w:r>
    </w:p>
    <w:p>
      <w:pPr>
        <w:spacing w:after="0" w:line="172" w:lineRule="exact"/>
        <w:rPr>
          <w:rFonts w:ascii="Arial" w:cs="Arial" w:eastAsia="Arial" w:hAnsi="Arial"/>
          <w:sz w:val="18"/>
          <w:szCs w:val="18"/>
          <w:b w:val="1"/>
          <w:bCs w:val="1"/>
          <w:color w:val="auto"/>
        </w:rPr>
      </w:pPr>
    </w:p>
    <w:p>
      <w:pPr>
        <w:ind w:left="1132" w:hanging="567"/>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4.2</w:t>
      </w:r>
      <w:r>
        <w:rPr>
          <w:rFonts w:ascii="Arial" w:cs="Arial" w:eastAsia="Arial" w:hAnsi="Arial"/>
          <w:sz w:val="18"/>
          <w:szCs w:val="18"/>
          <w:color w:val="auto"/>
        </w:rPr>
        <w:t>Not merge or consolidate with or into any other business organization, form any subsidiary or acquire all or substantially all of the capital stock or property of a third party, unless (i) any such subsidiary or acquired entity becomes a “borrower” under this Agreement or guaranties the Obligations pursuant to a guaranty satisfactory in form and substance to Lender and (ii) Lender has previously consented to the applicable transaction in writing, which consent shall not be unreasonably withheld.</w:t>
      </w:r>
    </w:p>
    <w:p>
      <w:pPr>
        <w:spacing w:after="0" w:line="183" w:lineRule="exact"/>
        <w:rPr>
          <w:rFonts w:ascii="Arial" w:cs="Arial" w:eastAsia="Arial" w:hAnsi="Arial"/>
          <w:sz w:val="18"/>
          <w:szCs w:val="18"/>
          <w:b w:val="1"/>
          <w:bCs w:val="1"/>
          <w:color w:val="auto"/>
        </w:rPr>
      </w:pPr>
    </w:p>
    <w:p>
      <w:pPr>
        <w:ind w:left="1132" w:right="60" w:hanging="567"/>
        <w:spacing w:after="0" w:line="290" w:lineRule="auto"/>
        <w:rPr>
          <w:rFonts w:ascii="Arial" w:cs="Arial" w:eastAsia="Arial" w:hAnsi="Arial"/>
          <w:sz w:val="18"/>
          <w:szCs w:val="18"/>
          <w:b w:val="1"/>
          <w:bCs w:val="1"/>
          <w:color w:val="auto"/>
        </w:rPr>
      </w:pPr>
      <w:r>
        <w:rPr>
          <w:rFonts w:ascii="Arial" w:cs="Arial" w:eastAsia="Arial" w:hAnsi="Arial"/>
          <w:sz w:val="18"/>
          <w:szCs w:val="18"/>
          <w:b w:val="1"/>
          <w:bCs w:val="1"/>
          <w:color w:val="auto"/>
        </w:rPr>
        <w:t>4.3</w:t>
      </w:r>
      <w:r>
        <w:rPr>
          <w:rFonts w:ascii="Arial" w:cs="Arial" w:eastAsia="Arial" w:hAnsi="Arial"/>
          <w:sz w:val="16"/>
          <w:szCs w:val="16"/>
          <w:color w:val="auto"/>
        </w:rPr>
        <w:t>Not transfer all or substantially all of its assets to another person or entity and not transfer any of its assets to another person or entity unless done in the ordinary course of business in exchange for fair value unless Lender has previously consented to the applicable transaction in writing, which consent shall not be unreasonably withheld. The parties hereto agree that each of the following shall be deemed to be in the “ordinary course of business” for purposes of this Agreement: (a) licensing arrangements involving universities, governmental agencies, research institutions and corporate partners (b) strategic partnerships, strategic collaborations, sponsored research collaborations and development transactions, (b) transactions involving the sale or exclusive licensing of Intellectual Property, that is outside the scope of Borrower’s business in the biotechnology field, that is not being commercialized or monetized by the Borrower.</w:t>
      </w:r>
    </w:p>
    <w:p>
      <w:pPr>
        <w:spacing w:after="0" w:line="158"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4.4</w:t>
      </w:r>
      <w:r>
        <w:rPr>
          <w:rFonts w:ascii="Arial" w:cs="Arial" w:eastAsia="Arial" w:hAnsi="Arial"/>
          <w:sz w:val="16"/>
          <w:szCs w:val="16"/>
          <w:color w:val="auto"/>
        </w:rPr>
        <w:t>Give Lender at least 10 days prior written notice of changes to its name, organization, chief executive office or location of records.</w:t>
      </w:r>
    </w:p>
    <w:p>
      <w:pPr>
        <w:spacing w:after="0" w:line="211" w:lineRule="exact"/>
        <w:rPr>
          <w:rFonts w:ascii="Arial" w:cs="Arial" w:eastAsia="Arial" w:hAnsi="Arial"/>
          <w:sz w:val="18"/>
          <w:szCs w:val="18"/>
          <w:b w:val="1"/>
          <w:bCs w:val="1"/>
          <w:color w:val="auto"/>
        </w:rPr>
      </w:pPr>
    </w:p>
    <w:p>
      <w:pPr>
        <w:ind w:left="1132" w:right="460" w:hanging="567"/>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4.5</w:t>
      </w:r>
      <w:r>
        <w:rPr>
          <w:rFonts w:ascii="Arial" w:cs="Arial" w:eastAsia="Arial" w:hAnsi="Arial"/>
          <w:sz w:val="18"/>
          <w:szCs w:val="18"/>
          <w:color w:val="auto"/>
        </w:rPr>
        <w:t>Pay all its material taxes including gross payroll, withholding and sales taxes when due and will deliver satisfactory evidence of payment to Lender if requested.</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276" w:name="page277"/>
    <w:bookmarkEnd w:id="276"/>
    <w:p>
      <w:pPr>
        <w:spacing w:after="0"/>
        <w:tabs>
          <w:tab w:leader="none" w:pos="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r>
        <w:rPr>
          <w:sz w:val="20"/>
          <w:szCs w:val="20"/>
          <w:color w:val="auto"/>
        </w:rPr>
        <w:tab/>
      </w:r>
      <w:r>
        <w:rPr>
          <w:rFonts w:ascii="Arial" w:cs="Arial" w:eastAsia="Arial" w:hAnsi="Arial"/>
          <w:sz w:val="16"/>
          <w:szCs w:val="16"/>
          <w:color w:val="auto"/>
        </w:rPr>
        <w:t>Maintain:</w:t>
      </w:r>
    </w:p>
    <w:p>
      <w:pPr>
        <w:spacing w:after="0" w:line="218" w:lineRule="exact"/>
        <w:rPr>
          <w:sz w:val="20"/>
          <w:szCs w:val="20"/>
          <w:color w:val="auto"/>
        </w:rPr>
      </w:pPr>
    </w:p>
    <w:p>
      <w:pPr>
        <w:ind w:left="1240" w:right="20" w:hanging="678"/>
        <w:spacing w:after="0" w:line="298" w:lineRule="auto"/>
        <w:tabs>
          <w:tab w:leader="none" w:pos="12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insurance satisfactory to Lender as to amount, nature and carrier covering property damage (including loss of use and occupancy) to any of the Borrower’s properties, business interruption insurance, public liability insurance including coverage for contractual liability, product liability and workers’ compensation, and any other insurance which is usual for the Borrower’s business. Each such policy shall provide for at least thirty (30) days prior notice to Lender of any cancellation thereof.</w:t>
      </w:r>
    </w:p>
    <w:p>
      <w:pPr>
        <w:spacing w:after="0" w:line="153" w:lineRule="exact"/>
        <w:rPr>
          <w:rFonts w:ascii="Arial" w:cs="Arial" w:eastAsia="Arial" w:hAnsi="Arial"/>
          <w:sz w:val="16"/>
          <w:szCs w:val="16"/>
          <w:color w:val="auto"/>
        </w:rPr>
      </w:pPr>
    </w:p>
    <w:p>
      <w:pPr>
        <w:jc w:val="both"/>
        <w:ind w:left="1240" w:right="280" w:hanging="678"/>
        <w:spacing w:after="0" w:line="298" w:lineRule="auto"/>
        <w:tabs>
          <w:tab w:leader="none" w:pos="12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all risk property damage insurance policies (including without limitation windstorm coverage, and hurricane coverage as applicable) covering the tangible property comprising the collateral. Each insurance policy must be for the full replacement cost of the collateral and include a replacement cost endorsement. The insurance must be issued by an insurance company acceptable to Lender and must include a lender’s loss payable endorsement in favor of Lender in a form acceptable to Lender.</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Upon the request of Lender, Borrower shall deliver to Lender a copy of each insurance policy, or, if permitted by Lender, a certificate of insurance listing all insurance in force.</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color w:val="auto"/>
        </w:rPr>
        <w:t>Immediately transfer and deliver to Lender all Collections Borrower receives.</w:t>
      </w:r>
    </w:p>
    <w:p>
      <w:pPr>
        <w:spacing w:after="0" w:line="212" w:lineRule="exact"/>
        <w:rPr>
          <w:sz w:val="20"/>
          <w:szCs w:val="20"/>
          <w:color w:val="auto"/>
        </w:rPr>
      </w:pPr>
    </w:p>
    <w:p>
      <w:pPr>
        <w:ind w:left="560" w:hanging="566"/>
        <w:spacing w:after="0" w:line="304" w:lineRule="auto"/>
        <w:tabs>
          <w:tab w:leader="none" w:pos="5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color w:val="auto"/>
        </w:rPr>
        <w:t>Not create, incur, assume, or be liable for any indebtedness for borrowed money, other than Permitted Indebtedness, or liens other than Permitted Liens, and not covenant to any third party (other than Lighthouse Capital Partners V, L.P. as to its Intellectual Property) to not create a lien on any of its assets, except (i) covenants that would not otherwise be enforceable to restrict Borrower from granting a lien on its assets under applicable law, including without limitation, Sections 9406, 9407 and 9408 of the California Uniform Commercial Code, (ii) covenants with respect to assets that are otherwise subject to a Permitted Lien provided that such restrictions are limited to the assets subject to such Permitted Lien and</w:t>
      </w:r>
    </w:p>
    <w:p>
      <w:pPr>
        <w:jc w:val="both"/>
        <w:ind w:left="560" w:firstLine="2"/>
        <w:spacing w:after="0" w:line="255" w:lineRule="auto"/>
        <w:tabs>
          <w:tab w:leader="none" w:pos="86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covenants with such restrictions in agreements, provided that such covenants do not prohibit or restrict Borrower from assigning, mortgaging, pledging, granting a security interest in or upon or encumbering Borrower’s assets in favor of Lender, and provided further that the counter parties to such covenants are not permitted to receive a security interest in Borrower’s assets1.</w:t>
      </w:r>
    </w:p>
    <w:p>
      <w:pPr>
        <w:spacing w:after="0" w:line="26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color w:val="auto"/>
        </w:rPr>
        <w:t>[Intentionally omitted].</w:t>
      </w:r>
    </w:p>
    <w:p>
      <w:pPr>
        <w:spacing w:after="0" w:line="212" w:lineRule="exact"/>
        <w:rPr>
          <w:sz w:val="20"/>
          <w:szCs w:val="20"/>
          <w:color w:val="auto"/>
        </w:rPr>
      </w:pPr>
    </w:p>
    <w:p>
      <w:pPr>
        <w:ind w:left="560" w:right="20" w:hanging="566"/>
        <w:spacing w:after="0" w:line="306" w:lineRule="auto"/>
        <w:tabs>
          <w:tab w:leader="none" w:pos="5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color w:val="auto"/>
        </w:rPr>
        <w:t>Provide the following financial information and statements in form and content acceptable to Lender, and such additional information as reasonably requested by Lender from time to time. Lender has the right to reasonably request additional financial information from Borrower, and to use such additional information to calculate any applicable financial covenants in this Agreement.</w:t>
      </w:r>
    </w:p>
    <w:p>
      <w:pPr>
        <w:spacing w:after="0" w:line="153" w:lineRule="exact"/>
        <w:rPr>
          <w:sz w:val="20"/>
          <w:szCs w:val="20"/>
          <w:color w:val="auto"/>
        </w:rPr>
      </w:pPr>
    </w:p>
    <w:p>
      <w:pPr>
        <w:ind w:left="1240" w:right="40" w:hanging="678"/>
        <w:spacing w:after="0" w:line="306" w:lineRule="auto"/>
        <w:tabs>
          <w:tab w:leader="none" w:pos="12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Within 180 days of the fiscal year end (by June 10, 2011 as to 2009 financial statements), the annual financial statements of Borrower, certified and dated by an authorized officer. These financial statements must be audited (with an opinion satisfactory to the Lender) by a Certified Public Accountant acceptable to Lender. The statements shall be prepared on a consolidated basis.</w:t>
      </w:r>
    </w:p>
    <w:p>
      <w:pPr>
        <w:spacing w:after="0" w:line="147" w:lineRule="exact"/>
        <w:rPr>
          <w:rFonts w:ascii="Arial" w:cs="Arial" w:eastAsia="Arial" w:hAnsi="Arial"/>
          <w:sz w:val="16"/>
          <w:szCs w:val="16"/>
          <w:color w:val="auto"/>
        </w:rPr>
      </w:pPr>
    </w:p>
    <w:p>
      <w:pPr>
        <w:jc w:val="both"/>
        <w:ind w:left="1240" w:right="580" w:hanging="678"/>
        <w:spacing w:after="0" w:line="259"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later than 30 days after the end of each month (including the last period in each fiscal year), monthly financial statements of Borrower, certified and dated by an authorized officer. The monthly statements shall be prepared on a consolidated basis and the quarterly statements on a consolidated and consolidating basis.</w:t>
      </w:r>
    </w:p>
    <w:p>
      <w:pPr>
        <w:spacing w:after="0" w:line="180" w:lineRule="exact"/>
        <w:rPr>
          <w:rFonts w:ascii="Arial" w:cs="Arial" w:eastAsia="Arial" w:hAnsi="Arial"/>
          <w:sz w:val="18"/>
          <w:szCs w:val="18"/>
          <w:color w:val="auto"/>
        </w:rPr>
      </w:pPr>
    </w:p>
    <w:p>
      <w:pPr>
        <w:ind w:left="1240" w:hanging="678"/>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Promptly, upon receipt of any management letters received by Borrower from Borrower’s auditor.</w:t>
      </w:r>
    </w:p>
    <w:p>
      <w:pPr>
        <w:spacing w:after="0" w:line="211" w:lineRule="exact"/>
        <w:rPr>
          <w:rFonts w:ascii="Arial" w:cs="Arial" w:eastAsia="Arial" w:hAnsi="Arial"/>
          <w:sz w:val="18"/>
          <w:szCs w:val="18"/>
          <w:color w:val="auto"/>
        </w:rPr>
      </w:pPr>
    </w:p>
    <w:p>
      <w:pPr>
        <w:ind w:left="1240" w:right="120" w:hanging="678"/>
        <w:spacing w:after="0" w:line="268"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Copies of the Form 10-K Annual Report, Form 10-Q Quarterly Report and Form 8-K Current Report for Borrower concurrent with the date of filing with the Securities and Exchange Commission.</w:t>
      </w:r>
    </w:p>
    <w:p>
      <w:pPr>
        <w:spacing w:after="0" w:line="172" w:lineRule="exact"/>
        <w:rPr>
          <w:rFonts w:ascii="Arial" w:cs="Arial" w:eastAsia="Arial" w:hAnsi="Arial"/>
          <w:sz w:val="18"/>
          <w:szCs w:val="18"/>
          <w:color w:val="auto"/>
        </w:rPr>
      </w:pPr>
    </w:p>
    <w:p>
      <w:pPr>
        <w:ind w:left="1240" w:right="60" w:hanging="678"/>
        <w:spacing w:after="0" w:line="256"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Financial projections approved by Borrower’s board of directors covering a time period reasonably acceptable to Lender and specifying the assumptions used in creating the projections. Draft annual projections and budget shall in any case be provided to Lender no less than 30 days prior to the beginning of each fiscal year and final projections and budget no less than 30 days after the beginning of each fiscal year.</w:t>
      </w:r>
    </w:p>
    <w:p>
      <w:pPr>
        <w:spacing w:after="0" w:line="183" w:lineRule="exact"/>
        <w:rPr>
          <w:rFonts w:ascii="Arial" w:cs="Arial" w:eastAsia="Arial" w:hAnsi="Arial"/>
          <w:sz w:val="18"/>
          <w:szCs w:val="18"/>
          <w:color w:val="auto"/>
        </w:rPr>
      </w:pPr>
    </w:p>
    <w:p>
      <w:pPr>
        <w:ind w:left="1240" w:right="120" w:hanging="678"/>
        <w:spacing w:after="0" w:line="294" w:lineRule="auto"/>
        <w:tabs>
          <w:tab w:leader="none" w:pos="12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Within 30 days of the end of each month, a compliance certificate of Borrower, signed by an authorized officer and setting forth (i) the information and computations (in sufficient detail) to establish compliance with all financial covenants at the end of the period covered by the financial statements then being furnished and (ii) whether there existed as of the date of such financial statements and whether there exists as of the date of the certificate, any Event of Default under this Agreement and, if any such Event of Default exists, specifying the nature thereof and the action Borrower is taking and proposes to take with respect thereto.</w:t>
      </w:r>
    </w:p>
    <w:p>
      <w:pPr>
        <w:spacing w:after="0" w:line="10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820" w:top="274" w:right="239" w:bottom="1440" w:gutter="0" w:footer="0" w:header="0"/>
        </w:sectPr>
      </w:pPr>
    </w:p>
    <w:bookmarkStart w:id="277" w:name="page278"/>
    <w:bookmarkEnd w:id="277"/>
    <w:p>
      <w:pPr>
        <w:ind w:left="1812" w:right="40" w:hanging="678"/>
        <w:spacing w:after="0" w:line="259" w:lineRule="auto"/>
        <w:tabs>
          <w:tab w:leader="none" w:pos="1812"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or concurrent with the initial Advances, and so long as any Advances are outstanding, within 5 days after the end of each Semi-Monthly Period, a borrowing base certificate, in form and substance satisfactory to Lender, setting forth Eligible Receivables and Receivable Amounts as of the last day of the preceding calendar month.</w:t>
      </w:r>
    </w:p>
    <w:p>
      <w:pPr>
        <w:spacing w:after="0" w:line="180" w:lineRule="exact"/>
        <w:rPr>
          <w:rFonts w:ascii="Arial" w:cs="Arial" w:eastAsia="Arial" w:hAnsi="Arial"/>
          <w:sz w:val="18"/>
          <w:szCs w:val="18"/>
          <w:color w:val="auto"/>
        </w:rPr>
      </w:pPr>
    </w:p>
    <w:p>
      <w:pPr>
        <w:ind w:left="1812" w:right="400" w:hanging="678"/>
        <w:spacing w:after="0" w:line="306" w:lineRule="auto"/>
        <w:tabs>
          <w:tab w:leader="none" w:pos="181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Prior to any Advances, and so long as any Advances are outstanding, within 5 days after the end of each Semi-Monthly Period, a detailed aging of Borrower’s receivables by invoice or a summary aging by account debtor, together with payable aging, inventory analysis, deferred revenue report, and such other matters as Lender may reasonably request.</w:t>
      </w:r>
    </w:p>
    <w:p>
      <w:pPr>
        <w:spacing w:after="0" w:line="147" w:lineRule="exact"/>
        <w:rPr>
          <w:rFonts w:ascii="Arial" w:cs="Arial" w:eastAsia="Arial" w:hAnsi="Arial"/>
          <w:sz w:val="16"/>
          <w:szCs w:val="16"/>
          <w:color w:val="auto"/>
        </w:rPr>
      </w:pPr>
    </w:p>
    <w:p>
      <w:pPr>
        <w:ind w:left="1812" w:right="20" w:hanging="678"/>
        <w:spacing w:after="0" w:line="332" w:lineRule="auto"/>
        <w:tabs>
          <w:tab w:leader="none" w:pos="181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Promptly upon Lender’s request, such other books, records, statements, lists of property and accounts, budgets, forecasts or reports as to Borrower and as to each guarantor of Borrower’s obligations to Lender as Lender may reasonably request.</w:t>
      </w:r>
    </w:p>
    <w:p>
      <w:pPr>
        <w:spacing w:after="0" w:line="120" w:lineRule="exact"/>
        <w:rPr>
          <w:sz w:val="20"/>
          <w:szCs w:val="20"/>
          <w:color w:val="auto"/>
        </w:rPr>
      </w:pPr>
    </w:p>
    <w:p>
      <w:pPr>
        <w:ind w:left="1132" w:right="40" w:hanging="566"/>
        <w:spacing w:after="0" w:line="294" w:lineRule="auto"/>
        <w:tabs>
          <w:tab w:leader="none" w:pos="1112"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color w:val="auto"/>
        </w:rPr>
        <w:t>Maintain its primary depository and operating accounts and a significant portion of its investment account balances with Lender and, in the case of any deposit or investment accounts not maintained with Lender, grant to Lender a first priority perfected security interest in and “control” (within the meaning of Section 9104 of the California Uniform Commercial Code) of such deposit or investment account pursuant to documentation acceptable to Lender; provided that the foregoing provisions of this Section 4.11 shall not apply to the bank account maintained at Silicon Valley Bank with a balance of approximately $60,000 which cash collateralized a letter of credit issued in favor of Borrower’s landlord.</w:t>
      </w:r>
    </w:p>
    <w:p>
      <w:pPr>
        <w:spacing w:after="0" w:line="156" w:lineRule="exact"/>
        <w:rPr>
          <w:sz w:val="20"/>
          <w:szCs w:val="20"/>
          <w:color w:val="auto"/>
        </w:rPr>
      </w:pPr>
    </w:p>
    <w:p>
      <w:pPr>
        <w:ind w:left="1132" w:right="400" w:hanging="566"/>
        <w:spacing w:after="0" w:line="259" w:lineRule="auto"/>
        <w:tabs>
          <w:tab w:leader="none" w:pos="1112"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8"/>
          <w:szCs w:val="18"/>
          <w:color w:val="auto"/>
        </w:rPr>
        <w:t>Provide to Lender promptly upon the execution hereof, the following documents which shall be in form satisfactory to Lender a subordination/intercreditor agreement by Lighthouse Capital Partners V, L.P. and any other party holding Indebtedness, or liens on assets of, Borrower, in favor of Lender.</w:t>
      </w:r>
    </w:p>
    <w:p>
      <w:pPr>
        <w:spacing w:after="0" w:line="18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color w:val="auto"/>
        </w:rPr>
        <w:t>[Intentionally omitted.]</w:t>
      </w:r>
    </w:p>
    <w:p>
      <w:pPr>
        <w:spacing w:after="0" w:line="212" w:lineRule="exact"/>
        <w:rPr>
          <w:sz w:val="20"/>
          <w:szCs w:val="20"/>
          <w:color w:val="auto"/>
        </w:rPr>
      </w:pPr>
    </w:p>
    <w:p>
      <w:pPr>
        <w:ind w:left="1132" w:right="200" w:hanging="566"/>
        <w:spacing w:after="0" w:line="332" w:lineRule="auto"/>
        <w:tabs>
          <w:tab w:leader="none" w:pos="1112"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color w:val="auto"/>
        </w:rPr>
        <w:t>Maintain Borrower’s financial condition as follows, determined monthly, as of the last day of each month, using generally accepted accounting principles consistently applied and used consistently with prior practices (except to the extent modified by the definitions herein:</w:t>
      </w:r>
    </w:p>
    <w:p>
      <w:pPr>
        <w:spacing w:after="0" w:line="132" w:lineRule="exact"/>
        <w:rPr>
          <w:sz w:val="20"/>
          <w:szCs w:val="20"/>
          <w:color w:val="auto"/>
        </w:rPr>
      </w:pPr>
    </w:p>
    <w:p>
      <w:pPr>
        <w:ind w:left="1812" w:right="260" w:hanging="678"/>
        <w:spacing w:after="0" w:line="268" w:lineRule="auto"/>
        <w:tabs>
          <w:tab w:leader="none" w:pos="181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Asset Coverage Ratio not at any time less than 1.75 to 1.0, decreasing to 1.55 to 1.0 upon the Term Sheet Milestone, and reverting to 1.75 to 1.0 on January 31, 2011.</w:t>
      </w:r>
    </w:p>
    <w:p>
      <w:pPr>
        <w:spacing w:after="0" w:line="172" w:lineRule="exact"/>
        <w:rPr>
          <w:rFonts w:ascii="Arial" w:cs="Arial" w:eastAsia="Arial" w:hAnsi="Arial"/>
          <w:sz w:val="18"/>
          <w:szCs w:val="18"/>
          <w:color w:val="auto"/>
        </w:rPr>
      </w:pPr>
    </w:p>
    <w:p>
      <w:pPr>
        <w:ind w:left="1812" w:hanging="678"/>
        <w:spacing w:after="0" w:line="268" w:lineRule="auto"/>
        <w:tabs>
          <w:tab w:leader="none" w:pos="181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Effective Tangible Net Worth not at any time less than $10,000,000 with compliance determined commencing with Borrower’s financial statements for the period ending January 31, 2011.</w:t>
      </w:r>
    </w:p>
    <w:p>
      <w:pPr>
        <w:spacing w:after="0" w:line="166" w:lineRule="exact"/>
        <w:rPr>
          <w:rFonts w:ascii="Arial" w:cs="Arial" w:eastAsia="Arial" w:hAnsi="Arial"/>
          <w:sz w:val="18"/>
          <w:szCs w:val="18"/>
          <w:color w:val="auto"/>
        </w:rPr>
      </w:pPr>
    </w:p>
    <w:p>
      <w:pPr>
        <w:ind w:left="572" w:right="20" w:hanging="572"/>
        <w:spacing w:after="0" w:line="254" w:lineRule="auto"/>
        <w:tabs>
          <w:tab w:leader="none" w:pos="572"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w:t>
      </w:r>
      <w:r>
        <w:rPr>
          <w:rFonts w:ascii="Arial" w:cs="Arial" w:eastAsia="Arial" w:hAnsi="Arial"/>
          <w:sz w:val="18"/>
          <w:szCs w:val="18"/>
          <w:color w:val="auto"/>
        </w:rPr>
        <w:t>. To secure the prompt payment and performance to Lender of all of the Obligations, Borrower hereby grants to Lender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security interest in the Collateral. Borrower is not authorized to sell, assign, transfer or otherwise convey any Collateral without Lender’s prior written consent, except for (i) the sale of finished inventory in the Borrower’s usual course of business, (ii) transactions permitted pursuant to Section 4.3 of this Agreement, (iii) Permitted Liens. Borrower agrees to sign any instruments and documents requested by Lender to evidence, perfect, or protect the interests of Lender in the Collateral. Borrower agrees to deliver to Lender the originals of all instruments, chattel paper and documents evidencing or related to Receivables and Collateral. Borrower shall not grant or permit any lien or security in the Collateral or any interest therein other than Permitted Liens.</w:t>
      </w:r>
    </w:p>
    <w:p>
      <w:pPr>
        <w:spacing w:after="0" w:line="147" w:lineRule="exact"/>
        <w:rPr>
          <w:rFonts w:ascii="Arial" w:cs="Arial" w:eastAsia="Arial" w:hAnsi="Arial"/>
          <w:sz w:val="18"/>
          <w:szCs w:val="18"/>
          <w:b w:val="1"/>
          <w:bCs w:val="1"/>
          <w:color w:val="auto"/>
        </w:rPr>
      </w:pPr>
    </w:p>
    <w:p>
      <w:pPr>
        <w:ind w:left="572" w:right="1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Notwithstanding anything in this Agreement, the Collateral shall not under any circumstance include, and no security interest is granted in, (i) more than 65% of the issued and outstanding voting securities of any subsidiary of Borrower that is not incorporated or organized in the United States,</w:t>
      </w:r>
    </w:p>
    <w:p>
      <w:pPr>
        <w:ind w:left="572" w:right="100" w:hanging="1"/>
        <w:spacing w:after="0" w:line="290" w:lineRule="auto"/>
        <w:tabs>
          <w:tab w:leader="none" w:pos="83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Borrower’s Intellectual Property, or (iii) any property subject to a security interest to secure Indebtedness permitted by clause (c) of the definition of Permitted Indebtedness to the extent that the grant of a security interest or lien therein is prohibited under the terms of the agreement governing such Indebtedness (provided, that, the foregoing exclusion of this clause (iii) shall in no way be construed (A) to apply to the extent that any described prohibition is unenforceable or ineffective under applicable law, or (B) to apply to the extent that any consent or waiver has been obtained that would permit Lender’s security interest or lien to attach thereto notwithstanding the prohibition or restriction contained in such agreement). The term “Intellectual Property” means the intellectual property assets of Borrower excluded from the collateral securing the Lighthouse Loan (as defined below).</w:t>
      </w:r>
    </w:p>
    <w:p>
      <w:pPr>
        <w:spacing w:after="0" w:line="152" w:lineRule="exact"/>
        <w:rPr>
          <w:rFonts w:ascii="Arial" w:cs="Arial" w:eastAsia="Arial" w:hAnsi="Arial"/>
          <w:sz w:val="16"/>
          <w:szCs w:val="16"/>
          <w:color w:val="auto"/>
        </w:rPr>
      </w:pPr>
    </w:p>
    <w:p>
      <w:pPr>
        <w:ind w:left="572" w:right="40" w:hanging="572"/>
        <w:spacing w:after="0" w:line="291" w:lineRule="auto"/>
        <w:tabs>
          <w:tab w:leader="none" w:pos="572"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POWER OF ATTORNEY</w:t>
      </w:r>
      <w:r>
        <w:rPr>
          <w:rFonts w:ascii="Arial" w:cs="Arial" w:eastAsia="Arial" w:hAnsi="Arial"/>
          <w:sz w:val="16"/>
          <w:szCs w:val="16"/>
          <w:color w:val="auto"/>
        </w:rPr>
        <w:t>. Until all Obligations (other than inchoate indemnity obligations) are paid in full and Lender has no further commitment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Advances hereunder, Borrower irrevocably appoints Lender and its successors and as true and lawful attorney in fact, and authorizes Lender (a) to, whether or not there has been an Event of Default, (i) demand, collect, receive, sue, and give releases to any Account Debtor for the monies due or which may become due upon or with respect to the Receivables and to compromise, prosecute, or defend any action, claim, case or proceeding relating to the Receivables, including the filing of a claim or the voting of such claims in any bankruptcy case, all in Lender’s name or Borrower’s name, as Lender may choose; (ii) prepare, file and sign Borrower’s name on any notice, claim, assignment, demand, draft, or notice of or satisfaction of lien or mechanics’ lien or similar document; (iii) notify all Account Debtors with respect to the Receivables to</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278" w:name="page279"/>
    <w:bookmarkEnd w:id="278"/>
    <w:p>
      <w:pPr>
        <w:ind w:left="572"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Lender directly; (iv) receive and open all mail addressed to Borrower for the purpose of collecting the Receivables; (v) endorse Borrower’s name on any checks or other forms of payment on the Receivables; (vi) execute on behalf of Borrower any and all instruments, documents, financing statements and the like to perfect Lender’s interests in the Receivables and Collateral; (vii) debit any Borrower’s deposit accounts maintained with Lender for any and all Obligations due under this Agreement; and (viii) do all acts and things necessary or expedient, in furtherance of any such purposes described in clauses (i) through (viii), and (b) to, upon the occurrence and during the continuance of an Event of Default, sell, assign, transfer, pledge, compromise, or discharge the whole or any part of the Receivables. Upon the occurrence and continuation of an Event of Default, all of the power of attorney rights granted by Borrower to Lender hereunder shall be applicable with respect to all Receivables and all Collateral.</w:t>
      </w:r>
    </w:p>
    <w:p>
      <w:pPr>
        <w:spacing w:after="0" w:line="153" w:lineRule="exact"/>
        <w:rPr>
          <w:sz w:val="20"/>
          <w:szCs w:val="20"/>
          <w:color w:val="auto"/>
        </w:rPr>
      </w:pPr>
    </w:p>
    <w:p>
      <w:pPr>
        <w:ind w:left="572" w:hanging="572"/>
        <w:spacing w:after="0"/>
        <w:tabs>
          <w:tab w:leader="none" w:pos="572"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DEFAULT AND REMEDIES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6"/>
          <w:szCs w:val="16"/>
          <w:b w:val="1"/>
          <w:bCs w:val="1"/>
          <w:color w:val="auto"/>
        </w:rPr>
        <w:t>Events of Default</w:t>
      </w:r>
      <w:r>
        <w:rPr>
          <w:rFonts w:ascii="Arial" w:cs="Arial" w:eastAsia="Arial" w:hAnsi="Arial"/>
          <w:sz w:val="16"/>
          <w:szCs w:val="16"/>
          <w:color w:val="auto"/>
        </w:rPr>
        <w:t>. The occurrence of any one or more of the following shall constitute an Event of Default hereunder.</w:t>
      </w:r>
    </w:p>
    <w:p>
      <w:pPr>
        <w:spacing w:after="0" w:line="211" w:lineRule="exact"/>
        <w:rPr>
          <w:rFonts w:ascii="Arial" w:cs="Arial" w:eastAsia="Arial" w:hAnsi="Arial"/>
          <w:sz w:val="18"/>
          <w:szCs w:val="18"/>
          <w:b w:val="1"/>
          <w:bCs w:val="1"/>
          <w:color w:val="auto"/>
        </w:rPr>
      </w:pPr>
    </w:p>
    <w:p>
      <w:pPr>
        <w:ind w:left="1812" w:hanging="678"/>
        <w:spacing w:after="0"/>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Failure to Pay</w:t>
      </w:r>
      <w:r>
        <w:rPr>
          <w:rFonts w:ascii="Arial" w:cs="Arial" w:eastAsia="Arial" w:hAnsi="Arial"/>
          <w:sz w:val="18"/>
          <w:szCs w:val="18"/>
          <w:color w:val="auto"/>
        </w:rPr>
        <w:t>. Borrower fails to make a payment when due under this Agreement.</w:t>
      </w:r>
    </w:p>
    <w:p>
      <w:pPr>
        <w:spacing w:after="0" w:line="211" w:lineRule="exact"/>
        <w:rPr>
          <w:rFonts w:ascii="Arial" w:cs="Arial" w:eastAsia="Arial" w:hAnsi="Arial"/>
          <w:sz w:val="18"/>
          <w:szCs w:val="18"/>
          <w:color w:val="auto"/>
        </w:rPr>
      </w:pPr>
    </w:p>
    <w:p>
      <w:pPr>
        <w:ind w:left="1812" w:hanging="678"/>
        <w:spacing w:after="0" w:line="256"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Lien Priority</w:t>
      </w:r>
      <w:r>
        <w:rPr>
          <w:rFonts w:ascii="Arial" w:cs="Arial" w:eastAsia="Arial" w:hAnsi="Arial"/>
          <w:sz w:val="18"/>
          <w:szCs w:val="18"/>
          <w:color w:val="auto"/>
        </w:rPr>
        <w:t>. Lender fails to have an enforceable first lien (except for (i) Permitted Liens which arise or relate to indebtedness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clauses (b) (if disclosed on the applicable schedule hereto on the date hereof as senior in lien priority) and (c) of the definition of Permitted Indebtedness or under clauses (c) or (e) of the definition of Permitted Liens), (ii) any prior liens to which Lender has consented in writing) on or security interest in the Collateral, and (iii) Permitted Liens that by operation of law would have priority over Lender’s lien.</w:t>
      </w:r>
    </w:p>
    <w:p>
      <w:pPr>
        <w:spacing w:after="0" w:line="179" w:lineRule="exact"/>
        <w:rPr>
          <w:rFonts w:ascii="Arial" w:cs="Arial" w:eastAsia="Arial" w:hAnsi="Arial"/>
          <w:sz w:val="18"/>
          <w:szCs w:val="18"/>
          <w:color w:val="auto"/>
        </w:rPr>
      </w:pPr>
    </w:p>
    <w:p>
      <w:pPr>
        <w:ind w:left="1812" w:right="80" w:hanging="678"/>
        <w:spacing w:after="0" w:line="275"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False Information</w:t>
      </w:r>
      <w:r>
        <w:rPr>
          <w:rFonts w:ascii="Arial" w:cs="Arial" w:eastAsia="Arial" w:hAnsi="Arial"/>
          <w:sz w:val="18"/>
          <w:szCs w:val="18"/>
          <w:color w:val="auto"/>
        </w:rPr>
        <w:t>. Borrower (or any guarantor) has given Lender any materially false or misleading information or representations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has failed to disclose any material fact relating to the subject matter of this Agreement.</w:t>
      </w:r>
    </w:p>
    <w:p>
      <w:pPr>
        <w:spacing w:after="0" w:line="160" w:lineRule="exact"/>
        <w:rPr>
          <w:rFonts w:ascii="Arial" w:cs="Arial" w:eastAsia="Arial" w:hAnsi="Arial"/>
          <w:sz w:val="18"/>
          <w:szCs w:val="18"/>
          <w:color w:val="auto"/>
        </w:rPr>
      </w:pPr>
    </w:p>
    <w:p>
      <w:pPr>
        <w:ind w:left="1812" w:hanging="678"/>
        <w:spacing w:after="0"/>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812" w:right="20" w:hanging="678"/>
        <w:spacing w:after="0" w:line="262"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Bankruptcy</w:t>
      </w:r>
      <w:r>
        <w:rPr>
          <w:rFonts w:ascii="Arial" w:cs="Arial" w:eastAsia="Arial" w:hAnsi="Arial"/>
          <w:sz w:val="18"/>
          <w:szCs w:val="18"/>
          <w:color w:val="auto"/>
        </w:rPr>
        <w:t>. Borrower (or any guarantor) files a bankruptcy petition, a bankruptcy petition is filed against Borrower (or any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petition is not dismissed or stayed within 60 days of such filing, or Borrower (or any guarantor) makes a general assignment for the benefit of creditors.</w:t>
      </w:r>
    </w:p>
    <w:p>
      <w:pPr>
        <w:spacing w:after="0" w:line="172" w:lineRule="exact"/>
        <w:rPr>
          <w:rFonts w:ascii="Arial" w:cs="Arial" w:eastAsia="Arial" w:hAnsi="Arial"/>
          <w:sz w:val="18"/>
          <w:szCs w:val="18"/>
          <w:color w:val="auto"/>
        </w:rPr>
      </w:pPr>
    </w:p>
    <w:p>
      <w:pPr>
        <w:ind w:left="1812" w:right="520" w:hanging="678"/>
        <w:spacing w:after="0" w:line="275"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Receivers</w:t>
      </w:r>
      <w:r>
        <w:rPr>
          <w:rFonts w:ascii="Arial" w:cs="Arial" w:eastAsia="Arial" w:hAnsi="Arial"/>
          <w:sz w:val="18"/>
          <w:szCs w:val="18"/>
          <w:color w:val="auto"/>
        </w:rPr>
        <w:t>. A receiver or similar official is appointed for a substantial portion of Borrower’s (or any guarantor’s) business,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is terminated.</w:t>
      </w:r>
    </w:p>
    <w:p>
      <w:pPr>
        <w:spacing w:after="0" w:line="160" w:lineRule="exact"/>
        <w:rPr>
          <w:rFonts w:ascii="Arial" w:cs="Arial" w:eastAsia="Arial" w:hAnsi="Arial"/>
          <w:sz w:val="18"/>
          <w:szCs w:val="18"/>
          <w:color w:val="auto"/>
        </w:rPr>
      </w:pPr>
    </w:p>
    <w:p>
      <w:pPr>
        <w:jc w:val="both"/>
        <w:ind w:left="1812" w:right="400" w:hanging="678"/>
        <w:spacing w:after="0" w:line="262"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Judgments</w:t>
      </w:r>
      <w:r>
        <w:rPr>
          <w:rFonts w:ascii="Arial" w:cs="Arial" w:eastAsia="Arial" w:hAnsi="Arial"/>
          <w:sz w:val="18"/>
          <w:szCs w:val="18"/>
          <w:color w:val="auto"/>
        </w:rPr>
        <w:t>. Any judgments or arbitration awards are entered against Borrower (or any guarantor), or Borrower (or any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enters into any settlement agreements with respect to any litigation or arbitration and the aggregate amount of all such judgments, awards, and agreements exceeds $100,000.</w:t>
      </w:r>
    </w:p>
    <w:p>
      <w:pPr>
        <w:spacing w:after="0" w:line="172" w:lineRule="exact"/>
        <w:rPr>
          <w:rFonts w:ascii="Arial" w:cs="Arial" w:eastAsia="Arial" w:hAnsi="Arial"/>
          <w:sz w:val="18"/>
          <w:szCs w:val="18"/>
          <w:color w:val="auto"/>
        </w:rPr>
      </w:pPr>
    </w:p>
    <w:p>
      <w:pPr>
        <w:ind w:left="1812" w:right="420" w:hanging="678"/>
        <w:spacing w:after="0" w:line="339" w:lineRule="auto"/>
        <w:tabs>
          <w:tab w:leader="none" w:pos="1812" w:val="left"/>
        </w:tabs>
        <w:numPr>
          <w:ilvl w:val="1"/>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Adverse Change</w:t>
      </w:r>
      <w:r>
        <w:rPr>
          <w:rFonts w:ascii="Arial" w:cs="Arial" w:eastAsia="Arial" w:hAnsi="Arial"/>
          <w:sz w:val="16"/>
          <w:szCs w:val="16"/>
          <w:color w:val="auto"/>
        </w:rPr>
        <w:t>. A material adverse change occurs, or is reasonably likely to occur, in Borrower’s (or any guarantor’s)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condition (financial or otherwise), operations, properties or prospects, or ability to repay the credit.</w:t>
      </w:r>
    </w:p>
    <w:p>
      <w:pPr>
        <w:spacing w:after="0" w:line="114" w:lineRule="exact"/>
        <w:rPr>
          <w:rFonts w:ascii="Arial" w:cs="Arial" w:eastAsia="Arial" w:hAnsi="Arial"/>
          <w:sz w:val="16"/>
          <w:szCs w:val="16"/>
          <w:color w:val="auto"/>
        </w:rPr>
      </w:pPr>
    </w:p>
    <w:p>
      <w:pPr>
        <w:jc w:val="both"/>
        <w:ind w:left="1812" w:right="260" w:hanging="678"/>
        <w:spacing w:after="0" w:line="262"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Cross-default</w:t>
      </w:r>
      <w:r>
        <w:rPr>
          <w:rFonts w:ascii="Arial" w:cs="Arial" w:eastAsia="Arial" w:hAnsi="Arial"/>
          <w:sz w:val="18"/>
          <w:szCs w:val="18"/>
          <w:color w:val="auto"/>
        </w:rPr>
        <w:t>. Any default occurs under any agreement in connection with any credit for borrowed money in excess of $100,000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guarantor) or which Borrower (or any guarantor) has guaranteed (other than trade amounts payable incurred in the ordinary course of business and not more than 90 days past due).</w:t>
      </w:r>
    </w:p>
    <w:p>
      <w:pPr>
        <w:spacing w:after="0" w:line="172" w:lineRule="exact"/>
        <w:rPr>
          <w:rFonts w:ascii="Arial" w:cs="Arial" w:eastAsia="Arial" w:hAnsi="Arial"/>
          <w:sz w:val="18"/>
          <w:szCs w:val="18"/>
          <w:color w:val="auto"/>
        </w:rPr>
      </w:pPr>
    </w:p>
    <w:p>
      <w:pPr>
        <w:ind w:left="1812" w:right="280" w:hanging="678"/>
        <w:spacing w:after="0" w:line="262"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under Related Documents</w:t>
      </w:r>
      <w:r>
        <w:rPr>
          <w:rFonts w:ascii="Arial" w:cs="Arial" w:eastAsia="Arial" w:hAnsi="Arial"/>
          <w:sz w:val="18"/>
          <w:szCs w:val="18"/>
          <w:color w:val="auto"/>
        </w:rPr>
        <w:t>. Any default occurs under any guaranty, subordination agreement, security agreement, deed of</w:t>
      </w:r>
      <w:r>
        <w:rPr>
          <w:rFonts w:ascii="Arial" w:cs="Arial" w:eastAsia="Arial" w:hAnsi="Arial"/>
          <w:sz w:val="18"/>
          <w:szCs w:val="18"/>
          <w:b w:val="1"/>
          <w:bCs w:val="1"/>
          <w:color w:val="auto"/>
        </w:rPr>
        <w:t xml:space="preserve"> </w:t>
      </w:r>
      <w:r>
        <w:rPr>
          <w:rFonts w:ascii="Arial" w:cs="Arial" w:eastAsia="Arial" w:hAnsi="Arial"/>
          <w:sz w:val="18"/>
          <w:szCs w:val="18"/>
          <w:color w:val="auto"/>
        </w:rPr>
        <w:t>trust, mortgage, or other document required by or delivered in connection with this Agreement or any such document is no longer in effect.</w:t>
      </w:r>
    </w:p>
    <w:p>
      <w:pPr>
        <w:spacing w:after="0" w:line="172" w:lineRule="exact"/>
        <w:rPr>
          <w:rFonts w:ascii="Arial" w:cs="Arial" w:eastAsia="Arial" w:hAnsi="Arial"/>
          <w:sz w:val="18"/>
          <w:szCs w:val="18"/>
          <w:color w:val="auto"/>
        </w:rPr>
      </w:pPr>
    </w:p>
    <w:p>
      <w:pPr>
        <w:ind w:left="1812" w:right="380" w:hanging="678"/>
        <w:spacing w:after="0" w:line="275"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color w:val="auto"/>
        </w:rPr>
        <w:t>. Borrower (or any guarantor) fails to meet the conditions of, or fails to perform any obligation under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Borrower (or any guarantor) has with Lender or any Affiliate of Lender.</w:t>
      </w:r>
    </w:p>
    <w:p>
      <w:pPr>
        <w:spacing w:after="0" w:line="160" w:lineRule="exact"/>
        <w:rPr>
          <w:rFonts w:ascii="Arial" w:cs="Arial" w:eastAsia="Arial" w:hAnsi="Arial"/>
          <w:sz w:val="18"/>
          <w:szCs w:val="18"/>
          <w:color w:val="auto"/>
        </w:rPr>
      </w:pPr>
    </w:p>
    <w:p>
      <w:pPr>
        <w:ind w:left="1812" w:right="280" w:hanging="678"/>
        <w:spacing w:after="0" w:line="301" w:lineRule="auto"/>
        <w:tabs>
          <w:tab w:leader="none" w:pos="1812" w:val="left"/>
        </w:tabs>
        <w:numPr>
          <w:ilvl w:val="1"/>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Any transaction or series of related transactions occurs in which the stockholders of Borrower who were not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immediately prior to the first such transaction own more than fifty percent (50%) of the voting stock of Borrower immediately after giving effect to such transaction or related series of such related transactions (other than by the sale of Borrower’s equity securities in a public offering or to venture capital investors).</w:t>
      </w:r>
    </w:p>
    <w:p>
      <w:pPr>
        <w:spacing w:after="0" w:line="143" w:lineRule="exact"/>
        <w:rPr>
          <w:rFonts w:ascii="Arial" w:cs="Arial" w:eastAsia="Arial" w:hAnsi="Arial"/>
          <w:sz w:val="16"/>
          <w:szCs w:val="16"/>
          <w:color w:val="auto"/>
        </w:rPr>
      </w:pPr>
    </w:p>
    <w:p>
      <w:pPr>
        <w:ind w:left="1812" w:right="200" w:hanging="678"/>
        <w:spacing w:after="0" w:line="275" w:lineRule="auto"/>
        <w:tabs>
          <w:tab w:leader="none" w:pos="1812" w:val="left"/>
        </w:tabs>
        <w:numPr>
          <w:ilvl w:val="1"/>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Breach Under Agreement</w:t>
      </w:r>
      <w:r>
        <w:rPr>
          <w:rFonts w:ascii="Arial" w:cs="Arial" w:eastAsia="Arial" w:hAnsi="Arial"/>
          <w:sz w:val="18"/>
          <w:szCs w:val="18"/>
          <w:color w:val="auto"/>
        </w:rPr>
        <w:t>. Borrower fails to meet the conditions of, or fails to perform any obligation under, any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not specifically referred to above.</w:t>
      </w:r>
    </w:p>
    <w:p>
      <w:pPr>
        <w:spacing w:after="0" w:line="1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279" w:name="page280"/>
    <w:bookmarkEnd w:id="279"/>
    <w:p>
      <w:pPr>
        <w:ind w:left="1140" w:right="20" w:hanging="566"/>
        <w:spacing w:after="0" w:line="291"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6"/>
          <w:szCs w:val="16"/>
          <w:b w:val="1"/>
          <w:bCs w:val="1"/>
          <w:color w:val="auto"/>
        </w:rPr>
        <w:t>Remedies</w:t>
      </w:r>
      <w:r>
        <w:rPr>
          <w:rFonts w:ascii="Arial" w:cs="Arial" w:eastAsia="Arial" w:hAnsi="Arial"/>
          <w:sz w:val="16"/>
          <w:szCs w:val="16"/>
          <w:color w:val="auto"/>
        </w:rPr>
        <w:t>. Upon the occurrence and during the continuance of an Event of Default, (1) without implying any obligation to do so, Lender may</w:t>
      </w:r>
      <w:r>
        <w:rPr>
          <w:rFonts w:ascii="Arial" w:cs="Arial" w:eastAsia="Arial" w:hAnsi="Arial"/>
          <w:sz w:val="16"/>
          <w:szCs w:val="16"/>
          <w:b w:val="1"/>
          <w:bCs w:val="1"/>
          <w:color w:val="auto"/>
        </w:rPr>
        <w:t xml:space="preserve"> </w:t>
      </w:r>
      <w:r>
        <w:rPr>
          <w:rFonts w:ascii="Arial" w:cs="Arial" w:eastAsia="Arial" w:hAnsi="Arial"/>
          <w:sz w:val="16"/>
          <w:szCs w:val="16"/>
          <w:color w:val="auto"/>
        </w:rPr>
        <w:t>cease making Advances or extending any other financial accommodations to Borrower; (2) all or a portion of the Obligations shall be, at the option of and upon demand by Lender, or with respect to an Event of Default described in Section 7.1(e), automatically and without notice or demand, due and payable in full; and (3) Lender shall have and may exercise all the rights and remedies under this Agreement and under applicable law, including the rights and remedies of a secured party under the California Uniform Commercial Code, all the power of attorney rights described in Section 6 with respect to all Collateral, and the right to collect, dispose of, sell, lease, use, and realize upon all Receivables and all Collateral in any commercial reasonable manner.</w:t>
      </w:r>
    </w:p>
    <w:p>
      <w:pPr>
        <w:spacing w:after="0" w:line="154" w:lineRule="exact"/>
        <w:rPr>
          <w:sz w:val="20"/>
          <w:szCs w:val="20"/>
          <w:color w:val="auto"/>
        </w:rPr>
      </w:pPr>
    </w:p>
    <w:p>
      <w:pPr>
        <w:ind w:left="580" w:right="140" w:hanging="572"/>
        <w:spacing w:after="0" w:line="296" w:lineRule="auto"/>
        <w:tabs>
          <w:tab w:leader="none" w:pos="58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ACCRUAL OF INTEREST</w:t>
      </w:r>
      <w:r>
        <w:rPr>
          <w:rFonts w:ascii="Arial" w:cs="Arial" w:eastAsia="Arial" w:hAnsi="Arial"/>
          <w:sz w:val="16"/>
          <w:szCs w:val="16"/>
          <w:color w:val="auto"/>
        </w:rPr>
        <w:t>. All interest and finance charges hereunder calculated at an annual rate shall be based on a year of 360 days, which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in a higher effective rate of interest than if a year of 365 or 366 days were used. If any amount due under Section 2.2, amounts due under Section 9, and any other Obligations not otherwise bearing interest hereunder is not paid when due, such amount shall bear interest at a per annum rate equal to the Finance Charge Percentage until the earlier of (i) payment in good funds or (ii) entry of a trial judgment thereof, at which time the principal amount of any money judgment remaining unsatisfied shall accrue interest at the highest rate allowed by applicable law.</w:t>
      </w:r>
    </w:p>
    <w:p>
      <w:pPr>
        <w:spacing w:after="0" w:line="148" w:lineRule="exact"/>
        <w:rPr>
          <w:rFonts w:ascii="Arial" w:cs="Arial" w:eastAsia="Arial" w:hAnsi="Arial"/>
          <w:sz w:val="16"/>
          <w:szCs w:val="16"/>
          <w:b w:val="1"/>
          <w:bCs w:val="1"/>
          <w:color w:val="auto"/>
        </w:rPr>
      </w:pPr>
    </w:p>
    <w:p>
      <w:pPr>
        <w:ind w:left="580" w:right="60" w:hanging="572"/>
        <w:spacing w:after="0" w:line="284" w:lineRule="auto"/>
        <w:tabs>
          <w:tab w:leader="none" w:pos="58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FEES, COSTS AND EXPENSES; INDEMNIFICATION</w:t>
      </w:r>
      <w:r>
        <w:rPr>
          <w:rFonts w:ascii="Arial" w:cs="Arial" w:eastAsia="Arial" w:hAnsi="Arial"/>
          <w:sz w:val="16"/>
          <w:szCs w:val="16"/>
          <w:color w:val="auto"/>
        </w:rPr>
        <w:t>. The Borrower will promptly pay to Lender, after receipt of reasonably detailed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thereto, all fees, costs and expenses (including fees of attorneys and professionals and their costs and expenses) that Lender incurs or may from time to time impose in connection with any of the following: (a) preparing, negotiating, administering, and enforcing this Agreement or any other agreement executed in connection herewith, including any amendments, waivers or consents in connection with any of the foregoing, (b) any litigation or dispute (whether instituted by Lender, Borrower or any other person) in any way relating to the Receivables, the Collateral, this Agreement or any other agreement executed in connection herewith or therewith, (c) enforcing any rights against Borrower or any guarantor, or any Account Debtor,</w:t>
      </w:r>
    </w:p>
    <w:p>
      <w:pPr>
        <w:spacing w:after="0" w:line="2" w:lineRule="exact"/>
        <w:rPr>
          <w:rFonts w:ascii="Arial" w:cs="Arial" w:eastAsia="Arial" w:hAnsi="Arial"/>
          <w:sz w:val="16"/>
          <w:szCs w:val="16"/>
          <w:b w:val="1"/>
          <w:bCs w:val="1"/>
          <w:color w:val="auto"/>
        </w:rPr>
      </w:pPr>
    </w:p>
    <w:p>
      <w:pPr>
        <w:ind w:left="580" w:right="40" w:hanging="5"/>
        <w:spacing w:after="0" w:line="254" w:lineRule="auto"/>
        <w:tabs>
          <w:tab w:leader="none" w:pos="82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protecting or enforcing its interest in the Receivables or the Collateral, (e) collecting the Receivables and the Obligations, or (f) the representation of Lender in connection with any bankruptcy case or insolvency proceeding involving Borrower, any Receivable, the Collateral, any Account Debtor, or any guarantor. Borrower shall indemnify and hold Lender harmless from and against any and all claims, actions, damages, costs, expenses, and liabilities of any nature whatsoever arising in connection with any of the foregoing.</w:t>
      </w:r>
    </w:p>
    <w:p>
      <w:pPr>
        <w:spacing w:after="0" w:line="178" w:lineRule="exact"/>
        <w:rPr>
          <w:rFonts w:ascii="Arial" w:cs="Arial" w:eastAsia="Arial" w:hAnsi="Arial"/>
          <w:sz w:val="18"/>
          <w:szCs w:val="18"/>
          <w:color w:val="auto"/>
        </w:rPr>
      </w:pPr>
    </w:p>
    <w:p>
      <w:pPr>
        <w:ind w:left="580" w:hanging="572"/>
        <w:spacing w:after="0" w:line="284" w:lineRule="auto"/>
        <w:tabs>
          <w:tab w:leader="none" w:pos="58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 SEVERABILITY WAIVER, CHOICE OF LAW, FORUM AND VENUE</w:t>
      </w:r>
      <w:r>
        <w:rPr>
          <w:rFonts w:ascii="Arial" w:cs="Arial" w:eastAsia="Arial" w:hAnsi="Arial"/>
          <w:sz w:val="16"/>
          <w:szCs w:val="16"/>
          <w:color w:val="auto"/>
        </w:rPr>
        <w:t>. This Agreement and any related security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required by this Agreement, collectively: (a) represent the sum of the understandings and agreements between Lender and Borrower concerning this credit; (b) replace any prior oral or written agreements between Lender and Borrower concerning this credit; and (c) are intended by Lender and Borrower as the final, complete and exclusive statement of the terms agreed to by them. In the event of any conflict between this Agreement and any other agreements required by this Agreement, this Agreement will prevail. If any provision of this Agreement is deemed invalid by reason of law, this Agreement will be construed as not containing such provision and the remainder of the Agreement shall remain in full force and effect. Lender retains all of its rights, even if it makes an Advance after a default. If Lender waives a default, it may enforce a later default. Any consent or waiver under, or amendment of, this Agreement must be in writing, and no such consent, waiver, or amendment shall imply any obligation by Lender to make any subsequent consent, waiver, or amendment. THIS AGREEMENT SHALL BE GOVERNED BY AND INTERPRETED IN ACCORDANCE WITH THE INTERNAL LAWS OF THE STATE OF CALIFORNIA. THE PARTIES HERETO AGREE THAT ALL ACTIONS OR PROCEEDINGS ARISING IN CONNECTION WITH THIS AGREEMENT OR ANY OTHER RELATED DOCUMENTS SHALL BE TRIED AND LITIGATED ONLY IN THE STATE AND FEDERAL COURTS LOCATED IN THE COUNTY OF SANTA CLARA, CALIFORNIA, OR, AT THE SOLE OPTION OF LENDER, IN ANY OTHER COURT IN WHICH LENDER SHALL INITIATE LEGAL OR EQUITABLE PROCEEDINGS AND WHICH HAS JURISDICTION OVER THE SUBJECT MATTER AND PARTIES IN CONTROVERSY. EACH PARTY HERETO WAIVES ANY RIGHT TO ASSERT THE DOCTRINE OF FORUM NON CONVENIENS OR TO OBJECT TO VENUE TO THE EXTENT ANY PROCEEDING IS BROUGHT IN ACCORDANCE WITH THIS SECTION AND STIPULATES THAT THE STATE AND FEDERAL COURTS LOCATED IN THE COUNTY OF SANTA CLARA, CALIFORNIA SHALL HAVE IN PERSONAM JURISDICTION AND VENUE OVER EACH SUCH PARTY FOR THE PURPOSE OF LITIGATING ANY SUCH DISPUTE, CONTROVERSY, OR PROCEEDING ARISING OUT OF OR RELATED TO THIS AGREEMENT, OR ANY OTHER RELATED DOCUMENTS. SERVICE OF PROCESS SUFFICIENT FOR PERSONAL JURISDICTION IN ANY ACTION AGAINST THE BORROWER MAY BE MADE BY REGISTERED OR CERTIFIED MAIL, RETURN RECEIPT REQUESTED, TO ITS ADDRESS SPECIFIED FOR NOTICES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386" w:lineRule="exact"/>
        <w:rPr>
          <w:rFonts w:ascii="Arial" w:cs="Arial" w:eastAsia="Arial" w:hAnsi="Arial"/>
          <w:sz w:val="16"/>
          <w:szCs w:val="16"/>
          <w:b w:val="1"/>
          <w:bCs w:val="1"/>
          <w:color w:val="auto"/>
        </w:rPr>
      </w:pPr>
    </w:p>
    <w:p>
      <w:pPr>
        <w:ind w:left="580" w:right="300" w:hanging="572"/>
        <w:spacing w:after="0" w:line="306" w:lineRule="auto"/>
        <w:tabs>
          <w:tab w:leader="none" w:pos="58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NOTICES; TELEPHONIC AND TELEFAX AUTHORIZATIONS</w:t>
      </w:r>
      <w:r>
        <w:rPr>
          <w:rFonts w:ascii="Arial" w:cs="Arial" w:eastAsia="Arial" w:hAnsi="Arial"/>
          <w:sz w:val="15"/>
          <w:szCs w:val="15"/>
          <w:color w:val="auto"/>
        </w:rPr>
        <w:t>. All notices shall be given to lender and borrower at the addresses or faxes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on the signature page of this agreement and shall be deemed to have been delivered and received: (a) if mailed, three (3) calendar days after deposited in the United States mail, first class, postage pre-paid, (b) one (1) calendar day after deposit with an overnight mail or messenger service; or</w:t>
      </w:r>
    </w:p>
    <w:p>
      <w:pPr>
        <w:jc w:val="both"/>
        <w:ind w:left="580" w:right="60" w:hanging="5"/>
        <w:spacing w:after="0" w:line="295" w:lineRule="auto"/>
        <w:tabs>
          <w:tab w:leader="none" w:pos="81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on the same date of confirmed transmission if sent by hand delivery, telecopy, telefax or telex. Lender may honor telephone or telefax instructions for Advances or repayments given, or purported to be given, by any one of the Authorized Persons. Borrower will indemnify and hold Lender harmless from all liability, loss, and costs in connection with any act resulting from telephone or telefax instructions Lender reasonably believes are made by any Authorized Person. This paragraph will survive this Agreement’s termination, and will benefit Lender and its officers, employees, and agents.</w:t>
      </w:r>
    </w:p>
    <w:p>
      <w:pPr>
        <w:spacing w:after="0" w:line="149"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CONSTRUCTION</w:t>
      </w:r>
      <w:r>
        <w:rPr>
          <w:rFonts w:ascii="Arial" w:cs="Arial" w:eastAsia="Arial" w:hAnsi="Arial"/>
          <w:sz w:val="18"/>
          <w:szCs w:val="18"/>
          <w:color w:val="auto"/>
        </w:rPr>
        <w:t>.</w:t>
      </w:r>
    </w:p>
    <w:p>
      <w:pPr>
        <w:spacing w:after="0" w:line="21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In this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80" w:name="page281"/>
    <w:bookmarkEnd w:id="280"/>
    <w:p>
      <w:pPr>
        <w:ind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Account Balance</w:t>
      </w:r>
      <w:r>
        <w:rPr>
          <w:rFonts w:ascii="Arial" w:cs="Arial" w:eastAsia="Arial" w:hAnsi="Arial"/>
          <w:sz w:val="18"/>
          <w:szCs w:val="18"/>
          <w:color w:val="auto"/>
        </w:rPr>
        <w:t>” means at any time the aggregate of the Advances outstanding as reflected on the records maintained by Lender, together with any past due Finance Charges thereon.</w:t>
      </w:r>
    </w:p>
    <w:p>
      <w:pPr>
        <w:spacing w:after="0" w:line="160"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Account Debtor</w:t>
      </w:r>
      <w:r>
        <w:rPr>
          <w:rFonts w:ascii="Arial" w:cs="Arial" w:eastAsia="Arial" w:hAnsi="Arial"/>
          <w:sz w:val="16"/>
          <w:szCs w:val="16"/>
          <w:color w:val="auto"/>
        </w:rPr>
        <w:t>” has the meaning in the California Uniform Commercial Code and includes any person liable on any Receivable, including without limitation, any guarantor of any Receivable and any issuer of a letter of credit or banker’s acceptance assuring payment thereof.</w:t>
      </w:r>
    </w:p>
    <w:p>
      <w:pPr>
        <w:spacing w:after="0" w:line="11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means all discounts, allowances, disputes, offsets, defenses, rights of recoupment, rights of return, warranty claims, or short payments, asserted by or on behalf of any Account Debtor with respect to any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Advance</w:t>
      </w:r>
      <w:r>
        <w:rPr>
          <w:rFonts w:ascii="Arial" w:cs="Arial" w:eastAsia="Arial" w:hAnsi="Arial"/>
          <w:sz w:val="18"/>
          <w:szCs w:val="18"/>
          <w:color w:val="auto"/>
        </w:rPr>
        <w:t>” means an advance made by Lender to Borrower under this Agreement.</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Advance Rate</w:t>
      </w:r>
      <w:r>
        <w:rPr>
          <w:rFonts w:ascii="Arial" w:cs="Arial" w:eastAsia="Arial" w:hAnsi="Arial"/>
          <w:sz w:val="18"/>
          <w:szCs w:val="18"/>
          <w:color w:val="auto"/>
        </w:rPr>
        <w:t>” means 80% or such greater or lesser percentage as Lender may from time to time establish in its sole discretion upon notice to Borrower, including any adjustment based on Lender’s initial field examination.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Advance Request</w:t>
      </w:r>
      <w:r>
        <w:rPr>
          <w:rFonts w:ascii="Arial" w:cs="Arial" w:eastAsia="Arial" w:hAnsi="Arial"/>
          <w:sz w:val="16"/>
          <w:szCs w:val="16"/>
          <w:color w:val="auto"/>
        </w:rPr>
        <w:t>” means a writing in form and substance satisfactory to Lender and signed by an Authorized Person requesting an Advance.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Business Financing Agreement.</w:t>
      </w:r>
    </w:p>
    <w:p>
      <w:pPr>
        <w:spacing w:after="0" w:line="2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as to any person or entity, any other person or entity directly or indirectly controlling or controlled by, or under direct or indirect common control with, such person or entity.</w:t>
      </w:r>
    </w:p>
    <w:p>
      <w:pPr>
        <w:spacing w:after="0" w:line="16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Asset Coverage Ratio</w:t>
      </w:r>
      <w:r>
        <w:rPr>
          <w:rFonts w:ascii="Arial" w:cs="Arial" w:eastAsia="Arial" w:hAnsi="Arial"/>
          <w:sz w:val="18"/>
          <w:szCs w:val="18"/>
          <w:color w:val="auto"/>
        </w:rPr>
        <w:t>” means all unrestricted cash and cash equivalents, plus Eligible Receivables, divided by the total amount of the Obligations (other than Obligations which are cash collateralized).</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Authorized Person</w:t>
      </w:r>
      <w:r>
        <w:rPr>
          <w:rFonts w:ascii="Arial" w:cs="Arial" w:eastAsia="Arial" w:hAnsi="Arial"/>
          <w:sz w:val="18"/>
          <w:szCs w:val="18"/>
          <w:color w:val="auto"/>
        </w:rPr>
        <w:t>” means Borrower (if an individual) or any one of the individuals authorized to sign on behalf of the Borrower, and any other individual designated by any one of such authorized signers.</w:t>
      </w:r>
    </w:p>
    <w:p>
      <w:pPr>
        <w:spacing w:after="0" w:line="16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Borrowing Base</w:t>
      </w:r>
      <w:r>
        <w:rPr>
          <w:rFonts w:ascii="Arial" w:cs="Arial" w:eastAsia="Arial" w:hAnsi="Arial"/>
          <w:sz w:val="18"/>
          <w:szCs w:val="18"/>
          <w:color w:val="auto"/>
        </w:rPr>
        <w:t>” means at any time the sum of (i) the Eligible Receivable Amount multiplied by the applicable Advance Rate, minus (ii) such reserves as Lender may deem proper and necessary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Management Sublimit</w:t>
      </w:r>
      <w:r>
        <w:rPr>
          <w:rFonts w:ascii="Arial" w:cs="Arial" w:eastAsia="Arial" w:hAnsi="Arial"/>
          <w:sz w:val="18"/>
          <w:szCs w:val="18"/>
          <w:color w:val="auto"/>
        </w:rPr>
        <w:t>” means $250,000.</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Collateral</w:t>
      </w:r>
      <w:r>
        <w:rPr>
          <w:rFonts w:ascii="Arial" w:cs="Arial" w:eastAsia="Arial" w:hAnsi="Arial"/>
          <w:sz w:val="16"/>
          <w:szCs w:val="16"/>
          <w:color w:val="auto"/>
        </w:rPr>
        <w:t>” means all of Borrower’s rights and interest in any and all personal property, whether now existing or hereafter acquired or created and wherever located, and all products and proceeds thereof and accessions thereto, including but not limited to the following (collectively, the “Collateral”): (a) all accounts (including health care insurance receivables), chattel paper (including tangible and electronic chattel paper), inventory (including all goods held for sale or lease or to be furnished under a contract for service, and including returns and repossessions), equipment (including all accessions and additions thereto), instruments (including promissory notes), investment property (including securities and securities entitlements), documents (including negotiable documents), deposit accounts, letter of credit rights, money, any commercial tort claim of Borrower which is now or hereafter identified by Borrower or Lender, general intangibles (including payment intangibles but excluding Intellectual Property), goods (including fixtures) and all of Borrower’s books and records with respect to any of the foregoing, and the computers and equipment containing said books and records; and (b) any and all cash proceeds and/or noncash proceeds thereof, including without limitation, proceeds of Intellectual Property, insurance proceeds, and all supporting obligations and the security therefore or for any right to payment.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Collections</w:t>
      </w:r>
      <w:r>
        <w:rPr>
          <w:rFonts w:ascii="Arial" w:cs="Arial" w:eastAsia="Arial" w:hAnsi="Arial"/>
          <w:sz w:val="18"/>
          <w:szCs w:val="18"/>
          <w:color w:val="auto"/>
        </w:rPr>
        <w:t>” means all payments from or on behalf of an Account Debtor with respect to Receivables.</w:t>
      </w:r>
    </w:p>
    <w:p>
      <w:pPr>
        <w:spacing w:after="0" w:line="212"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Compliance Certificate</w:t>
      </w:r>
      <w:r>
        <w:rPr>
          <w:rFonts w:ascii="Arial" w:cs="Arial" w:eastAsia="Arial" w:hAnsi="Arial"/>
          <w:sz w:val="16"/>
          <w:szCs w:val="16"/>
          <w:color w:val="auto"/>
        </w:rPr>
        <w:t xml:space="preserve">” means a certificate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by an Authorized Person that, among other things, the representations and warranties set forth in this Agreement are true and correct as of the date such certificate is delivered.</w:t>
      </w:r>
    </w:p>
    <w:p>
      <w:pPr>
        <w:spacing w:after="0" w:line="11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Credit Limit</w:t>
      </w:r>
      <w:r>
        <w:rPr>
          <w:rFonts w:ascii="Arial" w:cs="Arial" w:eastAsia="Arial" w:hAnsi="Arial"/>
          <w:sz w:val="18"/>
          <w:szCs w:val="18"/>
          <w:color w:val="auto"/>
        </w:rPr>
        <w:t>” means $4,000,000 (increasing to $7,000,000 after the Term Sheet Milestone), which is intended to be the maximum amount of Advances at any time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Default</w:t>
      </w:r>
      <w:r>
        <w:rPr>
          <w:rFonts w:ascii="Arial" w:cs="Arial" w:eastAsia="Arial" w:hAnsi="Arial"/>
          <w:sz w:val="16"/>
          <w:szCs w:val="16"/>
          <w:color w:val="auto"/>
        </w:rPr>
        <w:t>” means any Event of Default or any event that with notice, lapse of time or otherwise would constitute an Event of Default.</w:t>
      </w:r>
    </w:p>
    <w:p>
      <w:pPr>
        <w:spacing w:after="0" w:line="2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Deferred Revenue</w:t>
      </w:r>
      <w:r>
        <w:rPr>
          <w:rFonts w:ascii="Arial" w:cs="Arial" w:eastAsia="Arial" w:hAnsi="Arial"/>
          <w:sz w:val="18"/>
          <w:szCs w:val="18"/>
          <w:color w:val="auto"/>
        </w:rPr>
        <w:t>” is all amounts received or invoiced, as appropriate, in advance of performance under contracts and not yet recognized as revenue.</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80"/>
          </w:cols>
          <w:pgMar w:left="1380" w:top="274" w:right="239" w:bottom="1440" w:gutter="0" w:footer="0" w:header="0"/>
        </w:sectPr>
      </w:pPr>
    </w:p>
    <w:bookmarkStart w:id="281" w:name="page282"/>
    <w:bookmarkEnd w:id="281"/>
    <w:p>
      <w:pPr>
        <w:ind w:right="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Effective Tangible Net Worth</w:t>
      </w:r>
      <w:r>
        <w:rPr>
          <w:rFonts w:ascii="Arial" w:cs="Arial" w:eastAsia="Arial" w:hAnsi="Arial"/>
          <w:sz w:val="18"/>
          <w:szCs w:val="18"/>
          <w:color w:val="auto"/>
        </w:rPr>
        <w:t>” means Borrower’s stated stockholders’ equity plus Subordinated Debt less all intangible assets of the Borrower including without limitation goodwill, trademarks, patents, copyrights, and organization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Receivable</w:t>
      </w:r>
      <w:r>
        <w:rPr>
          <w:rFonts w:ascii="Arial" w:cs="Arial" w:eastAsia="Arial" w:hAnsi="Arial"/>
          <w:sz w:val="18"/>
          <w:szCs w:val="18"/>
          <w:color w:val="auto"/>
        </w:rPr>
        <w:t>” means a Receivable that satisfies all of the following:</w:t>
      </w:r>
    </w:p>
    <w:p>
      <w:pPr>
        <w:spacing w:after="0" w:line="218" w:lineRule="exact"/>
        <w:rPr>
          <w:sz w:val="20"/>
          <w:szCs w:val="20"/>
          <w:color w:val="auto"/>
        </w:rPr>
      </w:pPr>
    </w:p>
    <w:p>
      <w:pPr>
        <w:ind w:left="680" w:right="180" w:hanging="678"/>
        <w:spacing w:after="0" w:line="332" w:lineRule="auto"/>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Receivable has been created by Borrower in the ordinary course of Borrower’s business and without any obligation on the part of Borrower to render any further performance, other than Deferred Revenue arising from maintenance and service contracts.</w:t>
      </w:r>
    </w:p>
    <w:p>
      <w:pPr>
        <w:spacing w:after="0" w:line="125" w:lineRule="exact"/>
        <w:rPr>
          <w:rFonts w:ascii="Arial" w:cs="Arial" w:eastAsia="Arial" w:hAnsi="Arial"/>
          <w:sz w:val="16"/>
          <w:szCs w:val="16"/>
          <w:color w:val="auto"/>
        </w:rPr>
      </w:pPr>
    </w:p>
    <w:p>
      <w:pPr>
        <w:ind w:left="680" w:right="200" w:hanging="678"/>
        <w:spacing w:after="0" w:line="268"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There are no conditions which must be satisfied before Borrower is entitled to receive payment of the Receivable, and the Receivable does not arise from COD sales, consignments or guaranteed sales.</w:t>
      </w:r>
    </w:p>
    <w:p>
      <w:pPr>
        <w:spacing w:after="0" w:line="172" w:lineRule="exact"/>
        <w:rPr>
          <w:rFonts w:ascii="Arial" w:cs="Arial" w:eastAsia="Arial" w:hAnsi="Arial"/>
          <w:sz w:val="18"/>
          <w:szCs w:val="18"/>
          <w:color w:val="auto"/>
        </w:rPr>
      </w:pPr>
    </w:p>
    <w:p>
      <w:pPr>
        <w:ind w:left="680" w:hanging="678"/>
        <w:spacing w:after="0"/>
        <w:tabs>
          <w:tab w:leader="none" w:pos="6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Account Debtor upon the Receivable does not claim any defense to payment of the Receivable, whether well founded or otherwise.</w:t>
      </w:r>
    </w:p>
    <w:p>
      <w:pPr>
        <w:spacing w:after="0" w:line="246" w:lineRule="exact"/>
        <w:rPr>
          <w:rFonts w:ascii="Arial" w:cs="Arial" w:eastAsia="Arial" w:hAnsi="Arial"/>
          <w:sz w:val="15"/>
          <w:szCs w:val="15"/>
          <w:color w:val="auto"/>
        </w:rPr>
      </w:pPr>
    </w:p>
    <w:p>
      <w:pPr>
        <w:ind w:left="680" w:right="300" w:hanging="678"/>
        <w:spacing w:after="0" w:line="259"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Receivable is not that portion of Receivables that is subject to, or may be reasonably be expected to be subject to, any counterclaims or offsets against Borrower (including offsets for any “contra accounts” owed by Borrower to the Account Debtor for goods purchased by Borrower or for services performed for Borrower).</w:t>
      </w:r>
    </w:p>
    <w:p>
      <w:pPr>
        <w:spacing w:after="0" w:line="180" w:lineRule="exact"/>
        <w:rPr>
          <w:rFonts w:ascii="Arial" w:cs="Arial" w:eastAsia="Arial" w:hAnsi="Arial"/>
          <w:sz w:val="18"/>
          <w:szCs w:val="18"/>
          <w:color w:val="auto"/>
        </w:rPr>
      </w:pPr>
    </w:p>
    <w:p>
      <w:pPr>
        <w:ind w:left="680" w:right="620" w:hanging="678"/>
        <w:spacing w:after="0" w:line="332" w:lineRule="auto"/>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Receivable represents a genuine obligation of the Account Debtor and to the extent any credit balances exist in favor of the Account Debtor, such credit balances shall be deducted in calculating the Receivable Amount.</w:t>
      </w:r>
    </w:p>
    <w:p>
      <w:pPr>
        <w:spacing w:after="0" w:line="125" w:lineRule="exact"/>
        <w:rPr>
          <w:rFonts w:ascii="Arial" w:cs="Arial" w:eastAsia="Arial" w:hAnsi="Arial"/>
          <w:sz w:val="16"/>
          <w:szCs w:val="16"/>
          <w:color w:val="auto"/>
        </w:rPr>
      </w:pPr>
    </w:p>
    <w:p>
      <w:pPr>
        <w:ind w:left="680" w:hanging="678"/>
        <w:spacing w:after="0"/>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Borrower has sent an invoice to the Account Debtor in the amount of the Receivable.</w:t>
      </w:r>
    </w:p>
    <w:p>
      <w:pPr>
        <w:spacing w:after="0" w:line="211" w:lineRule="exact"/>
        <w:rPr>
          <w:rFonts w:ascii="Arial" w:cs="Arial" w:eastAsia="Arial" w:hAnsi="Arial"/>
          <w:sz w:val="18"/>
          <w:szCs w:val="18"/>
          <w:color w:val="auto"/>
        </w:rPr>
      </w:pPr>
    </w:p>
    <w:p>
      <w:pPr>
        <w:ind w:left="680" w:right="60" w:hanging="678"/>
        <w:spacing w:after="0" w:line="255"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Borrower is not prohibited by the laws of the state where the Account Debtor is located from bringing an action in the courts of that state to enforce the Account Debtor’s obligation to pay the Receivable. Borrower has taken all appropriate actions to ensure access to the courts of the state where Account Debtor is located, including, where necessary; the filing of a Notice of Business Activities Report or other similar filing with the applicable state agency or the qualification by Borrower as a foreign corporation authorized to transact business in such state.</w:t>
      </w:r>
    </w:p>
    <w:p>
      <w:pPr>
        <w:spacing w:after="0" w:line="183" w:lineRule="exact"/>
        <w:rPr>
          <w:rFonts w:ascii="Arial" w:cs="Arial" w:eastAsia="Arial" w:hAnsi="Arial"/>
          <w:sz w:val="18"/>
          <w:szCs w:val="18"/>
          <w:color w:val="auto"/>
        </w:rPr>
      </w:pPr>
    </w:p>
    <w:p>
      <w:pPr>
        <w:ind w:left="680" w:right="160" w:hanging="678"/>
        <w:spacing w:after="0" w:line="268"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Receivable is owned by Borrower free of any title defects or any liens or interests of others except the security interest in favor of Lender, and Lender has a perfected, first priority security interest in such Receivable.</w:t>
      </w:r>
    </w:p>
    <w:p>
      <w:pPr>
        <w:spacing w:after="0" w:line="172" w:lineRule="exact"/>
        <w:rPr>
          <w:rFonts w:ascii="Arial" w:cs="Arial" w:eastAsia="Arial" w:hAnsi="Arial"/>
          <w:sz w:val="18"/>
          <w:szCs w:val="18"/>
          <w:color w:val="auto"/>
        </w:rPr>
      </w:pPr>
    </w:p>
    <w:p>
      <w:pPr>
        <w:ind w:left="680" w:right="200" w:hanging="678"/>
        <w:spacing w:after="0" w:line="294" w:lineRule="auto"/>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Account Debtor on the Receivable is not any of the following: (1) an employee, Affiliate, parent or subsidiary of Borrower, or an entity which has common officers or directors with Borrower; (2) the U.S. government or any agency or department of the U.S. government unless previously approved in writing by Lender; (3) any person or entity located in a foreign country unless previously approved in writing by Lender; or (4) an Account Debtor as to which 35% or more of the aggregate dollar amount of all outstanding Receivables owing from such Account Debtor have not been paid within 90 days from invoice date.</w:t>
      </w:r>
    </w:p>
    <w:p>
      <w:pPr>
        <w:spacing w:after="0" w:line="156" w:lineRule="exact"/>
        <w:rPr>
          <w:rFonts w:ascii="Arial" w:cs="Arial" w:eastAsia="Arial" w:hAnsi="Arial"/>
          <w:sz w:val="16"/>
          <w:szCs w:val="16"/>
          <w:color w:val="auto"/>
        </w:rPr>
      </w:pPr>
    </w:p>
    <w:p>
      <w:pPr>
        <w:ind w:left="680" w:right="100" w:hanging="678"/>
        <w:spacing w:after="0" w:line="298" w:lineRule="auto"/>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Receivable is not in default (a Receivable will be considered in default if any of the following occur: (i) the Receivable is not paid within 90 days from its invoice date; (ii) the Account Debtor obligated upon the Receivable suspends business, makes a general assignment for the benefit of creditors, or fails to pay its debts generally as they come due; or (iii) any petition is filed by or against the Account Debtor obligated upon the Receivable under any bankruptcy law or any other law or laws for the relief of debtors).</w:t>
      </w:r>
    </w:p>
    <w:p>
      <w:pPr>
        <w:spacing w:after="0" w:line="153" w:lineRule="exact"/>
        <w:rPr>
          <w:rFonts w:ascii="Arial" w:cs="Arial" w:eastAsia="Arial" w:hAnsi="Arial"/>
          <w:sz w:val="16"/>
          <w:szCs w:val="16"/>
          <w:color w:val="auto"/>
        </w:rPr>
      </w:pPr>
    </w:p>
    <w:p>
      <w:pPr>
        <w:ind w:left="680" w:hanging="678"/>
        <w:spacing w:after="0"/>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Receivable does not arise from the sale of goods which remain in Borrower’s possession or under Borrower’s control.</w:t>
      </w:r>
    </w:p>
    <w:p>
      <w:pPr>
        <w:spacing w:after="0" w:line="234" w:lineRule="exact"/>
        <w:rPr>
          <w:rFonts w:ascii="Arial" w:cs="Arial" w:eastAsia="Arial" w:hAnsi="Arial"/>
          <w:sz w:val="16"/>
          <w:szCs w:val="16"/>
          <w:color w:val="auto"/>
        </w:rPr>
      </w:pPr>
    </w:p>
    <w:p>
      <w:pPr>
        <w:ind w:left="680" w:hanging="678"/>
        <w:spacing w:after="0" w:line="268"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Receivable is not evidenced by a promissory note or chattel paper, nor is the Account Debtor obligated to Borrower under any other obligation which is evidenced by a promissory note.</w:t>
      </w:r>
    </w:p>
    <w:p>
      <w:pPr>
        <w:spacing w:after="0" w:line="172" w:lineRule="exact"/>
        <w:rPr>
          <w:rFonts w:ascii="Arial" w:cs="Arial" w:eastAsia="Arial" w:hAnsi="Arial"/>
          <w:sz w:val="18"/>
          <w:szCs w:val="18"/>
          <w:color w:val="auto"/>
        </w:rPr>
      </w:pPr>
    </w:p>
    <w:p>
      <w:pPr>
        <w:ind w:left="680" w:right="420" w:hanging="678"/>
        <w:spacing w:after="0" w:line="268" w:lineRule="auto"/>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Receivable is not that portion of Receivables due from an Account Debtor which is in excess of 30% of Borrower’s aggregate dollar amount of all outstanding Receivables.</w:t>
      </w:r>
    </w:p>
    <w:p>
      <w:pPr>
        <w:spacing w:after="0" w:line="172" w:lineRule="exact"/>
        <w:rPr>
          <w:rFonts w:ascii="Arial" w:cs="Arial" w:eastAsia="Arial" w:hAnsi="Arial"/>
          <w:sz w:val="18"/>
          <w:szCs w:val="18"/>
          <w:color w:val="auto"/>
        </w:rPr>
      </w:pPr>
    </w:p>
    <w:p>
      <w:pPr>
        <w:ind w:left="680" w:hanging="678"/>
        <w:spacing w:after="0"/>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Receivable is otherwise acceptable to Lender.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Eligible Receivable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at any time the sum of the Receivable Amounts of the Eligible Receivables.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Equipment</w:t>
      </w:r>
      <w:r>
        <w:rPr>
          <w:rFonts w:ascii="Arial" w:cs="Arial" w:eastAsia="Arial" w:hAnsi="Arial"/>
          <w:sz w:val="18"/>
          <w:szCs w:val="18"/>
          <w:color w:val="auto"/>
        </w:rPr>
        <w:t>” means equipment and fixtures in which Borrower has an interest.</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60"/>
          </w:cols>
          <w:pgMar w:left="1380" w:top="274" w:right="2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has the meaning set forth in Section 7.1.</w:t>
      </w:r>
    </w:p>
    <w:p>
      <w:pPr>
        <w:spacing w:after="0" w:line="2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Facility Fee</w:t>
      </w:r>
      <w:r>
        <w:rPr>
          <w:rFonts w:ascii="Arial" w:cs="Arial" w:eastAsia="Arial" w:hAnsi="Arial"/>
          <w:sz w:val="18"/>
          <w:szCs w:val="18"/>
          <w:color w:val="auto"/>
        </w:rPr>
        <w:t>” means a payment of an annual fee equal to $30,000 due upon the date of this Agreement and each anniversary thereof so long as any Advance is outstanding or available hereunder.</w:t>
      </w:r>
    </w:p>
    <w:p>
      <w:pPr>
        <w:spacing w:after="0" w:line="16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Finance Charge</w:t>
      </w:r>
      <w:r>
        <w:rPr>
          <w:rFonts w:ascii="Arial" w:cs="Arial" w:eastAsia="Arial" w:hAnsi="Arial"/>
          <w:sz w:val="18"/>
          <w:szCs w:val="18"/>
          <w:color w:val="auto"/>
        </w:rPr>
        <w:t>” means for each Monthly Period an interest amount equal to the Finance Charge Percentage of the average daily Account Balance outstanding during such Monthly Period.</w:t>
      </w:r>
    </w:p>
    <w:p>
      <w:pPr>
        <w:spacing w:after="0" w:line="16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Finance Charge Percentage</w:t>
      </w:r>
      <w:r>
        <w:rPr>
          <w:rFonts w:ascii="Arial" w:cs="Arial" w:eastAsia="Arial" w:hAnsi="Arial"/>
          <w:sz w:val="18"/>
          <w:szCs w:val="18"/>
          <w:color w:val="auto"/>
        </w:rPr>
        <w:t>” means a rate per year equal to the Prime Rate plus 2.25 percentage points (decreasing to the Prime Rate plus 1.00 percentage point after the Term Sheet Milestone equity investment or subordinated debt funding occurs), plus an additional 5.00 percentage points during any period that an Event of Default has occurred and is continuing.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FX Sublimit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$750,000 in the aggregate together with the Letter of Credit Sublimit.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has the meaning given to such term in Section 5.</w:t>
      </w:r>
    </w:p>
    <w:p>
      <w:pPr>
        <w:spacing w:after="0" w:line="21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Inventory</w:t>
      </w:r>
      <w:r>
        <w:rPr>
          <w:rFonts w:ascii="Arial" w:cs="Arial" w:eastAsia="Arial" w:hAnsi="Arial"/>
          <w:sz w:val="18"/>
          <w:szCs w:val="18"/>
          <w:color w:val="auto"/>
        </w:rPr>
        <w:t>” means and includes all of Borrower’s now owned or hereafter acquired goods, merchandise and other personal property, wherever located, to be furnished under any consignment, arrangement, contract of service or held for sale or lease, all raw materials, work in process, finished goods and materials and supplies of any kind, nature or description which are or might be used or consumed in Borrower’s business or used in selling or furnishing such goods, merchandise and other personal property, and all documents of title or other documents representing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Lender</w:t>
      </w:r>
      <w:r>
        <w:rPr>
          <w:rFonts w:ascii="Arial" w:cs="Arial" w:eastAsia="Arial" w:hAnsi="Arial"/>
          <w:sz w:val="18"/>
          <w:szCs w:val="18"/>
          <w:color w:val="auto"/>
        </w:rPr>
        <w:t>” means Bridge Bank, National Association, and its successors and assigns.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w:t>
      </w:r>
      <w:r>
        <w:rPr>
          <w:rFonts w:ascii="Arial" w:cs="Arial" w:eastAsia="Arial" w:hAnsi="Arial"/>
          <w:sz w:val="18"/>
          <w:szCs w:val="18"/>
          <w:color w:val="auto"/>
        </w:rPr>
        <w:t>” has the meaning set forth in Section 1.9.</w:t>
      </w:r>
    </w:p>
    <w:p>
      <w:pPr>
        <w:spacing w:after="0" w:line="212"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Letter of Credit Obligations</w:t>
      </w:r>
      <w:r>
        <w:rPr>
          <w:rFonts w:ascii="Arial" w:cs="Arial" w:eastAsia="Arial" w:hAnsi="Arial"/>
          <w:sz w:val="16"/>
          <w:szCs w:val="16"/>
          <w:color w:val="auto"/>
        </w:rPr>
        <w:t>” means, at any time, the sum of, without duplication, (i) the maximum amount available to be drawn on all outstanding Letters of Credit issued by Lender or by Lender’s Affiliate for the account of Borrower and (ii) the aggregate amount of all amounts drawn and unreimbursed with respect to Letters of Credit issued by the Lender or by Lender’s Affiliate for the account of Borrower.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 of Credit Sublimit</w:t>
      </w:r>
      <w:r>
        <w:rPr>
          <w:rFonts w:ascii="Arial" w:cs="Arial" w:eastAsia="Arial" w:hAnsi="Arial"/>
          <w:sz w:val="18"/>
          <w:szCs w:val="18"/>
          <w:color w:val="auto"/>
        </w:rPr>
        <w:t>” means $750,000 in the aggregate together with the FX Sublimit.</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Maturity Date</w:t>
      </w:r>
      <w:r>
        <w:rPr>
          <w:rFonts w:ascii="Arial" w:cs="Arial" w:eastAsia="Arial" w:hAnsi="Arial"/>
          <w:sz w:val="18"/>
          <w:szCs w:val="18"/>
          <w:color w:val="auto"/>
        </w:rPr>
        <w:t>” means two years from the date hereof or such earlier date as Lender shall have declared the Obligations immediately due and payable pursuant to Section 7.2.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Month End</w:t>
      </w:r>
      <w:r>
        <w:rPr>
          <w:rFonts w:ascii="Arial" w:cs="Arial" w:eastAsia="Arial" w:hAnsi="Arial"/>
          <w:sz w:val="18"/>
          <w:szCs w:val="18"/>
          <w:color w:val="auto"/>
        </w:rPr>
        <w:t>” means the last calendar day of each Monthly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Monthly Period</w:t>
      </w:r>
      <w:r>
        <w:rPr>
          <w:rFonts w:ascii="Arial" w:cs="Arial" w:eastAsia="Arial" w:hAnsi="Arial"/>
          <w:sz w:val="18"/>
          <w:szCs w:val="18"/>
          <w:color w:val="auto"/>
        </w:rPr>
        <w:t>” means each calendar month.</w:t>
      </w:r>
    </w:p>
    <w:p>
      <w:pPr>
        <w:spacing w:after="0" w:line="21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means all liabilities and obligations of Borrower to Lender of any kind or nature, present or future, arising under or in connection with this Agreement or under any other document, instrument or agreement, whether or not evidenced by any note, guarantee or other instrument, whether arising on account or by overdraft, whether direct or indirect (including those acquired by assignment) absolute or contingent, primary or secondary, due or to become due, now owing or hereafter arising, and however acquired; including, without limitation, all Advances, Finance Charges, fees, interest, expenses, professional fees and attorneys’ fees.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Overadvance</w:t>
      </w:r>
      <w:r>
        <w:rPr>
          <w:rFonts w:ascii="Arial" w:cs="Arial" w:eastAsia="Arial" w:hAnsi="Arial"/>
          <w:sz w:val="18"/>
          <w:szCs w:val="18"/>
          <w:color w:val="auto"/>
        </w:rPr>
        <w:t>” means at any time an amount equal to the greater of (a) the amounts (if any) by which the total amount of the outstanding Advances (including deemed Advances with respect to the FX Sublimit and the Letter of Credit Sublimit and the total amount of the Cash Management Sublimit) exceeds the lesser of the Credit Limit or the Borrowing Base or (b) the amounts (if any) by which the total amount of the outstanding deemed Advances with respect to the FX Sublimit and Letter of Credit Sublimit taken together, or the Cash Management Sublimit) exceeds the applicable Subfacility Maximum.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Indebtedness</w:t>
      </w:r>
      <w:r>
        <w:rPr>
          <w:rFonts w:ascii="Arial" w:cs="Arial" w:eastAsia="Arial" w:hAnsi="Arial"/>
          <w:sz w:val="18"/>
          <w:szCs w:val="18"/>
          <w:color w:val="auto"/>
        </w:rPr>
        <w:t>” means:</w:t>
      </w:r>
    </w:p>
    <w:p>
      <w:pPr>
        <w:spacing w:after="0" w:line="218" w:lineRule="exact"/>
        <w:rPr>
          <w:sz w:val="20"/>
          <w:szCs w:val="20"/>
          <w:color w:val="auto"/>
        </w:rPr>
      </w:pPr>
    </w:p>
    <w:p>
      <w:pPr>
        <w:ind w:left="680" w:hanging="678"/>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Indebtedness under this Agreement or that is otherwise owed to the Lender.</w:t>
      </w:r>
    </w:p>
    <w:p>
      <w:pPr>
        <w:spacing w:after="0" w:line="211" w:lineRule="exact"/>
        <w:rPr>
          <w:rFonts w:ascii="Arial" w:cs="Arial" w:eastAsia="Arial" w:hAnsi="Arial"/>
          <w:sz w:val="18"/>
          <w:szCs w:val="18"/>
          <w:color w:val="auto"/>
        </w:rPr>
      </w:pPr>
    </w:p>
    <w:p>
      <w:pPr>
        <w:ind w:left="680" w:hanging="678"/>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Indebtedness existing on the date hereof and specifically disclosed on a schedule to this Agreement.</w:t>
      </w:r>
    </w:p>
    <w:p>
      <w:pPr>
        <w:spacing w:after="0" w:line="211" w:lineRule="exact"/>
        <w:rPr>
          <w:rFonts w:ascii="Arial" w:cs="Arial" w:eastAsia="Arial" w:hAnsi="Arial"/>
          <w:sz w:val="18"/>
          <w:szCs w:val="18"/>
          <w:color w:val="auto"/>
        </w:rPr>
      </w:pPr>
    </w:p>
    <w:p>
      <w:pPr>
        <w:ind w:left="680" w:right="600" w:hanging="678"/>
        <w:spacing w:after="0" w:line="268" w:lineRule="auto"/>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Purchase money indebtedness (including capital leases) incurred to acquire capital assets in ordinary course of business and not exceeding $500,000 in total principal amount at any time outstanding.</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40"/>
          </w:cols>
          <w:pgMar w:left="1380" w:top="274" w:right="279" w:bottom="1440" w:gutter="0" w:footer="0" w:header="0"/>
        </w:sectPr>
      </w:pPr>
    </w:p>
    <w:bookmarkStart w:id="283" w:name="page284"/>
    <w:bookmarkEnd w:id="283"/>
    <w:p>
      <w:pPr>
        <w:ind w:left="680" w:hanging="678"/>
        <w:spacing w:after="0" w:line="259" w:lineRule="auto"/>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Indebtedness in an aggregate amount not to exceed $150,000 at any time outstanding; provided that such indebtedness is junior in priority (if secured) to the Obligations and provided that the incurrence of such Indebtedness does not otherwise cause and Event of Default hereunder.</w:t>
      </w:r>
    </w:p>
    <w:p>
      <w:pPr>
        <w:spacing w:after="0" w:line="180" w:lineRule="exact"/>
        <w:rPr>
          <w:rFonts w:ascii="Arial" w:cs="Arial" w:eastAsia="Arial" w:hAnsi="Arial"/>
          <w:sz w:val="18"/>
          <w:szCs w:val="18"/>
          <w:color w:val="auto"/>
        </w:rPr>
      </w:pPr>
    </w:p>
    <w:p>
      <w:pPr>
        <w:ind w:left="680" w:hanging="678"/>
        <w:spacing w:after="0" w:line="332" w:lineRule="auto"/>
        <w:tabs>
          <w:tab w:leader="none" w:pos="6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Indebtedness incurred in the refinancing of any indebtedness set forth in (a) through (d) above and (g) below, provided that the principal amount thereof is not increased or the terms thereof are not modified to impose more burdensome terms upon the Borrower.</w:t>
      </w:r>
    </w:p>
    <w:p>
      <w:pPr>
        <w:spacing w:after="0" w:line="125" w:lineRule="exact"/>
        <w:rPr>
          <w:rFonts w:ascii="Arial" w:cs="Arial" w:eastAsia="Arial" w:hAnsi="Arial"/>
          <w:sz w:val="16"/>
          <w:szCs w:val="16"/>
          <w:color w:val="auto"/>
        </w:rPr>
      </w:pPr>
    </w:p>
    <w:p>
      <w:pPr>
        <w:ind w:left="680" w:hanging="678"/>
        <w:spacing w:after="0"/>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11" w:lineRule="exact"/>
        <w:rPr>
          <w:rFonts w:ascii="Arial" w:cs="Arial" w:eastAsia="Arial" w:hAnsi="Arial"/>
          <w:sz w:val="18"/>
          <w:szCs w:val="18"/>
          <w:color w:val="auto"/>
        </w:rPr>
      </w:pPr>
    </w:p>
    <w:p>
      <w:pPr>
        <w:ind w:left="680" w:hanging="678"/>
        <w:spacing w:after="0"/>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unsecured trade debt incurred in the ordinary course of business.</w:t>
      </w:r>
    </w:p>
    <w:p>
      <w:pPr>
        <w:spacing w:after="0" w:line="211" w:lineRule="exact"/>
        <w:rPr>
          <w:rFonts w:ascii="Arial" w:cs="Arial" w:eastAsia="Arial" w:hAnsi="Arial"/>
          <w:sz w:val="18"/>
          <w:szCs w:val="18"/>
          <w:color w:val="auto"/>
        </w:rPr>
      </w:pPr>
    </w:p>
    <w:p>
      <w:pPr>
        <w:ind w:left="680" w:right="160" w:hanging="678"/>
        <w:spacing w:after="0" w:line="268" w:lineRule="auto"/>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Indebtedness arising from the endorsement of negotiable instruments for deposits or collections or similar transactions in the ordinary course of business.</w:t>
      </w:r>
    </w:p>
    <w:p>
      <w:pPr>
        <w:spacing w:after="0" w:line="172" w:lineRule="exact"/>
        <w:rPr>
          <w:rFonts w:ascii="Arial" w:cs="Arial" w:eastAsia="Arial" w:hAnsi="Arial"/>
          <w:sz w:val="18"/>
          <w:szCs w:val="18"/>
          <w:color w:val="auto"/>
        </w:rPr>
      </w:pPr>
    </w:p>
    <w:p>
      <w:pPr>
        <w:ind w:left="680" w:right="200" w:hanging="678"/>
        <w:spacing w:after="0" w:line="268" w:lineRule="auto"/>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Indebtedness of Borrower owed to any subsidiary if incurred in the ordinary course of business, consistent with past practices, and, if requested by Lender, subordinated to the Obligations.</w:t>
      </w:r>
    </w:p>
    <w:p>
      <w:pPr>
        <w:spacing w:after="0" w:line="172" w:lineRule="exact"/>
        <w:rPr>
          <w:rFonts w:ascii="Arial" w:cs="Arial" w:eastAsia="Arial" w:hAnsi="Arial"/>
          <w:sz w:val="18"/>
          <w:szCs w:val="18"/>
          <w:color w:val="auto"/>
        </w:rPr>
      </w:pPr>
    </w:p>
    <w:p>
      <w:pPr>
        <w:ind w:left="680" w:right="520" w:hanging="678"/>
        <w:spacing w:after="0" w:line="268" w:lineRule="auto"/>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Indebtedness of Borrower under that certain Loan and Security Agreement, dated as of March 29, 2005, with Lighthouse Capital Partners V, L.P., (as amended from time to time, the “Lighthouse Loan”).</w:t>
      </w:r>
    </w:p>
    <w:p>
      <w:pPr>
        <w:spacing w:after="0" w:line="172" w:lineRule="exact"/>
        <w:rPr>
          <w:rFonts w:ascii="Arial" w:cs="Arial" w:eastAsia="Arial" w:hAnsi="Arial"/>
          <w:sz w:val="18"/>
          <w:szCs w:val="18"/>
          <w:color w:val="auto"/>
        </w:rPr>
      </w:pPr>
    </w:p>
    <w:p>
      <w:pPr>
        <w:ind w:left="680" w:right="160" w:hanging="678"/>
        <w:spacing w:after="0" w:line="268" w:lineRule="auto"/>
        <w:tabs>
          <w:tab w:leader="none" w:pos="6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Indebtedness in addition to that under (a) through (f) above if Lender has previously consented thereto in writing, which consent shall not be unreasonably withheld.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Liens</w:t>
      </w:r>
      <w:r>
        <w:rPr>
          <w:rFonts w:ascii="Arial" w:cs="Arial" w:eastAsia="Arial" w:hAnsi="Arial"/>
          <w:sz w:val="18"/>
          <w:szCs w:val="18"/>
          <w:color w:val="auto"/>
        </w:rPr>
        <w:t>” means:</w:t>
      </w:r>
    </w:p>
    <w:p>
      <w:pPr>
        <w:spacing w:after="0" w:line="218" w:lineRule="exact"/>
        <w:rPr>
          <w:sz w:val="20"/>
          <w:szCs w:val="20"/>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securing any of the indebtedness described in clauses (a) through (d) of the definition of Permitted Indebtedness.</w:t>
      </w:r>
    </w:p>
    <w:p>
      <w:pPr>
        <w:spacing w:after="0" w:line="211" w:lineRule="exact"/>
        <w:rPr>
          <w:rFonts w:ascii="Arial" w:cs="Arial" w:eastAsia="Arial" w:hAnsi="Arial"/>
          <w:sz w:val="18"/>
          <w:szCs w:val="18"/>
          <w:color w:val="auto"/>
        </w:rPr>
      </w:pPr>
    </w:p>
    <w:p>
      <w:pPr>
        <w:ind w:left="680" w:right="360" w:hanging="678"/>
        <w:spacing w:after="0" w:line="332" w:lineRule="auto"/>
        <w:tabs>
          <w:tab w:leader="none" w:pos="6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Liens for taxes, fees, assessments or other governmental charges or levies, either not delinquent or being contested in good faith by appropriate proceedings, provided the same have no priority over any of Lender’s security interests.</w:t>
      </w:r>
    </w:p>
    <w:p>
      <w:pPr>
        <w:spacing w:after="0" w:line="125" w:lineRule="exact"/>
        <w:rPr>
          <w:rFonts w:ascii="Arial" w:cs="Arial" w:eastAsia="Arial" w:hAnsi="Arial"/>
          <w:sz w:val="16"/>
          <w:szCs w:val="16"/>
          <w:color w:val="auto"/>
        </w:rPr>
      </w:pPr>
    </w:p>
    <w:p>
      <w:pPr>
        <w:ind w:left="680" w:right="160" w:hanging="678"/>
        <w:spacing w:after="0" w:line="306" w:lineRule="auto"/>
        <w:tabs>
          <w:tab w:leader="none" w:pos="6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Liens incurred in connection with the extension, renewal or refinancing of the indebtedness described in clause (e) of the definition of Permitted Indebtedness, provided that any extension, renewal or replacement lien shall be limited to the property encumbered by the existing lien and the principal amount of the indebtedness being extended, renewed or refinanced does not increase.</w:t>
      </w:r>
    </w:p>
    <w:p>
      <w:pPr>
        <w:spacing w:after="0" w:line="147" w:lineRule="exact"/>
        <w:rPr>
          <w:rFonts w:ascii="Arial" w:cs="Arial" w:eastAsia="Arial" w:hAnsi="Arial"/>
          <w:sz w:val="16"/>
          <w:szCs w:val="16"/>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securing Subordinated Debt.</w:t>
      </w:r>
    </w:p>
    <w:p>
      <w:pPr>
        <w:spacing w:after="0" w:line="211" w:lineRule="exact"/>
        <w:rPr>
          <w:rFonts w:ascii="Arial" w:cs="Arial" w:eastAsia="Arial" w:hAnsi="Arial"/>
          <w:sz w:val="18"/>
          <w:szCs w:val="18"/>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securing the Lighthouse Loan.</w:t>
      </w:r>
    </w:p>
    <w:p>
      <w:pPr>
        <w:spacing w:after="0" w:line="211" w:lineRule="exact"/>
        <w:rPr>
          <w:rFonts w:ascii="Arial" w:cs="Arial" w:eastAsia="Arial" w:hAnsi="Arial"/>
          <w:sz w:val="18"/>
          <w:szCs w:val="18"/>
          <w:color w:val="auto"/>
        </w:rPr>
      </w:pPr>
    </w:p>
    <w:p>
      <w:pPr>
        <w:ind w:left="680" w:right="120" w:hanging="678"/>
        <w:spacing w:after="0" w:line="268" w:lineRule="auto"/>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 age pensions or other social security obligations in the ordinary course of its business.</w:t>
      </w:r>
    </w:p>
    <w:p>
      <w:pPr>
        <w:spacing w:after="0" w:line="172" w:lineRule="exact"/>
        <w:rPr>
          <w:rFonts w:ascii="Arial" w:cs="Arial" w:eastAsia="Arial" w:hAnsi="Arial"/>
          <w:sz w:val="18"/>
          <w:szCs w:val="18"/>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license or sublicenses of Intellectual Property granted in the ordinary course of business.</w:t>
      </w:r>
    </w:p>
    <w:p>
      <w:pPr>
        <w:spacing w:after="0" w:line="211" w:lineRule="exact"/>
        <w:rPr>
          <w:rFonts w:ascii="Arial" w:cs="Arial" w:eastAsia="Arial" w:hAnsi="Arial"/>
          <w:sz w:val="18"/>
          <w:szCs w:val="18"/>
          <w:color w:val="auto"/>
        </w:rPr>
      </w:pPr>
    </w:p>
    <w:p>
      <w:pPr>
        <w:ind w:left="680" w:hanging="678"/>
        <w:spacing w:after="0"/>
        <w:tabs>
          <w:tab w:leader="none" w:pos="6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banker’s Liens, rights of setoff and similar Liens incurred on deposit and securities accounts in the ordinary course of business.</w:t>
      </w:r>
    </w:p>
    <w:p>
      <w:pPr>
        <w:spacing w:after="0" w:line="234" w:lineRule="exact"/>
        <w:rPr>
          <w:rFonts w:ascii="Arial" w:cs="Arial" w:eastAsia="Arial" w:hAnsi="Arial"/>
          <w:sz w:val="16"/>
          <w:szCs w:val="16"/>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arising from judgments in circumstances not constituting an Event of Default.</w:t>
      </w:r>
    </w:p>
    <w:p>
      <w:pPr>
        <w:spacing w:after="0" w:line="211" w:lineRule="exact"/>
        <w:rPr>
          <w:rFonts w:ascii="Arial" w:cs="Arial" w:eastAsia="Arial" w:hAnsi="Arial"/>
          <w:sz w:val="18"/>
          <w:szCs w:val="18"/>
          <w:color w:val="auto"/>
        </w:rPr>
      </w:pPr>
    </w:p>
    <w:p>
      <w:pPr>
        <w:ind w:left="680" w:right="200" w:hanging="678"/>
        <w:spacing w:after="0" w:line="268" w:lineRule="auto"/>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payments of customs duties in connections with the importation of goods.</w:t>
      </w:r>
    </w:p>
    <w:p>
      <w:pPr>
        <w:spacing w:after="0" w:line="172" w:lineRule="exact"/>
        <w:rPr>
          <w:rFonts w:ascii="Arial" w:cs="Arial" w:eastAsia="Arial" w:hAnsi="Arial"/>
          <w:sz w:val="18"/>
          <w:szCs w:val="18"/>
          <w:color w:val="auto"/>
        </w:rPr>
      </w:pPr>
    </w:p>
    <w:p>
      <w:pPr>
        <w:ind w:left="680" w:hanging="678"/>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on insurance proceeds in favor of insurance companies granted solely as security for financed premiums.</w:t>
      </w:r>
    </w:p>
    <w:p>
      <w:pPr>
        <w:spacing w:after="0" w:line="211" w:lineRule="exact"/>
        <w:rPr>
          <w:rFonts w:ascii="Arial" w:cs="Arial" w:eastAsia="Arial" w:hAnsi="Arial"/>
          <w:sz w:val="18"/>
          <w:szCs w:val="18"/>
          <w:color w:val="auto"/>
        </w:rPr>
      </w:pPr>
    </w:p>
    <w:p>
      <w:pPr>
        <w:ind w:left="680" w:right="180" w:hanging="678"/>
        <w:spacing w:after="0" w:line="259" w:lineRule="auto"/>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w:t>
      </w:r>
    </w:p>
    <w:p>
      <w:pPr>
        <w:spacing w:after="0" w:line="180" w:lineRule="exact"/>
        <w:rPr>
          <w:rFonts w:ascii="Arial" w:cs="Arial" w:eastAsia="Arial" w:hAnsi="Arial"/>
          <w:sz w:val="18"/>
          <w:szCs w:val="18"/>
          <w:color w:val="auto"/>
        </w:rPr>
      </w:pPr>
    </w:p>
    <w:p>
      <w:pPr>
        <w:ind w:left="680" w:right="360" w:hanging="678"/>
        <w:spacing w:after="0" w:line="268" w:lineRule="auto"/>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with respect to cash collateral to secure Indebtedness otherwise permitted pursuant to clause (i) of the definition of Permitted Indebtedness.</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40"/>
          </w:cols>
          <w:pgMar w:left="1380" w:top="280" w:right="279" w:bottom="1440" w:gutter="0" w:footer="0" w:header="0"/>
        </w:sectPr>
      </w:pPr>
    </w:p>
    <w:bookmarkStart w:id="284" w:name="page285"/>
    <w:bookmarkEnd w:id="284"/>
    <w:p>
      <w:pPr>
        <w:ind w:left="1132" w:right="6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Prime Rate</w:t>
      </w:r>
      <w:r>
        <w:rPr>
          <w:rFonts w:ascii="Arial" w:cs="Arial" w:eastAsia="Arial" w:hAnsi="Arial"/>
          <w:sz w:val="16"/>
          <w:szCs w:val="16"/>
          <w:color w:val="auto"/>
        </w:rPr>
        <w:t>” means the greater of 3.25% per year or the variable per annum rate of interest most recently announced by Lender as its “Prime Rate.” Lender may price loans to its customers at, above, or below the Prime Rate. Any change in the Prime Rate shall take effect at the opening of business on the day specified in the public announcement of a change in Lender’s Prime Rate.</w:t>
      </w:r>
    </w:p>
    <w:p>
      <w:pPr>
        <w:spacing w:after="0" w:line="138" w:lineRule="exact"/>
        <w:rPr>
          <w:sz w:val="20"/>
          <w:szCs w:val="20"/>
          <w:color w:val="auto"/>
        </w:rPr>
      </w:pPr>
    </w:p>
    <w:p>
      <w:pPr>
        <w:ind w:left="1132" w:right="44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Receivable Amount</w:t>
      </w:r>
      <w:r>
        <w:rPr>
          <w:rFonts w:ascii="Arial" w:cs="Arial" w:eastAsia="Arial" w:hAnsi="Arial"/>
          <w:sz w:val="16"/>
          <w:szCs w:val="16"/>
          <w:color w:val="auto"/>
        </w:rPr>
        <w:t>” means as to any Receivable, the amount due from the Account Debtor after deducting all discounts, credits, offsets, payments or other deductions of any nature whatsoever, whether or not claimed by the Account Debtor.</w:t>
      </w:r>
    </w:p>
    <w:p>
      <w:pPr>
        <w:spacing w:after="0" w:line="115" w:lineRule="exact"/>
        <w:rPr>
          <w:sz w:val="20"/>
          <w:szCs w:val="20"/>
          <w:color w:val="auto"/>
        </w:rPr>
      </w:pPr>
    </w:p>
    <w:p>
      <w:pPr>
        <w:ind w:left="1132" w:right="38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Receivables</w:t>
      </w:r>
      <w:r>
        <w:rPr>
          <w:rFonts w:ascii="Arial" w:cs="Arial" w:eastAsia="Arial" w:hAnsi="Arial"/>
          <w:sz w:val="16"/>
          <w:szCs w:val="16"/>
          <w:color w:val="auto"/>
        </w:rPr>
        <w:t>” means Borrower’s rights to payment arising in the ordinary course of Borrower’s business, including accounts, chattel paper, instruments, contract rights, documents, general intangibles, letters of credit, drafts, and bankers acceptances.</w:t>
      </w:r>
    </w:p>
    <w:p>
      <w:pPr>
        <w:spacing w:after="0" w:line="115" w:lineRule="exact"/>
        <w:rPr>
          <w:sz w:val="20"/>
          <w:szCs w:val="20"/>
          <w:color w:val="auto"/>
        </w:rPr>
      </w:pPr>
    </w:p>
    <w:p>
      <w:pPr>
        <w:ind w:left="1132"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Subfacility Maximum</w:t>
      </w:r>
      <w:r>
        <w:rPr>
          <w:rFonts w:ascii="Arial" w:cs="Arial" w:eastAsia="Arial" w:hAnsi="Arial"/>
          <w:sz w:val="18"/>
          <w:szCs w:val="18"/>
          <w:color w:val="auto"/>
        </w:rPr>
        <w:t>” means $250,000 as to the Cash Management Sublimit, and $750,000 in the aggregate as to the Letter of Credit and FX Sublimits taken together as a whole.</w:t>
      </w:r>
    </w:p>
    <w:p>
      <w:pPr>
        <w:spacing w:after="0" w:line="16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Semi-Monthly Period</w:t>
      </w:r>
      <w:r>
        <w:rPr>
          <w:rFonts w:ascii="Arial" w:cs="Arial" w:eastAsia="Arial" w:hAnsi="Arial"/>
          <w:sz w:val="18"/>
          <w:szCs w:val="18"/>
          <w:color w:val="auto"/>
        </w:rPr>
        <w:t>” means the period ending on the first or 15</w:t>
      </w:r>
      <w:r>
        <w:rPr>
          <w:rFonts w:ascii="Arial" w:cs="Arial" w:eastAsia="Arial" w:hAnsi="Arial"/>
          <w:sz w:val="11"/>
          <w:szCs w:val="11"/>
          <w:color w:val="auto"/>
        </w:rPr>
        <w:t>th</w:t>
      </w:r>
      <w:r>
        <w:rPr>
          <w:rFonts w:ascii="Arial" w:cs="Arial" w:eastAsia="Arial" w:hAnsi="Arial"/>
          <w:sz w:val="18"/>
          <w:szCs w:val="18"/>
          <w:color w:val="auto"/>
        </w:rPr>
        <w:t xml:space="preserve"> of each calendar month.</w:t>
      </w:r>
    </w:p>
    <w:p>
      <w:pPr>
        <w:spacing w:after="0" w:line="212" w:lineRule="exact"/>
        <w:rPr>
          <w:sz w:val="20"/>
          <w:szCs w:val="20"/>
          <w:color w:val="auto"/>
        </w:rPr>
      </w:pPr>
    </w:p>
    <w:p>
      <w:pPr>
        <w:ind w:left="1132" w:right="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Subordinated Debt</w:t>
      </w:r>
      <w:r>
        <w:rPr>
          <w:rFonts w:ascii="Arial" w:cs="Arial" w:eastAsia="Arial" w:hAnsi="Arial"/>
          <w:sz w:val="18"/>
          <w:szCs w:val="18"/>
          <w:color w:val="auto"/>
        </w:rPr>
        <w:t>” means indebtedness of Borrower that is expressly subordinated to the indebtedness of Borrower owed to Lender pursuant to a subordination agreement satisfactory in form and substance to Lender.</w:t>
      </w:r>
    </w:p>
    <w:p>
      <w:pPr>
        <w:spacing w:after="0" w:line="160"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 Fee</w:t>
      </w:r>
      <w:r>
        <w:rPr>
          <w:rFonts w:ascii="Arial" w:cs="Arial" w:eastAsia="Arial" w:hAnsi="Arial"/>
          <w:sz w:val="18"/>
          <w:szCs w:val="18"/>
          <w:color w:val="auto"/>
        </w:rPr>
        <w:t>” means a payment equal to $35,000.</w:t>
      </w:r>
    </w:p>
    <w:p>
      <w:pPr>
        <w:spacing w:after="0" w:line="212" w:lineRule="exact"/>
        <w:rPr>
          <w:sz w:val="20"/>
          <w:szCs w:val="20"/>
          <w:color w:val="auto"/>
        </w:rPr>
      </w:pPr>
    </w:p>
    <w:p>
      <w:pPr>
        <w:ind w:left="1132"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 Sheet Milestone</w:t>
      </w:r>
      <w:r>
        <w:rPr>
          <w:rFonts w:ascii="Arial" w:cs="Arial" w:eastAsia="Arial" w:hAnsi="Arial"/>
          <w:sz w:val="18"/>
          <w:szCs w:val="18"/>
          <w:color w:val="auto"/>
        </w:rPr>
        <w:t>” means the receipt by Borrower of an executed term sheet for at least $15,000,000 of new equity or subordinated debt issued by investors acceptable to Lender with a scheduled closing date no later than January 31, 2011.</w:t>
      </w:r>
    </w:p>
    <w:p>
      <w:pPr>
        <w:spacing w:after="0" w:line="160"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Construction:</w:t>
      </w:r>
    </w:p>
    <w:p>
      <w:pPr>
        <w:spacing w:after="0" w:line="218" w:lineRule="exact"/>
        <w:rPr>
          <w:sz w:val="20"/>
          <w:szCs w:val="20"/>
          <w:color w:val="auto"/>
        </w:rPr>
      </w:pPr>
    </w:p>
    <w:p>
      <w:pPr>
        <w:ind w:left="1812" w:hanging="678"/>
        <w:spacing w:after="0" w:line="298" w:lineRule="auto"/>
        <w:tabs>
          <w:tab w:leader="none" w:pos="181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In this Agreement: (i) references to the plural include the singular and to the singular include the plural; (ii) references to any gender include any other gender; (iii) the terms “include” and “including” are not limiting; (iv) the term “or” has the inclusive meaning represented by the phrase “and/or,” (v) unless otherwise specified, section and subsection references are to this Agreement, and (vi) any reference to any statute, law, or regulation shall include all amendments thereto and revisions thereof.</w:t>
      </w:r>
    </w:p>
    <w:p>
      <w:pPr>
        <w:spacing w:after="0" w:line="153" w:lineRule="exact"/>
        <w:rPr>
          <w:rFonts w:ascii="Arial" w:cs="Arial" w:eastAsia="Arial" w:hAnsi="Arial"/>
          <w:sz w:val="16"/>
          <w:szCs w:val="16"/>
          <w:color w:val="auto"/>
        </w:rPr>
      </w:pPr>
    </w:p>
    <w:p>
      <w:pPr>
        <w:ind w:left="1812" w:right="140" w:hanging="678"/>
        <w:spacing w:after="0" w:line="323" w:lineRule="auto"/>
        <w:tabs>
          <w:tab w:leader="none" w:pos="181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Neither this Agreement nor any uncertainty or ambiguity herein shall be construed or resolved using any presumption against either Borrower or Lender, whether under any rule of construction or otherwise. On the contrary, this Agreement has been reviewed by each party hereto and their respective counsel. In case of any ambiguity or uncertainty, this Agreement shall be construed and interpreted according to the ordinary meaning of the words used to accomplish fairly the purposes and intentions of all parties hereto.</w:t>
      </w:r>
    </w:p>
    <w:p>
      <w:pPr>
        <w:spacing w:after="0" w:line="138" w:lineRule="exact"/>
        <w:rPr>
          <w:rFonts w:ascii="Arial" w:cs="Arial" w:eastAsia="Arial" w:hAnsi="Arial"/>
          <w:sz w:val="15"/>
          <w:szCs w:val="15"/>
          <w:color w:val="auto"/>
        </w:rPr>
      </w:pPr>
    </w:p>
    <w:p>
      <w:pPr>
        <w:ind w:left="1812" w:hanging="678"/>
        <w:spacing w:after="0"/>
        <w:tabs>
          <w:tab w:leader="none" w:pos="1812"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Titles and section headings used in this Agreement are for convenience only and shall not be used in interpreting this Agreement.</w:t>
      </w:r>
    </w:p>
    <w:p>
      <w:pPr>
        <w:spacing w:after="0" w:line="228" w:lineRule="exact"/>
        <w:rPr>
          <w:rFonts w:ascii="Arial" w:cs="Arial" w:eastAsia="Arial" w:hAnsi="Arial"/>
          <w:sz w:val="16"/>
          <w:szCs w:val="16"/>
          <w:color w:val="auto"/>
        </w:rPr>
      </w:pPr>
    </w:p>
    <w:p>
      <w:pPr>
        <w:ind w:left="572" w:hanging="572"/>
        <w:spacing w:after="0" w:line="255" w:lineRule="auto"/>
        <w:tabs>
          <w:tab w:leader="none" w:pos="57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JURY TRIAL WAIVER</w:t>
      </w:r>
      <w:r>
        <w:rPr>
          <w:rFonts w:ascii="Arial" w:cs="Arial" w:eastAsia="Arial" w:hAnsi="Arial"/>
          <w:sz w:val="18"/>
          <w:szCs w:val="18"/>
          <w:color w:val="auto"/>
        </w:rPr>
        <w:t>. THE UNDERSIGNED ACKNOWLEDGE THAT THE RIGHT TO TRIAL BY JURY IS A CONSTITUTIONAL ONE, BUT</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MAY BE WAIVED UNDER CERTAIN CIRCUMSTANCES. TO THE EXTENT PERMITTED BY LAW, EACH PARTY, AFTER CONSULTING (OR HAVING HAD THE OPPORTUNITY TO CONSULT) WITH COUNSEL OF ITS, HIS OR HER CHOICE, KNOWINGLY AND VOLUNTARILY, AND FOR THE MUTUAL BENEFIT OF ALL PARTIES, WAIVES ANY RIGHT TO TRIAL BY JURY IN THE EVENT OF LITIGATION ARISING OUT OF OR RELATED TO THIS AGREEMENT OR ANY OTHER DOCUMENT, INSTRUMENT OR AGREEMENT BETWEEN THE UNDERSIGNED PARTIES.</w:t>
      </w:r>
    </w:p>
    <w:p>
      <w:pPr>
        <w:spacing w:after="0" w:line="179" w:lineRule="exact"/>
        <w:rPr>
          <w:rFonts w:ascii="Arial" w:cs="Arial" w:eastAsia="Arial" w:hAnsi="Arial"/>
          <w:sz w:val="18"/>
          <w:szCs w:val="18"/>
          <w:b w:val="1"/>
          <w:bCs w:val="1"/>
          <w:color w:val="auto"/>
        </w:rPr>
      </w:pPr>
    </w:p>
    <w:p>
      <w:pPr>
        <w:ind w:left="572" w:hanging="572"/>
        <w:spacing w:after="0"/>
        <w:tabs>
          <w:tab w:leader="none" w:pos="57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JUDICIAL REFERENCE PROVISION</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In the event the Jury Trial Waiver set forth above is not enforceable, the parties elect to proceed under this Judicial Reference Provision.</w:t>
      </w:r>
    </w:p>
    <w:p>
      <w:pPr>
        <w:spacing w:after="0" w:line="234" w:lineRule="exact"/>
        <w:rPr>
          <w:rFonts w:ascii="Arial" w:cs="Arial" w:eastAsia="Arial" w:hAnsi="Arial"/>
          <w:sz w:val="18"/>
          <w:szCs w:val="18"/>
          <w:b w:val="1"/>
          <w:bCs w:val="1"/>
          <w:color w:val="auto"/>
        </w:rPr>
      </w:pPr>
    </w:p>
    <w:p>
      <w:pPr>
        <w:ind w:left="1132" w:hanging="567"/>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With the exception of the items specified in clause (c), below, any controversy, dispute or claim (each, a “</w:t>
      </w:r>
      <w:r>
        <w:rPr>
          <w:rFonts w:ascii="Arial" w:cs="Arial" w:eastAsia="Arial" w:hAnsi="Arial"/>
          <w:sz w:val="16"/>
          <w:szCs w:val="16"/>
          <w:b w:val="1"/>
          <w:bCs w:val="1"/>
          <w:u w:val="single" w:color="auto"/>
          <w:color w:val="auto"/>
        </w:rPr>
        <w:t>Claim</w:t>
      </w:r>
      <w:r>
        <w:rPr>
          <w:rFonts w:ascii="Arial" w:cs="Arial" w:eastAsia="Arial" w:hAnsi="Arial"/>
          <w:sz w:val="16"/>
          <w:szCs w:val="16"/>
          <w:color w:val="auto"/>
        </w:rPr>
        <w:t>”) between the parties arising out</w:t>
      </w:r>
      <w:r>
        <w:rPr>
          <w:rFonts w:ascii="Arial" w:cs="Arial" w:eastAsia="Arial" w:hAnsi="Arial"/>
          <w:sz w:val="16"/>
          <w:szCs w:val="16"/>
          <w:b w:val="1"/>
          <w:bCs w:val="1"/>
          <w:color w:val="auto"/>
        </w:rPr>
        <w:t xml:space="preserve"> </w:t>
      </w:r>
      <w:r>
        <w:rPr>
          <w:rFonts w:ascii="Arial" w:cs="Arial" w:eastAsia="Arial" w:hAnsi="Arial"/>
          <w:sz w:val="16"/>
          <w:szCs w:val="16"/>
          <w:color w:val="auto"/>
        </w:rPr>
        <w:t>of or relating to this Agreement or any other document, instrument or agreement between the undersigned parties (collectively in this Section, the “</w:t>
      </w:r>
      <w:r>
        <w:rPr>
          <w:rFonts w:ascii="Arial" w:cs="Arial" w:eastAsia="Arial" w:hAnsi="Arial"/>
          <w:sz w:val="16"/>
          <w:szCs w:val="16"/>
          <w:b w:val="1"/>
          <w:bCs w:val="1"/>
          <w:u w:val="single" w:color="auto"/>
          <w:color w:val="auto"/>
        </w:rPr>
        <w:t>Loan Documents</w:t>
      </w:r>
      <w:r>
        <w:rPr>
          <w:rFonts w:ascii="Arial" w:cs="Arial" w:eastAsia="Arial" w:hAnsi="Arial"/>
          <w:sz w:val="16"/>
          <w:szCs w:val="16"/>
          <w:color w:val="auto"/>
        </w:rPr>
        <w:t>”), will be resolved by a reference proceeding in California in accordance with the provisions of Sections 638 et seq. of the California Code of Civil Procedure (“</w:t>
      </w:r>
      <w:r>
        <w:rPr>
          <w:rFonts w:ascii="Arial" w:cs="Arial" w:eastAsia="Arial" w:hAnsi="Arial"/>
          <w:sz w:val="16"/>
          <w:szCs w:val="16"/>
          <w:b w:val="1"/>
          <w:bCs w:val="1"/>
          <w:u w:val="single" w:color="auto"/>
          <w:color w:val="auto"/>
        </w:rPr>
        <w:t>CCP</w:t>
      </w:r>
      <w:r>
        <w:rPr>
          <w:rFonts w:ascii="Arial" w:cs="Arial" w:eastAsia="Arial" w:hAnsi="Arial"/>
          <w:sz w:val="16"/>
          <w:szCs w:val="16"/>
          <w:color w:val="auto"/>
        </w:rPr>
        <w:t>”), or their successor sections, which shall constitute the exclusive remedy for the resolution of any Claim, including whether the Claim is subject to the reference proceeding. Except as otherwise provided in the Loan Documents, venue for the reference proceeding will be in the state or federal court in the county or district where the</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52"/>
          </w:cols>
          <w:pgMar w:left="248" w:top="274" w:right="299" w:bottom="1440" w:gutter="0" w:footer="0" w:header="0"/>
        </w:sectPr>
      </w:pPr>
    </w:p>
    <w:bookmarkStart w:id="285" w:name="page286"/>
    <w:bookmarkEnd w:id="285"/>
    <w:p>
      <w:pPr>
        <w:ind w:left="560"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 property involved in the action, if any, is located or in the state or federal court in the county or district where venue is otherwise appropriate under applicable law (the “</w:t>
      </w:r>
      <w:r>
        <w:rPr>
          <w:rFonts w:ascii="Arial" w:cs="Arial" w:eastAsia="Arial" w:hAnsi="Arial"/>
          <w:sz w:val="18"/>
          <w:szCs w:val="18"/>
          <w:b w:val="1"/>
          <w:bCs w:val="1"/>
          <w:u w:val="single" w:color="auto"/>
          <w:color w:val="auto"/>
        </w:rPr>
        <w:t>Court</w:t>
      </w:r>
      <w:r>
        <w:rPr>
          <w:rFonts w:ascii="Arial" w:cs="Arial" w:eastAsia="Arial" w:hAnsi="Arial"/>
          <w:sz w:val="18"/>
          <w:szCs w:val="18"/>
          <w:color w:val="auto"/>
        </w:rPr>
        <w:t>”).</w:t>
      </w:r>
    </w:p>
    <w:p>
      <w:pPr>
        <w:spacing w:after="0" w:line="166" w:lineRule="exact"/>
        <w:rPr>
          <w:sz w:val="20"/>
          <w:szCs w:val="20"/>
          <w:color w:val="auto"/>
        </w:rPr>
      </w:pPr>
    </w:p>
    <w:p>
      <w:pPr>
        <w:ind w:left="560" w:right="100" w:hanging="566"/>
        <w:spacing w:after="0" w:line="291" w:lineRule="auto"/>
        <w:tabs>
          <w:tab w:leader="none" w:pos="5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color w:val="auto"/>
        </w:rPr>
        <w:t>The matters that shall not be subject to a reference are the following: (i) nonjudicial foreclosure of any security interests in real or personal property, (ii) exercise of self-help remedies (including, without limitation, set-off), (iii) appointment of a receiver and (iv) temporary, provisional or ancillary remedies (including, without limitation, writs of attachment, writs of possession, temporary restraining orders or preliminary injunctions). This reference provision does not limit the right of any party to exercise or oppose any of the rights and remedies described in clauses (i) and (ii) or to seek or oppose from a court of competent jurisdiction any of the items described in clauses (iii) and (iv). The exercise of, or opposition to, any of those items does not waive the right of any party to a reference pursuant to this reference provision as provided herein.</w:t>
      </w:r>
    </w:p>
    <w:p>
      <w:pPr>
        <w:spacing w:after="0" w:line="161" w:lineRule="exact"/>
        <w:rPr>
          <w:sz w:val="20"/>
          <w:szCs w:val="20"/>
          <w:color w:val="auto"/>
        </w:rPr>
      </w:pPr>
    </w:p>
    <w:p>
      <w:pPr>
        <w:ind w:left="560" w:right="20" w:hanging="566"/>
        <w:spacing w:after="0" w:line="294" w:lineRule="auto"/>
        <w:tabs>
          <w:tab w:leader="none" w:pos="54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The referee shall be a retired judge or justice selected by mutual written agreement of the parties. If the parties do not agree within ten (10) 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 Pursuant to CCP § 170.6, each party shall have one peremptory challenge to the referee selected by the Presiding Judge of the Court (or his or her representative).</w:t>
      </w:r>
    </w:p>
    <w:p>
      <w:pPr>
        <w:spacing w:after="0" w:line="156" w:lineRule="exact"/>
        <w:rPr>
          <w:sz w:val="20"/>
          <w:szCs w:val="20"/>
          <w:color w:val="auto"/>
        </w:rPr>
      </w:pPr>
    </w:p>
    <w:p>
      <w:pPr>
        <w:jc w:val="right"/>
        <w:ind w:right="480"/>
        <w:spacing w:after="0" w:line="289"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6"/>
          <w:szCs w:val="16"/>
          <w:color w:val="auto"/>
        </w:rPr>
        <w:t>The parties agree that time is of the essence in conducting the reference proceedings. Accordingly, the referee shall be requested,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the time periods specified herein for good cause shown, to (i) set the matter for a status and trial-setting conference within fifteen</w:t>
      </w:r>
    </w:p>
    <w:p>
      <w:pPr>
        <w:spacing w:after="0" w:line="1" w:lineRule="exact"/>
        <w:rPr>
          <w:sz w:val="20"/>
          <w:szCs w:val="20"/>
          <w:color w:val="auto"/>
        </w:rPr>
      </w:pPr>
    </w:p>
    <w:p>
      <w:pPr>
        <w:ind w:left="560" w:right="260" w:firstLine="2"/>
        <w:spacing w:after="0" w:line="323" w:lineRule="auto"/>
        <w:tabs>
          <w:tab w:leader="none" w:pos="89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days after the date of selection of the referee, (ii) if practicable, try all issues of law or fact within one hundred twenty (120) days after the date of the conference and (iii) report a statement of decision within twenty (20) days after the matter has been submitted for decision.</w:t>
      </w:r>
    </w:p>
    <w:p>
      <w:pPr>
        <w:spacing w:after="0" w:line="127" w:lineRule="exact"/>
        <w:rPr>
          <w:sz w:val="20"/>
          <w:szCs w:val="20"/>
          <w:color w:val="auto"/>
        </w:rPr>
      </w:pPr>
    </w:p>
    <w:p>
      <w:pPr>
        <w:ind w:left="560" w:hanging="566"/>
        <w:spacing w:after="0" w:line="294" w:lineRule="auto"/>
        <w:tabs>
          <w:tab w:leader="none" w:pos="54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color w:val="auto"/>
        </w:rPr>
        <w:t>The referee will have power to expand or limit the amount and duration of discovery. The referee may set or extend discovery deadlines or cutoffs for good cause, including a party’s failure to provide requested discovery for any reason whatsoever. Unless otherwise ordered based upon good cause shown,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156" w:lineRule="exact"/>
        <w:rPr>
          <w:sz w:val="20"/>
          <w:szCs w:val="20"/>
          <w:color w:val="auto"/>
        </w:rPr>
      </w:pPr>
    </w:p>
    <w:p>
      <w:pPr>
        <w:ind w:left="560" w:right="20" w:hanging="566"/>
        <w:spacing w:after="0" w:line="291" w:lineRule="auto"/>
        <w:tabs>
          <w:tab w:leader="none" w:pos="54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color w:val="auto"/>
        </w:rPr>
        <w:t>Except as expressly set forth herein,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61" w:lineRule="exact"/>
        <w:rPr>
          <w:sz w:val="20"/>
          <w:szCs w:val="20"/>
          <w:color w:val="auto"/>
        </w:rPr>
      </w:pPr>
    </w:p>
    <w:p>
      <w:pPr>
        <w:ind w:left="560" w:right="20" w:hanging="566"/>
        <w:spacing w:after="0" w:line="304" w:lineRule="auto"/>
        <w:tabs>
          <w:tab w:leader="none" w:pos="54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5"/>
          <w:szCs w:val="15"/>
          <w:color w:val="auto"/>
        </w:rPr>
        <w:t>The referee shall be required to determine all issues in accordance with existing case law and the statutory laws of the State of California. The rules of evidence applicable to proceedings at law in the State of California will be applicable to the reference proceeding. The referee shall be empowered to enter equitable as well as legal relief, enter equitable orders that will be binding on the parties and rule on any motion which would be authorized in a court proceeding, including without limitation motions for summary judgment or summary adjudication. The referee shall issue a decision at the close of the reference proceeding which disposes of all claims of the parties that are the subject of the reference. Pursuant to CCP</w:t>
      </w:r>
    </w:p>
    <w:p>
      <w:pPr>
        <w:ind w:left="560" w:right="160" w:firstLine="2"/>
        <w:spacing w:after="0" w:line="253" w:lineRule="auto"/>
        <w:tabs>
          <w:tab w:leader="none" w:pos="69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80" w:lineRule="exact"/>
        <w:rPr>
          <w:sz w:val="20"/>
          <w:szCs w:val="20"/>
          <w:color w:val="auto"/>
        </w:rPr>
      </w:pPr>
    </w:p>
    <w:p>
      <w:pPr>
        <w:ind w:left="560" w:right="160" w:hanging="566"/>
        <w:spacing w:after="0" w:line="298" w:lineRule="auto"/>
        <w:tabs>
          <w:tab w:leader="none" w:pos="54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color w:val="auto"/>
        </w:rPr>
        <w:t>If the enabling legislation which provides for appointment of a referee is repealed (and no successor statute is enacted), any dispute between the parties that would otherwise be determined by reference procedure will be resolved and determined by arbitration. The arbitration will be conducted by a retired judge or justice, in accordance with the California Arbitration Act §1280 through §1294.2 of the CCP as amended from time to time. The limitations with respect to discovery set forth above shall apply to any such arbitration proceeding.</w:t>
      </w:r>
    </w:p>
    <w:p>
      <w:pPr>
        <w:spacing w:after="0" w:line="153" w:lineRule="exact"/>
        <w:rPr>
          <w:sz w:val="20"/>
          <w:szCs w:val="20"/>
          <w:color w:val="auto"/>
        </w:rPr>
      </w:pPr>
    </w:p>
    <w:p>
      <w:pPr>
        <w:ind w:left="560" w:right="80" w:hanging="566"/>
        <w:spacing w:after="0" w:line="254" w:lineRule="auto"/>
        <w:tabs>
          <w:tab w:leader="none" w:pos="54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8"/>
          <w:szCs w:val="18"/>
          <w:color w:val="auto"/>
        </w:rPr>
        <w:t>THE PARTIES RECOGNIZE AND AGREE THAT ALL CONTROVERSIES, DISPUTES AND CLAIMS RESOLVED UNDER THIS REFERENCE PROVISION WILL BE DECIDED BY A REFEREE AND NOT BY A JURY. AFTER CONSULTING (OR HAVING HAD THE OPPORTUNITY TO CONSULT) WITH COUNSEL OF ITS, HIS OR HER OWN CHOICE, EACH PARTY KNOWINGLY AND VOLUNTARILY, AND FOR THE MUTUAL BENEFIT OF ALL PARTIES, AGREES THAT THIS REFERENCE PROVISION WILL APPLY TO ANY CONTROVERSY, DISPUTE OR CLAIM BETWEEN OR AMONG THEM ARISING OUT OF OR IN ANY WAY RELATED TO, THIS AGREEMENT OR THE OTHER LOAN DOCUMENTS.</w:t>
      </w:r>
    </w:p>
    <w:p>
      <w:pPr>
        <w:spacing w:after="0" w:line="13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820" w:top="280" w:right="239" w:bottom="1440" w:gutter="0" w:footer="0" w:header="0"/>
        </w:sectPr>
      </w:pPr>
    </w:p>
    <w:bookmarkStart w:id="286" w:name="page287"/>
    <w:bookmarkEnd w:id="286"/>
    <w:p>
      <w:pPr>
        <w:ind w:left="572" w:right="20" w:hanging="572"/>
        <w:spacing w:after="0" w:line="289" w:lineRule="auto"/>
        <w:tabs>
          <w:tab w:leader="none" w:pos="57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EFFECTIVENESS, SURVIVAL</w:t>
      </w:r>
      <w:r>
        <w:rPr>
          <w:rFonts w:ascii="Arial" w:cs="Arial" w:eastAsia="Arial" w:hAnsi="Arial"/>
          <w:sz w:val="16"/>
          <w:szCs w:val="16"/>
          <w:color w:val="auto"/>
        </w:rPr>
        <w:t>. This Agreement may be executed in counterparts (and by different parties hereto in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each of which shall constitute an original, but all of which when taken together shall constitute a single contract. This Agreement and the other documents executed in connection herewith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shall be effective as delivery of a manually executed counterpart of this Agreement. This Agreement shall become effective upon the execution and delivery hereof by Borrower and Lender and shall continue in full force and effect until the Maturity Date and thereafter so long as any Obligations (other than inchoate indemnity obligations) remain outstanding hereunder. Lender reserves the right to issue press releases, advertisements, and other promotional materials describing any successful outcome of services provided on Borrower’s behalf. Borrower agrees that Lender shall have the right to identify Borrower by name in those materials.</w:t>
      </w:r>
    </w:p>
    <w:p>
      <w:pPr>
        <w:spacing w:after="0" w:line="153" w:lineRule="exact"/>
        <w:rPr>
          <w:rFonts w:ascii="Arial" w:cs="Arial" w:eastAsia="Arial" w:hAnsi="Arial"/>
          <w:sz w:val="16"/>
          <w:szCs w:val="16"/>
          <w:b w:val="1"/>
          <w:bCs w:val="1"/>
          <w:color w:val="auto"/>
        </w:rPr>
      </w:pPr>
    </w:p>
    <w:p>
      <w:pPr>
        <w:jc w:val="both"/>
        <w:ind w:left="572" w:hanging="572"/>
        <w:spacing w:after="0" w:line="310" w:lineRule="auto"/>
        <w:tabs>
          <w:tab w:leader="none" w:pos="572"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OTHER AGREEMENTS</w:t>
      </w:r>
      <w:r>
        <w:rPr>
          <w:rFonts w:ascii="Arial" w:cs="Arial" w:eastAsia="Arial" w:hAnsi="Arial"/>
          <w:sz w:val="16"/>
          <w:szCs w:val="16"/>
          <w:color w:val="auto"/>
        </w:rPr>
        <w:t>. Any security agreements, liens and/or security interests securing payment of any obligations of Borrower owing to Lender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also secure the Obligations, and are valid and subsisting and are not adversely affected by execution of this Agreement. An Event of Default under this Agreement constitutes a default under other outstanding agreements between Borrower and Lender or its Affiliates.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74" w:right="279" w:bottom="1440" w:gutter="0" w:footer="0" w:header="0"/>
        </w:sectPr>
      </w:pPr>
    </w:p>
    <w:bookmarkStart w:id="287" w:name="page288"/>
    <w:bookmarkEnd w:id="287"/>
    <w:p>
      <w:pPr>
        <w:ind w:left="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and Lender have executed this Agreement on the day and year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3"/>
          </w:tcPr>
          <w:p>
            <w:pPr>
              <w:spacing w:after="0"/>
              <w:rPr>
                <w:sz w:val="20"/>
                <w:szCs w:val="20"/>
                <w:color w:val="auto"/>
              </w:rPr>
            </w:pPr>
            <w:r>
              <w:rPr>
                <w:rFonts w:ascii="Arial" w:cs="Arial" w:eastAsia="Arial" w:hAnsi="Arial"/>
                <w:sz w:val="18"/>
                <w:szCs w:val="18"/>
                <w:color w:val="auto"/>
              </w:rPr>
              <w:t>BORROWER:</w:t>
            </w:r>
          </w:p>
        </w:tc>
        <w:tc>
          <w:tcPr>
            <w:tcW w:w="60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LENDER:</w:t>
            </w:r>
          </w:p>
        </w:tc>
      </w:tr>
      <w:tr>
        <w:trPr>
          <w:trHeight w:val="419"/>
        </w:trPr>
        <w:tc>
          <w:tcPr>
            <w:tcW w:w="4940" w:type="dxa"/>
            <w:vAlign w:val="bottom"/>
            <w:gridSpan w:val="3"/>
          </w:tcPr>
          <w:p>
            <w:pPr>
              <w:spacing w:after="0"/>
              <w:rPr>
                <w:sz w:val="20"/>
                <w:szCs w:val="20"/>
                <w:color w:val="auto"/>
              </w:rPr>
            </w:pPr>
            <w:r>
              <w:rPr>
                <w:rFonts w:ascii="Arial" w:cs="Arial" w:eastAsia="Arial" w:hAnsi="Arial"/>
                <w:sz w:val="18"/>
                <w:szCs w:val="18"/>
                <w:color w:val="auto"/>
              </w:rPr>
              <w:t>FLUIDIGM CORPORATION</w:t>
            </w:r>
          </w:p>
        </w:tc>
        <w:tc>
          <w:tcPr>
            <w:tcW w:w="60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BRIDGE BANK, NATIONAL ASSOCIATION</w:t>
            </w:r>
          </w:p>
        </w:tc>
      </w:tr>
      <w:tr>
        <w:trPr>
          <w:trHeight w:val="44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Gajus V. Worthington</w:t>
            </w:r>
          </w:p>
        </w:tc>
        <w:tc>
          <w:tcPr>
            <w:tcW w:w="6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Chris Hill</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Gajus V. Worthington</w:t>
            </w:r>
          </w:p>
        </w:tc>
        <w:tc>
          <w:tcPr>
            <w:tcW w:w="6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Chris Hill</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CEO</w:t>
            </w:r>
          </w:p>
        </w:tc>
        <w:tc>
          <w:tcPr>
            <w:tcW w:w="6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VP</w:t>
            </w:r>
          </w:p>
        </w:tc>
      </w:tr>
      <w:tr>
        <w:trPr>
          <w:trHeight w:val="385"/>
        </w:trPr>
        <w:tc>
          <w:tcPr>
            <w:tcW w:w="4940" w:type="dxa"/>
            <w:vAlign w:val="bottom"/>
            <w:gridSpan w:val="3"/>
          </w:tcPr>
          <w:p>
            <w:pPr>
              <w:spacing w:after="0"/>
              <w:rPr>
                <w:sz w:val="20"/>
                <w:szCs w:val="20"/>
                <w:color w:val="auto"/>
              </w:rPr>
            </w:pPr>
            <w:r>
              <w:rPr>
                <w:rFonts w:ascii="Arial" w:cs="Arial" w:eastAsia="Arial" w:hAnsi="Arial"/>
                <w:sz w:val="18"/>
                <w:szCs w:val="18"/>
                <w:color w:val="auto"/>
              </w:rPr>
              <w:t>Address for Notices:</w:t>
            </w:r>
          </w:p>
        </w:tc>
        <w:tc>
          <w:tcPr>
            <w:tcW w:w="60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Address for Notices:</w:t>
            </w: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31"/>
        </w:trPr>
        <w:tc>
          <w:tcPr>
            <w:tcW w:w="4940" w:type="dxa"/>
            <w:vAlign w:val="bottom"/>
            <w:gridSpan w:val="3"/>
          </w:tcPr>
          <w:p>
            <w:pPr>
              <w:spacing w:after="0"/>
              <w:rPr>
                <w:sz w:val="20"/>
                <w:szCs w:val="20"/>
                <w:color w:val="auto"/>
              </w:rPr>
            </w:pPr>
            <w:r>
              <w:rPr>
                <w:rFonts w:ascii="Arial" w:cs="Arial" w:eastAsia="Arial" w:hAnsi="Arial"/>
                <w:sz w:val="18"/>
                <w:szCs w:val="18"/>
                <w:color w:val="auto"/>
              </w:rPr>
              <w:t>7000 Shoreline Court, Suite 100</w:t>
            </w:r>
          </w:p>
        </w:tc>
        <w:tc>
          <w:tcPr>
            <w:tcW w:w="60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55 Almaden Blvd.</w:t>
            </w: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South San Francisco, CA 94080</w:t>
            </w:r>
          </w:p>
        </w:tc>
        <w:tc>
          <w:tcPr>
            <w:tcW w:w="60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San Jose, CA 95113</w:t>
            </w:r>
          </w:p>
        </w:tc>
      </w:tr>
      <w:tr>
        <w:trPr>
          <w:trHeight w:val="222"/>
        </w:trPr>
        <w:tc>
          <w:tcPr>
            <w:tcW w:w="4940" w:type="dxa"/>
            <w:vAlign w:val="bottom"/>
            <w:gridSpan w:val="3"/>
          </w:tcPr>
          <w:p>
            <w:pPr>
              <w:spacing w:after="0"/>
              <w:rPr>
                <w:sz w:val="20"/>
                <w:szCs w:val="20"/>
                <w:color w:val="auto"/>
              </w:rPr>
            </w:pPr>
            <w:r>
              <w:rPr>
                <w:rFonts w:ascii="Arial" w:cs="Arial" w:eastAsia="Arial" w:hAnsi="Arial"/>
                <w:sz w:val="18"/>
                <w:szCs w:val="18"/>
                <w:color w:val="auto"/>
              </w:rPr>
              <w:t>Fax: (650) 871-7152</w:t>
            </w:r>
          </w:p>
        </w:tc>
        <w:tc>
          <w:tcPr>
            <w:tcW w:w="60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Fax: (408) 423-8510</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Business Financing Agreement</w:t>
      </w:r>
    </w:p>
    <w:p>
      <w:pPr>
        <w:sectPr>
          <w:pgSz w:w="11900" w:h="16838" w:orient="portrait"/>
          <w:cols w:equalWidth="0" w:num="1">
            <w:col w:w="10500"/>
          </w:cols>
          <w:pgMar w:left="700" w:top="280" w:right="69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2"/>
              </w:rPr>
              <w:t>Exhibit A</w:t>
            </w:r>
          </w:p>
        </w:tc>
        <w:tc>
          <w:tcPr>
            <w:tcW w:w="820" w:type="dxa"/>
            <w:vAlign w:val="bottom"/>
          </w:tcPr>
          <w:p>
            <w:pPr>
              <w:spacing w:after="0"/>
              <w:rPr>
                <w:sz w:val="17"/>
                <w:szCs w:val="17"/>
                <w:color w:val="auto"/>
              </w:rPr>
            </w:pPr>
          </w:p>
        </w:tc>
      </w:tr>
      <w:tr>
        <w:trPr>
          <w:trHeight w:val="316"/>
        </w:trPr>
        <w:tc>
          <w:tcPr>
            <w:tcW w:w="840" w:type="dxa"/>
            <w:vAlign w:val="bottom"/>
          </w:tcPr>
          <w:p>
            <w:pPr>
              <w:spacing w:after="0"/>
              <w:rPr>
                <w:sz w:val="24"/>
                <w:szCs w:val="24"/>
                <w:color w:val="auto"/>
              </w:rPr>
            </w:pPr>
          </w:p>
        </w:tc>
        <w:tc>
          <w:tcPr>
            <w:tcW w:w="6100" w:type="dxa"/>
            <w:vAlign w:val="bottom"/>
            <w:gridSpan w:val="5"/>
          </w:tcPr>
          <w:p>
            <w:pPr>
              <w:jc w:val="center"/>
              <w:ind w:left="3552"/>
              <w:spacing w:after="0"/>
              <w:rPr>
                <w:sz w:val="20"/>
                <w:szCs w:val="20"/>
                <w:color w:val="auto"/>
              </w:rPr>
            </w:pPr>
            <w:r>
              <w:rPr>
                <w:rFonts w:ascii="Arial" w:cs="Arial" w:eastAsia="Arial" w:hAnsi="Arial"/>
                <w:sz w:val="18"/>
                <w:szCs w:val="18"/>
                <w:b w:val="1"/>
                <w:bCs w:val="1"/>
                <w:color w:val="auto"/>
              </w:rPr>
              <w:t>COMPLIANCE CERTIFICATE</w:t>
            </w:r>
          </w:p>
        </w:tc>
      </w:tr>
      <w:tr>
        <w:trPr>
          <w:trHeight w:val="380"/>
        </w:trPr>
        <w:tc>
          <w:tcPr>
            <w:tcW w:w="840" w:type="dxa"/>
            <w:vAlign w:val="bottom"/>
          </w:tcPr>
          <w:p>
            <w:pPr>
              <w:spacing w:after="0"/>
              <w:rPr>
                <w:sz w:val="20"/>
                <w:szCs w:val="20"/>
                <w:color w:val="auto"/>
              </w:rPr>
            </w:pPr>
            <w:r>
              <w:rPr>
                <w:rFonts w:ascii="Arial" w:cs="Arial" w:eastAsia="Arial" w:hAnsi="Arial"/>
                <w:sz w:val="18"/>
                <w:szCs w:val="18"/>
                <w:color w:val="auto"/>
              </w:rPr>
              <w:t>TO:</w:t>
            </w:r>
          </w:p>
        </w:tc>
        <w:tc>
          <w:tcPr>
            <w:tcW w:w="6100" w:type="dxa"/>
            <w:vAlign w:val="bottom"/>
            <w:gridSpan w:val="5"/>
          </w:tcPr>
          <w:p>
            <w:pPr>
              <w:ind w:left="300"/>
              <w:spacing w:after="0"/>
              <w:rPr>
                <w:sz w:val="20"/>
                <w:szCs w:val="20"/>
                <w:color w:val="auto"/>
              </w:rPr>
            </w:pPr>
            <w:r>
              <w:rPr>
                <w:rFonts w:ascii="Arial" w:cs="Arial" w:eastAsia="Arial" w:hAnsi="Arial"/>
                <w:sz w:val="18"/>
                <w:szCs w:val="18"/>
                <w:color w:val="auto"/>
              </w:rPr>
              <w:t>BRIDGE BANK, NATIONAL ASSOCIATION (the “Lender”)</w:t>
            </w:r>
          </w:p>
        </w:tc>
      </w:tr>
      <w:tr>
        <w:trPr>
          <w:trHeight w:val="20"/>
        </w:trPr>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FROM:</w:t>
            </w:r>
          </w:p>
        </w:tc>
        <w:tc>
          <w:tcPr>
            <w:tcW w:w="6100" w:type="dxa"/>
            <w:vAlign w:val="bottom"/>
            <w:gridSpan w:val="5"/>
          </w:tcPr>
          <w:p>
            <w:pPr>
              <w:ind w:left="300"/>
              <w:spacing w:after="0"/>
              <w:rPr>
                <w:sz w:val="20"/>
                <w:szCs w:val="20"/>
                <w:color w:val="auto"/>
              </w:rPr>
            </w:pPr>
            <w:r>
              <w:rPr>
                <w:rFonts w:ascii="Arial" w:cs="Arial" w:eastAsia="Arial" w:hAnsi="Arial"/>
                <w:sz w:val="18"/>
                <w:szCs w:val="18"/>
                <w:color w:val="auto"/>
              </w:rPr>
              <w:t>FLUIDIGM CORPORATION, a Delaware corporation (the “Borrower”)</w:t>
            </w:r>
          </w:p>
        </w:tc>
      </w:tr>
      <w:tr>
        <w:trPr>
          <w:trHeight w:val="20"/>
        </w:trPr>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00" w:firstLine="685"/>
        <w:spacing w:after="0" w:line="286" w:lineRule="auto"/>
        <w:rPr>
          <w:sz w:val="20"/>
          <w:szCs w:val="20"/>
          <w:color w:val="auto"/>
        </w:rPr>
      </w:pPr>
      <w:r>
        <w:rPr>
          <w:rFonts w:ascii="Arial" w:cs="Arial" w:eastAsia="Arial" w:hAnsi="Arial"/>
          <w:sz w:val="16"/>
          <w:szCs w:val="16"/>
          <w:color w:val="auto"/>
        </w:rPr>
        <w:t>The undersigned authorized officers of Fluidigm Corporation hereby certifies that in accordance with the terms and conditions of the Business Financing Agreement between Borrower and Lender (the “</w:t>
      </w:r>
      <w:r>
        <w:rPr>
          <w:rFonts w:ascii="Arial" w:cs="Arial" w:eastAsia="Arial" w:hAnsi="Arial"/>
          <w:sz w:val="16"/>
          <w:szCs w:val="16"/>
          <w:u w:val="single" w:color="auto"/>
          <w:color w:val="auto"/>
        </w:rPr>
        <w:t>Agreement</w:t>
      </w:r>
      <w:r>
        <w:rPr>
          <w:rFonts w:ascii="Arial" w:cs="Arial" w:eastAsia="Arial" w:hAnsi="Arial"/>
          <w:sz w:val="16"/>
          <w:szCs w:val="16"/>
          <w:color w:val="auto"/>
        </w:rPr>
        <w:t>”), (i) the Borrower is in complete compliance for the period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-23495</wp:posOffset>
            </wp:positionV>
            <wp:extent cx="8921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8"/>
          <w:szCs w:val="18"/>
          <w:color w:val="auto"/>
        </w:rPr>
        <w:t>with all required covenants except as noted below and (ii) all representations and warranties of such Borrower stated in the Agreement are true and correct in all material respects as of the date hereof. Attached herewith are the required documents supporting the above certification. The undersigned officer further certifies that the accompanying financial statements are prepared in accordance with Generally Accepted Accounting Principles (GAAP) and are consistently applied from one period to the next except (i) as explained in an accompanying letter or footnotes and (ii) with respect to unaudited financial statements, for the absence of footnotes and subject to year end adjustments.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400"/>
          </w:cols>
          <w:pgMar w:left="240" w:top="257" w:right="2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Reporting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886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Consolidated monthly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Consolidated and consolidating quarterly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Compliance Certificate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 &amp; A/P Agings and Borrowing Base Certificate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Consolidated annual financial statements (CPA 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10-K, 10-Q, and 8-K reports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 &amp; Collateral Audit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Draft annual financial projections and budget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projections and budget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37388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37388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37388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Required</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Complies</w:t>
            </w:r>
          </w:p>
        </w:tc>
        <w:tc>
          <w:tcPr>
            <w:tcW w:w="140" w:type="dxa"/>
            <w:vAlign w:val="bottom"/>
          </w:tcPr>
          <w:p>
            <w:pPr>
              <w:spacing w:after="0"/>
              <w:rPr>
                <w:sz w:val="14"/>
                <w:szCs w:val="14"/>
                <w:color w:val="auto"/>
              </w:rPr>
            </w:pPr>
          </w:p>
        </w:tc>
      </w:tr>
      <w:tr>
        <w:trPr>
          <w:trHeight w:val="309"/>
        </w:trPr>
        <w:tc>
          <w:tcPr>
            <w:tcW w:w="3060" w:type="dxa"/>
            <w:vAlign w:val="bottom"/>
            <w:gridSpan w:val="3"/>
          </w:tcPr>
          <w:p>
            <w:pPr>
              <w:spacing w:after="0"/>
              <w:rPr>
                <w:sz w:val="20"/>
                <w:szCs w:val="20"/>
                <w:color w:val="auto"/>
              </w:rPr>
            </w:pPr>
            <w:r>
              <w:rPr>
                <w:rFonts w:ascii="Arial" w:cs="Arial" w:eastAsia="Arial" w:hAnsi="Arial"/>
                <w:sz w:val="18"/>
                <w:szCs w:val="18"/>
                <w:color w:val="auto"/>
              </w:rPr>
              <w:t>Within 30 days of the end of each</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calendar month</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18"/>
        </w:trPr>
        <w:tc>
          <w:tcPr>
            <w:tcW w:w="3060" w:type="dxa"/>
            <w:vAlign w:val="bottom"/>
            <w:gridSpan w:val="3"/>
          </w:tcPr>
          <w:p>
            <w:pPr>
              <w:spacing w:after="0"/>
              <w:rPr>
                <w:sz w:val="20"/>
                <w:szCs w:val="20"/>
                <w:color w:val="auto"/>
              </w:rPr>
            </w:pPr>
            <w:r>
              <w:rPr>
                <w:rFonts w:ascii="Arial" w:cs="Arial" w:eastAsia="Arial" w:hAnsi="Arial"/>
                <w:sz w:val="18"/>
                <w:szCs w:val="18"/>
                <w:color w:val="auto"/>
              </w:rPr>
              <w:t>Within 30 days of the end of each</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calendar quarter</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18"/>
        </w:trPr>
        <w:tc>
          <w:tcPr>
            <w:tcW w:w="3060" w:type="dxa"/>
            <w:vAlign w:val="bottom"/>
            <w:gridSpan w:val="3"/>
          </w:tcPr>
          <w:p>
            <w:pPr>
              <w:spacing w:after="0"/>
              <w:rPr>
                <w:sz w:val="20"/>
                <w:szCs w:val="20"/>
                <w:color w:val="auto"/>
              </w:rPr>
            </w:pPr>
            <w:r>
              <w:rPr>
                <w:rFonts w:ascii="Arial" w:cs="Arial" w:eastAsia="Arial" w:hAnsi="Arial"/>
                <w:sz w:val="18"/>
                <w:szCs w:val="18"/>
                <w:color w:val="auto"/>
              </w:rPr>
              <w:t>Within 30 days of the end of each</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calendar month</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18"/>
        </w:trPr>
        <w:tc>
          <w:tcPr>
            <w:tcW w:w="3060" w:type="dxa"/>
            <w:vAlign w:val="bottom"/>
            <w:gridSpan w:val="3"/>
          </w:tcPr>
          <w:p>
            <w:pPr>
              <w:spacing w:after="0"/>
              <w:rPr>
                <w:sz w:val="20"/>
                <w:szCs w:val="20"/>
                <w:color w:val="auto"/>
              </w:rPr>
            </w:pPr>
            <w:r>
              <w:rPr>
                <w:rFonts w:ascii="Arial" w:cs="Arial" w:eastAsia="Arial" w:hAnsi="Arial"/>
                <w:sz w:val="18"/>
                <w:szCs w:val="18"/>
                <w:color w:val="auto"/>
              </w:rPr>
              <w:t>Prior to or concurrent with the initial</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Advance and if any Advances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w w:val="95"/>
              </w:rPr>
              <w:t>outstanding, semi-monthly within 5 days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of the 1</w:t>
            </w:r>
            <w:r>
              <w:rPr>
                <w:rFonts w:ascii="Arial" w:cs="Arial" w:eastAsia="Arial" w:hAnsi="Arial"/>
                <w:sz w:val="11"/>
                <w:szCs w:val="11"/>
                <w:color w:val="auto"/>
              </w:rPr>
              <w:t>st</w:t>
            </w:r>
            <w:r>
              <w:rPr>
                <w:rFonts w:ascii="Arial" w:cs="Arial" w:eastAsia="Arial" w:hAnsi="Arial"/>
                <w:sz w:val="18"/>
                <w:szCs w:val="18"/>
                <w:color w:val="auto"/>
              </w:rPr>
              <w:t xml:space="preserve"> and 15</w:t>
            </w:r>
            <w:r>
              <w:rPr>
                <w:rFonts w:ascii="Arial" w:cs="Arial" w:eastAsia="Arial" w:hAnsi="Arial"/>
                <w:sz w:val="11"/>
                <w:szCs w:val="11"/>
                <w:color w:val="auto"/>
              </w:rPr>
              <w:t>th</w:t>
            </w:r>
            <w:r>
              <w:rPr>
                <w:rFonts w:ascii="Arial" w:cs="Arial" w:eastAsia="Arial" w:hAnsi="Arial"/>
                <w:sz w:val="18"/>
                <w:szCs w:val="18"/>
                <w:color w:val="auto"/>
              </w:rPr>
              <w:t xml:space="preserve"> of each month</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24"/>
        </w:trPr>
        <w:tc>
          <w:tcPr>
            <w:tcW w:w="3060" w:type="dxa"/>
            <w:vAlign w:val="bottom"/>
            <w:gridSpan w:val="3"/>
          </w:tcPr>
          <w:p>
            <w:pPr>
              <w:spacing w:after="0"/>
              <w:rPr>
                <w:sz w:val="20"/>
                <w:szCs w:val="20"/>
                <w:color w:val="auto"/>
              </w:rPr>
            </w:pPr>
            <w:r>
              <w:rPr>
                <w:rFonts w:ascii="Arial" w:cs="Arial" w:eastAsia="Arial" w:hAnsi="Arial"/>
                <w:sz w:val="18"/>
                <w:szCs w:val="18"/>
                <w:color w:val="auto"/>
              </w:rPr>
              <w:t>Within 180 days of each FYE</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18"/>
        </w:trPr>
        <w:tc>
          <w:tcPr>
            <w:tcW w:w="3060" w:type="dxa"/>
            <w:vAlign w:val="bottom"/>
            <w:gridSpan w:val="3"/>
          </w:tcPr>
          <w:p>
            <w:pPr>
              <w:spacing w:after="0"/>
              <w:rPr>
                <w:sz w:val="20"/>
                <w:szCs w:val="20"/>
                <w:color w:val="auto"/>
              </w:rPr>
            </w:pPr>
            <w:r>
              <w:rPr>
                <w:rFonts w:ascii="Arial" w:cs="Arial" w:eastAsia="Arial" w:hAnsi="Arial"/>
                <w:sz w:val="18"/>
                <w:szCs w:val="18"/>
                <w:color w:val="auto"/>
                <w:w w:val="95"/>
              </w:rPr>
              <w:t>Concurrent with SEC filing dates (where</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applicable)</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18"/>
        </w:trPr>
        <w:tc>
          <w:tcPr>
            <w:tcW w:w="3060" w:type="dxa"/>
            <w:vAlign w:val="bottom"/>
            <w:gridSpan w:val="3"/>
          </w:tcPr>
          <w:p>
            <w:pPr>
              <w:spacing w:after="0"/>
              <w:rPr>
                <w:sz w:val="20"/>
                <w:szCs w:val="20"/>
                <w:color w:val="auto"/>
              </w:rPr>
            </w:pPr>
            <w:r>
              <w:rPr>
                <w:rFonts w:ascii="Arial" w:cs="Arial" w:eastAsia="Arial" w:hAnsi="Arial"/>
                <w:sz w:val="18"/>
                <w:szCs w:val="18"/>
                <w:color w:val="auto"/>
                <w:w w:val="96"/>
              </w:rPr>
              <w:t>Prior to the initial Advance and annually</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0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24"/>
        </w:trPr>
        <w:tc>
          <w:tcPr>
            <w:tcW w:w="3060" w:type="dxa"/>
            <w:vAlign w:val="bottom"/>
            <w:gridSpan w:val="3"/>
          </w:tcPr>
          <w:p>
            <w:pPr>
              <w:spacing w:after="0"/>
              <w:rPr>
                <w:sz w:val="20"/>
                <w:szCs w:val="20"/>
                <w:color w:val="auto"/>
              </w:rPr>
            </w:pPr>
            <w:r>
              <w:rPr>
                <w:rFonts w:ascii="Arial" w:cs="Arial" w:eastAsia="Arial" w:hAnsi="Arial"/>
                <w:sz w:val="18"/>
                <w:szCs w:val="18"/>
                <w:color w:val="auto"/>
              </w:rPr>
              <w:t>At least 30 days before each FYE</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r>
        <w:trPr>
          <w:trHeight w:val="324"/>
        </w:trPr>
        <w:tc>
          <w:tcPr>
            <w:tcW w:w="3060" w:type="dxa"/>
            <w:vAlign w:val="bottom"/>
            <w:gridSpan w:val="3"/>
          </w:tcPr>
          <w:p>
            <w:pPr>
              <w:spacing w:after="0"/>
              <w:rPr>
                <w:sz w:val="20"/>
                <w:szCs w:val="20"/>
                <w:color w:val="auto"/>
              </w:rPr>
            </w:pPr>
            <w:r>
              <w:rPr>
                <w:rFonts w:ascii="Arial" w:cs="Arial" w:eastAsia="Arial" w:hAnsi="Arial"/>
                <w:sz w:val="18"/>
                <w:szCs w:val="18"/>
                <w:color w:val="auto"/>
              </w:rPr>
              <w:t>Within 30 days of each FYE</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78"/>
              </w:rPr>
              <w:t>No</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-130175</wp:posOffset>
            </wp:positionV>
            <wp:extent cx="3258820" cy="22383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58820" cy="223837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AUTHORIZED SIGNER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AUTHORIZED SIGNER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8" w:lineRule="exact"/>
        <w:rPr>
          <w:sz w:val="20"/>
          <w:szCs w:val="20"/>
          <w:color w:val="auto"/>
        </w:rPr>
      </w:pPr>
    </w:p>
    <w:p>
      <w:pPr>
        <w:spacing w:after="0"/>
        <w:tabs>
          <w:tab w:leader="none" w:pos="2940" w:val="left"/>
          <w:tab w:leader="none" w:pos="4100" w:val="left"/>
        </w:tabs>
        <w:rPr>
          <w:sz w:val="20"/>
          <w:szCs w:val="20"/>
          <w:color w:val="auto"/>
        </w:rPr>
      </w:pPr>
      <w:r>
        <w:rPr>
          <w:rFonts w:ascii="Arial" w:cs="Arial" w:eastAsia="Arial" w:hAnsi="Arial"/>
          <w:sz w:val="18"/>
          <w:szCs w:val="18"/>
          <w:color w:val="auto"/>
        </w:rPr>
        <w:t>Compliance Status</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6"/>
          <w:szCs w:val="16"/>
          <w:color w:val="auto"/>
        </w:rPr>
        <w:t>No</w:t>
      </w:r>
    </w:p>
    <w:p>
      <w:pPr>
        <w:sectPr>
          <w:pgSz w:w="11900" w:h="16838" w:orient="portrait"/>
          <w:cols w:equalWidth="0" w:num="2">
            <w:col w:w="5880" w:space="720"/>
            <w:col w:w="4800"/>
          </w:cols>
          <w:pgMar w:left="240" w:top="257" w:right="259" w:bottom="1440" w:gutter="0" w:footer="0" w:header="0"/>
          <w:type w:val="continuous"/>
        </w:sectPr>
      </w:pPr>
    </w:p>
    <w:bookmarkStart w:id="289" w:name="page290"/>
    <w:bookmarkEnd w:id="289"/>
    <w:tbl>
      <w:tblPr>
        <w:tblLayout w:type="fixed"/>
        <w:tblInd w:w="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ind w:left="3820"/>
              <w:spacing w:after="0"/>
              <w:rPr>
                <w:sz w:val="20"/>
                <w:szCs w:val="20"/>
                <w:color w:val="auto"/>
              </w:rPr>
            </w:pPr>
            <w:r>
              <w:rPr>
                <w:rFonts w:ascii="Arial" w:cs="Arial" w:eastAsia="Arial" w:hAnsi="Arial"/>
                <w:sz w:val="22"/>
                <w:szCs w:val="22"/>
                <w:b w:val="1"/>
                <w:bCs w:val="1"/>
                <w:color w:val="auto"/>
                <w:w w:val="89"/>
              </w:rPr>
              <w:t>Exhibit 10.1</w:t>
            </w:r>
          </w:p>
        </w:tc>
      </w:tr>
      <w:tr>
        <w:trPr>
          <w:trHeight w:val="366"/>
        </w:trPr>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0" w:type="dxa"/>
            <w:vAlign w:val="bottom"/>
            <w:gridSpan w:val="5"/>
          </w:tcPr>
          <w:p>
            <w:pPr>
              <w:jc w:val="center"/>
              <w:ind w:right="2092"/>
              <w:spacing w:after="0"/>
              <w:rPr>
                <w:sz w:val="20"/>
                <w:szCs w:val="20"/>
                <w:color w:val="auto"/>
              </w:rPr>
            </w:pPr>
            <w:r>
              <w:rPr>
                <w:rFonts w:ascii="Arial" w:cs="Arial" w:eastAsia="Arial" w:hAnsi="Arial"/>
                <w:sz w:val="18"/>
                <w:szCs w:val="18"/>
                <w:b w:val="1"/>
                <w:bCs w:val="1"/>
                <w:color w:val="auto"/>
              </w:rPr>
              <w:t>FLUIDIGM CORPORATION</w:t>
            </w:r>
          </w:p>
        </w:tc>
      </w:tr>
      <w:tr>
        <w:trPr>
          <w:trHeight w:val="378"/>
        </w:trPr>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0" w:type="dxa"/>
            <w:vAlign w:val="bottom"/>
            <w:gridSpan w:val="5"/>
          </w:tcPr>
          <w:p>
            <w:pPr>
              <w:jc w:val="center"/>
              <w:ind w:right="2112"/>
              <w:spacing w:after="0"/>
              <w:rPr>
                <w:sz w:val="20"/>
                <w:szCs w:val="20"/>
                <w:color w:val="auto"/>
              </w:rPr>
            </w:pPr>
            <w:r>
              <w:rPr>
                <w:rFonts w:ascii="Arial" w:cs="Arial" w:eastAsia="Arial" w:hAnsi="Arial"/>
                <w:sz w:val="18"/>
                <w:szCs w:val="18"/>
                <w:b w:val="1"/>
                <w:bCs w:val="1"/>
                <w:color w:val="auto"/>
              </w:rPr>
              <w:t>INDEMNIFICATION AGREEMENT</w:t>
            </w:r>
          </w:p>
        </w:tc>
      </w:tr>
      <w:tr>
        <w:trPr>
          <w:trHeight w:val="340"/>
        </w:trPr>
        <w:tc>
          <w:tcPr>
            <w:tcW w:w="5340" w:type="dxa"/>
            <w:vAlign w:val="bottom"/>
            <w:gridSpan w:val="3"/>
          </w:tcPr>
          <w:p>
            <w:pPr>
              <w:ind w:left="800"/>
              <w:spacing w:after="0"/>
              <w:rPr>
                <w:sz w:val="20"/>
                <w:szCs w:val="20"/>
                <w:color w:val="auto"/>
              </w:rPr>
            </w:pPr>
            <w:r>
              <w:rPr>
                <w:rFonts w:ascii="Arial" w:cs="Arial" w:eastAsia="Arial" w:hAnsi="Arial"/>
                <w:sz w:val="18"/>
                <w:szCs w:val="18"/>
                <w:color w:val="auto"/>
                <w:w w:val="92"/>
              </w:rPr>
              <w:t>This Indemnification Agreement (“</w:t>
            </w:r>
            <w:r>
              <w:rPr>
                <w:rFonts w:ascii="Arial" w:cs="Arial" w:eastAsia="Arial" w:hAnsi="Arial"/>
                <w:sz w:val="18"/>
                <w:szCs w:val="18"/>
                <w:b w:val="1"/>
                <w:bCs w:val="1"/>
                <w:color w:val="auto"/>
                <w:w w:val="92"/>
              </w:rPr>
              <w:t>Agreement</w:t>
            </w:r>
            <w:r>
              <w:rPr>
                <w:rFonts w:ascii="Arial" w:cs="Arial" w:eastAsia="Arial" w:hAnsi="Arial"/>
                <w:sz w:val="18"/>
                <w:szCs w:val="18"/>
                <w:color w:val="auto"/>
                <w:w w:val="92"/>
              </w:rPr>
              <w:t>”) is made as of</w:t>
            </w:r>
          </w:p>
        </w:tc>
        <w:tc>
          <w:tcPr>
            <w:tcW w:w="6080" w:type="dxa"/>
            <w:vAlign w:val="bottom"/>
            <w:gridSpan w:val="4"/>
          </w:tcPr>
          <w:p>
            <w:pPr>
              <w:ind w:left="660"/>
              <w:spacing w:after="0"/>
              <w:rPr>
                <w:sz w:val="20"/>
                <w:szCs w:val="20"/>
                <w:color w:val="auto"/>
              </w:rPr>
            </w:pPr>
            <w:r>
              <w:rPr>
                <w:rFonts w:ascii="Arial" w:cs="Arial" w:eastAsia="Arial" w:hAnsi="Arial"/>
                <w:sz w:val="18"/>
                <w:szCs w:val="18"/>
                <w:color w:val="auto"/>
                <w:w w:val="92"/>
              </w:rPr>
              <w:t>, 20   , by and between Fluidigm Corporation, a Delaware corporation (the</w:t>
            </w: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Company</w:t>
            </w:r>
            <w:r>
              <w:rPr>
                <w:rFonts w:ascii="Arial" w:cs="Arial" w:eastAsia="Arial" w:hAnsi="Arial"/>
                <w:sz w:val="18"/>
                <w:szCs w:val="18"/>
                <w:color w:val="auto"/>
                <w:w w:val="94"/>
              </w:rPr>
              <w:t>”), and</w:t>
            </w:r>
          </w:p>
        </w:tc>
        <w:tc>
          <w:tcPr>
            <w:tcW w:w="880" w:type="dxa"/>
            <w:vAlign w:val="bottom"/>
            <w:tcBorders>
              <w:bottom w:val="single" w:sz="8" w:color="auto"/>
            </w:tcBorders>
          </w:tcPr>
          <w:p>
            <w:pPr>
              <w:spacing w:after="0"/>
              <w:rPr>
                <w:sz w:val="17"/>
                <w:szCs w:val="17"/>
                <w:color w:val="auto"/>
              </w:rPr>
            </w:pPr>
          </w:p>
        </w:tc>
        <w:tc>
          <w:tcPr>
            <w:tcW w:w="3120" w:type="dxa"/>
            <w:vAlign w:val="bottom"/>
          </w:tcPr>
          <w:p>
            <w:pPr>
              <w:ind w:left="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w:t>
            </w: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940" w:type="dxa"/>
            <w:vAlign w:val="bottom"/>
          </w:tcPr>
          <w:p>
            <w:pPr>
              <w:spacing w:after="0"/>
              <w:rPr>
                <w:sz w:val="17"/>
                <w:szCs w:val="17"/>
                <w:color w:val="auto"/>
              </w:rPr>
            </w:pPr>
          </w:p>
        </w:tc>
      </w:tr>
    </w:tbl>
    <w:p>
      <w:pPr>
        <w:spacing w:after="0" w:line="18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Indemnitee recognize the significant cost of directors’ and officers’ liability insurance and the general reductions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of such insurance;</w:t>
      </w:r>
    </w:p>
    <w:p>
      <w:pPr>
        <w:spacing w:after="0" w:line="132"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Indemnitee further recognize the substantial increase in corporate litigation in general, subjecting officers and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expensive litigation risks at the same time as the coverage of liability insurance has been severely limited; and</w:t>
      </w:r>
    </w:p>
    <w:p>
      <w:pPr>
        <w:spacing w:after="0" w:line="132" w:lineRule="exact"/>
        <w:rPr>
          <w:sz w:val="20"/>
          <w:szCs w:val="20"/>
          <w:color w:val="auto"/>
        </w:rPr>
      </w:pPr>
    </w:p>
    <w:p>
      <w:pPr>
        <w:jc w:val="both"/>
        <w:ind w:firstLine="799"/>
        <w:spacing w:after="0" w:line="332" w:lineRule="auto"/>
        <w:rPr>
          <w:sz w:val="20"/>
          <w:szCs w:val="20"/>
          <w:color w:val="auto"/>
        </w:rPr>
      </w:pPr>
      <w:r>
        <w:rPr>
          <w:rFonts w:ascii="Arial" w:cs="Arial" w:eastAsia="Arial" w:hAnsi="Arial"/>
          <w:sz w:val="16"/>
          <w:szCs w:val="16"/>
          <w:b w:val="1"/>
          <w:bCs w:val="1"/>
          <w:i w:val="1"/>
          <w:iCs w:val="1"/>
          <w:color w:val="auto"/>
        </w:rPr>
        <w:t>WHEREAS</w:t>
      </w:r>
      <w:r>
        <w:rPr>
          <w:rFonts w:ascii="Arial" w:cs="Arial" w:eastAsia="Arial" w:hAnsi="Arial"/>
          <w:sz w:val="16"/>
          <w:szCs w:val="16"/>
          <w:color w:val="auto"/>
        </w:rPr>
        <w:t>, the Company desires to attract and retain the services of highly qualified individuals, such as Indemnitee, to serve as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Company and to indemnify its officers and directors so as to provide them with the maximum protection permitted by law.</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NOW, THEREFORE</w:t>
      </w:r>
      <w:r>
        <w:rPr>
          <w:rFonts w:ascii="Arial" w:cs="Arial" w:eastAsia="Arial" w:hAnsi="Arial"/>
          <w:sz w:val="16"/>
          <w:szCs w:val="16"/>
          <w:color w:val="auto"/>
        </w:rPr>
        <w:t>, in consideration for Indemnitee’s services as an officer or director of the Company, the Company and Indemnitee hereby agree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59" w:lineRule="exact"/>
        <w:rPr>
          <w:sz w:val="20"/>
          <w:szCs w:val="20"/>
          <w:color w:val="auto"/>
        </w:rPr>
      </w:pPr>
    </w:p>
    <w:p>
      <w:pPr>
        <w:ind w:left="1120" w:hanging="313"/>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77" w:lineRule="exact"/>
        <w:rPr>
          <w:rFonts w:ascii="Arial" w:cs="Arial" w:eastAsia="Arial" w:hAnsi="Arial"/>
          <w:sz w:val="18"/>
          <w:szCs w:val="18"/>
          <w:color w:val="auto"/>
        </w:rPr>
      </w:pPr>
    </w:p>
    <w:p>
      <w:pPr>
        <w:ind w:left="2060" w:hanging="568"/>
        <w:spacing w:after="0"/>
        <w:tabs>
          <w:tab w:leader="none" w:pos="20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165" w:lineRule="exact"/>
        <w:rPr>
          <w:sz w:val="20"/>
          <w:szCs w:val="20"/>
          <w:color w:val="auto"/>
        </w:rPr>
      </w:pPr>
    </w:p>
    <w:p>
      <w:pPr>
        <w:jc w:val="both"/>
        <w:ind w:firstLine="2290"/>
        <w:spacing w:after="0" w:line="259" w:lineRule="auto"/>
        <w:tabs>
          <w:tab w:leader="none" w:pos="2948"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Stock by Third Party. </w:t>
      </w:r>
      <w:r>
        <w:rPr>
          <w:rFonts w:ascii="Arial" w:cs="Arial" w:eastAsia="Arial" w:hAnsi="Arial"/>
          <w:sz w:val="18"/>
          <w:szCs w:val="18"/>
          <w:color w:val="auto"/>
        </w:rPr>
        <w:t>Any Person (as defined below) is or becomes the Beneficial Owner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directly or indirectly, of securities of the Company representing fifteen percent (15%) or more of the combined voting power of the Company’s then outstanding securities;</w:t>
      </w:r>
    </w:p>
    <w:p>
      <w:pPr>
        <w:spacing w:after="0" w:line="140" w:lineRule="exact"/>
        <w:rPr>
          <w:rFonts w:ascii="Arial" w:cs="Arial" w:eastAsia="Arial" w:hAnsi="Arial"/>
          <w:sz w:val="18"/>
          <w:szCs w:val="18"/>
          <w:color w:val="auto"/>
        </w:rPr>
      </w:pPr>
    </w:p>
    <w:p>
      <w:pPr>
        <w:jc w:val="both"/>
        <w:ind w:firstLine="2290"/>
        <w:spacing w:after="0" w:line="291" w:lineRule="auto"/>
        <w:tabs>
          <w:tab w:leader="none" w:pos="3037"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Change in Board Composition. </w:t>
      </w:r>
      <w:r>
        <w:rPr>
          <w:rFonts w:ascii="Arial" w:cs="Arial" w:eastAsia="Arial" w:hAnsi="Arial"/>
          <w:sz w:val="16"/>
          <w:szCs w:val="16"/>
          <w:color w:val="auto"/>
        </w:rPr>
        <w:t>During any period of two consecutive years (not including any period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20" w:lineRule="exact"/>
        <w:rPr>
          <w:rFonts w:ascii="Arial" w:cs="Arial" w:eastAsia="Arial" w:hAnsi="Arial"/>
          <w:sz w:val="16"/>
          <w:szCs w:val="16"/>
          <w:color w:val="auto"/>
        </w:rPr>
      </w:pPr>
    </w:p>
    <w:p>
      <w:pPr>
        <w:jc w:val="both"/>
        <w:ind w:firstLine="2290"/>
        <w:spacing w:after="0" w:line="255" w:lineRule="auto"/>
        <w:tabs>
          <w:tab w:leader="none" w:pos="2991"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effective date of a merger or consolidation of the Company with any other entity,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ectPr>
          <w:pgSz w:w="11900" w:h="16838" w:orient="portrait"/>
          <w:cols w:equalWidth="0" w:num="1">
            <w:col w:w="11420"/>
          </w:cols>
          <w:pgMar w:left="240" w:top="111" w:right="239" w:bottom="1440" w:gutter="0" w:footer="0" w:header="0"/>
        </w:sectPr>
      </w:pPr>
    </w:p>
    <w:bookmarkStart w:id="290" w:name="page291"/>
    <w:bookmarkEnd w:id="290"/>
    <w:p>
      <w:pPr>
        <w:ind w:left="-800" w:right="20" w:firstLine="2290"/>
        <w:spacing w:after="0" w:line="268" w:lineRule="auto"/>
        <w:tabs>
          <w:tab w:leader="none" w:pos="2317"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Liquidation. </w:t>
      </w:r>
      <w:r>
        <w:rPr>
          <w:rFonts w:ascii="Arial" w:cs="Arial" w:eastAsia="Arial" w:hAnsi="Arial"/>
          <w:sz w:val="18"/>
          <w:szCs w:val="18"/>
          <w:color w:val="auto"/>
        </w:rPr>
        <w:t>The approval by the stockholders of the Company of a complete liquidation of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the sale or disposition by the Company of all or substantially all of the Company’s assets; and</w:t>
      </w:r>
    </w:p>
    <w:p>
      <w:pPr>
        <w:spacing w:after="0" w:line="131" w:lineRule="exact"/>
        <w:rPr>
          <w:rFonts w:ascii="Arial" w:cs="Arial" w:eastAsia="Arial" w:hAnsi="Arial"/>
          <w:sz w:val="18"/>
          <w:szCs w:val="18"/>
          <w:color w:val="auto"/>
        </w:rPr>
      </w:pPr>
    </w:p>
    <w:p>
      <w:pPr>
        <w:jc w:val="both"/>
        <w:ind w:left="-800" w:firstLine="2290"/>
        <w:spacing w:after="0" w:line="259" w:lineRule="auto"/>
        <w:tabs>
          <w:tab w:leader="none" w:pos="2052"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Any other event of a nature that would be required to be reported in response to Item 6(e) of Schedule 14A</w:t>
      </w:r>
      <w:r>
        <w:rPr>
          <w:rFonts w:ascii="Arial" w:cs="Arial" w:eastAsia="Arial" w:hAnsi="Arial"/>
          <w:sz w:val="18"/>
          <w:szCs w:val="18"/>
          <w:i w:val="1"/>
          <w:iCs w:val="1"/>
          <w:color w:val="auto"/>
        </w:rPr>
        <w:t xml:space="preserve"> </w:t>
      </w:r>
      <w:r>
        <w:rPr>
          <w:rFonts w:ascii="Arial" w:cs="Arial" w:eastAsia="Arial" w:hAnsi="Arial"/>
          <w:sz w:val="18"/>
          <w:szCs w:val="18"/>
          <w:color w:val="auto"/>
        </w:rPr>
        <w:t>of Regulation 14A (or in response to any similar item on any similar schedule or form) promulgated under the Securities Exchange Act of 1934, as amended, whether or not the Company is then subject to such reporting requirement.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1(a), the following terms shall have the following meanings:</w:t>
      </w:r>
    </w:p>
    <w:p>
      <w:pPr>
        <w:spacing w:after="0" w:line="171" w:lineRule="exact"/>
        <w:rPr>
          <w:sz w:val="20"/>
          <w:szCs w:val="20"/>
          <w:color w:val="auto"/>
        </w:rPr>
      </w:pPr>
    </w:p>
    <w:p>
      <w:pPr>
        <w:jc w:val="both"/>
        <w:ind w:left="-800" w:firstLine="3203"/>
        <w:spacing w:after="0" w:line="256" w:lineRule="auto"/>
        <w:tabs>
          <w:tab w:leader="none" w:pos="299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have the meaning as set forth in Sections 13(d) and 14(d) of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3" w:lineRule="exact"/>
        <w:rPr>
          <w:rFonts w:ascii="Arial" w:cs="Arial" w:eastAsia="Arial" w:hAnsi="Arial"/>
          <w:sz w:val="18"/>
          <w:szCs w:val="18"/>
          <w:color w:val="auto"/>
        </w:rPr>
      </w:pPr>
    </w:p>
    <w:p>
      <w:pPr>
        <w:jc w:val="both"/>
        <w:ind w:left="-800" w:firstLine="3203"/>
        <w:spacing w:after="0" w:line="256" w:lineRule="auto"/>
        <w:tabs>
          <w:tab w:leader="none" w:pos="296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given to such term in Rule 13d-3 under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43" w:lineRule="exact"/>
        <w:rPr>
          <w:rFonts w:ascii="Arial" w:cs="Arial" w:eastAsia="Arial" w:hAnsi="Arial"/>
          <w:sz w:val="18"/>
          <w:szCs w:val="18"/>
          <w:color w:val="auto"/>
        </w:rPr>
      </w:pPr>
    </w:p>
    <w:p>
      <w:pPr>
        <w:ind w:left="-800" w:right="20" w:firstLine="1492"/>
        <w:spacing w:after="0" w:line="268" w:lineRule="auto"/>
        <w:tabs>
          <w:tab w:leader="none" w:pos="134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131" w:lineRule="exact"/>
        <w:rPr>
          <w:rFonts w:ascii="Arial" w:cs="Arial" w:eastAsia="Arial" w:hAnsi="Arial"/>
          <w:sz w:val="18"/>
          <w:szCs w:val="18"/>
          <w:color w:val="auto"/>
        </w:rPr>
      </w:pPr>
    </w:p>
    <w:p>
      <w:pPr>
        <w:ind w:left="1240" w:hanging="548"/>
        <w:spacing w:after="0"/>
        <w:tabs>
          <w:tab w:leader="none" w:pos="1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rFonts w:ascii="Arial" w:cs="Arial" w:eastAsia="Arial" w:hAnsi="Arial"/>
          <w:sz w:val="18"/>
          <w:szCs w:val="18"/>
          <w:color w:val="auto"/>
        </w:rPr>
      </w:pPr>
    </w:p>
    <w:p>
      <w:pPr>
        <w:ind w:left="-800" w:firstLine="1492"/>
        <w:spacing w:after="0" w:line="268" w:lineRule="auto"/>
        <w:tabs>
          <w:tab w:leader="none" w:pos="133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31" w:lineRule="exact"/>
        <w:rPr>
          <w:rFonts w:ascii="Arial" w:cs="Arial" w:eastAsia="Arial" w:hAnsi="Arial"/>
          <w:sz w:val="18"/>
          <w:szCs w:val="18"/>
          <w:color w:val="auto"/>
        </w:rPr>
      </w:pPr>
    </w:p>
    <w:p>
      <w:pPr>
        <w:jc w:val="both"/>
        <w:ind w:left="-800" w:firstLine="1492"/>
        <w:spacing w:after="0" w:line="259" w:lineRule="auto"/>
        <w:tabs>
          <w:tab w:leader="none" w:pos="13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40" w:lineRule="exact"/>
        <w:rPr>
          <w:rFonts w:ascii="Arial" w:cs="Arial" w:eastAsia="Arial" w:hAnsi="Arial"/>
          <w:sz w:val="18"/>
          <w:szCs w:val="18"/>
          <w:color w:val="auto"/>
        </w:rPr>
      </w:pPr>
    </w:p>
    <w:p>
      <w:pPr>
        <w:jc w:val="both"/>
        <w:ind w:left="-800" w:firstLine="1492"/>
        <w:spacing w:after="0" w:line="289" w:lineRule="auto"/>
        <w:tabs>
          <w:tab w:leader="none" w:pos="121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91" w:lineRule="exact"/>
        <w:rPr>
          <w:rFonts w:ascii="Arial" w:cs="Arial" w:eastAsia="Arial" w:hAnsi="Arial"/>
          <w:sz w:val="16"/>
          <w:szCs w:val="16"/>
          <w:color w:val="auto"/>
        </w:rPr>
      </w:pPr>
    </w:p>
    <w:p>
      <w:pPr>
        <w:ind w:left="4860" w:hanging="126"/>
        <w:spacing w:after="0"/>
        <w:tabs>
          <w:tab w:leader="none" w:pos="4860" w:val="left"/>
        </w:tabs>
        <w:numPr>
          <w:ilvl w:val="2"/>
          <w:numId w:val="224"/>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620"/>
          </w:cols>
          <w:pgMar w:left="1040" w:top="334" w:right="239" w:bottom="1440" w:gutter="0" w:footer="0" w:header="0"/>
        </w:sectPr>
      </w:pPr>
    </w:p>
    <w:bookmarkStart w:id="291" w:name="page292"/>
    <w:bookmarkEnd w:id="291"/>
    <w:p>
      <w:pPr>
        <w:jc w:val="both"/>
        <w:ind w:left="-807" w:firstLine="1492"/>
        <w:spacing w:after="0" w:line="291" w:lineRule="auto"/>
        <w:tabs>
          <w:tab w:leader="none" w:pos="13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Counsel</w:t>
      </w:r>
      <w:r>
        <w:rPr>
          <w:rFonts w:ascii="Arial" w:cs="Arial" w:eastAsia="Arial" w:hAnsi="Arial"/>
          <w:sz w:val="16"/>
          <w:szCs w:val="16"/>
          <w:color w:val="auto"/>
        </w:rPr>
        <w:t>” shall not include any person who, under the applicable standards of professional conduct then prevailing, would have a conflict of interest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either the Company or Indemnitee in an action to determine Indemnitee’s rights under this Agreement.</w:t>
      </w:r>
    </w:p>
    <w:p>
      <w:pPr>
        <w:spacing w:after="0" w:line="120" w:lineRule="exact"/>
        <w:rPr>
          <w:rFonts w:ascii="Arial" w:cs="Arial" w:eastAsia="Arial" w:hAnsi="Arial"/>
          <w:sz w:val="16"/>
          <w:szCs w:val="16"/>
          <w:color w:val="auto"/>
        </w:rPr>
      </w:pPr>
    </w:p>
    <w:p>
      <w:pPr>
        <w:jc w:val="both"/>
        <w:ind w:left="-807" w:firstLine="1492"/>
        <w:spacing w:after="0" w:line="289" w:lineRule="auto"/>
        <w:tabs>
          <w:tab w:leader="none" w:pos="153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18" w:lineRule="exact"/>
        <w:rPr>
          <w:rFonts w:ascii="Arial" w:cs="Arial" w:eastAsia="Arial" w:hAnsi="Arial"/>
          <w:sz w:val="16"/>
          <w:szCs w:val="16"/>
          <w:color w:val="auto"/>
        </w:rPr>
      </w:pPr>
    </w:p>
    <w:p>
      <w:pPr>
        <w:jc w:val="both"/>
        <w:ind w:left="-807" w:firstLine="1492"/>
        <w:spacing w:after="0" w:line="254" w:lineRule="auto"/>
        <w:tabs>
          <w:tab w:leader="none" w:pos="124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138" w:lineRule="exact"/>
        <w:rPr>
          <w:rFonts w:ascii="Arial" w:cs="Arial" w:eastAsia="Arial" w:hAnsi="Arial"/>
          <w:sz w:val="18"/>
          <w:szCs w:val="18"/>
          <w:color w:val="auto"/>
        </w:rPr>
      </w:pPr>
    </w:p>
    <w:p>
      <w:pPr>
        <w:jc w:val="both"/>
        <w:ind w:left="-807" w:firstLine="807"/>
        <w:spacing w:after="0" w:line="293" w:lineRule="auto"/>
        <w:tabs>
          <w:tab w:leader="none" w:pos="465"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Indemnity in Third-Party Proceedings. </w:t>
      </w:r>
      <w:r>
        <w:rPr>
          <w:rFonts w:ascii="Arial" w:cs="Arial" w:eastAsia="Arial" w:hAnsi="Arial"/>
          <w:sz w:val="16"/>
          <w:szCs w:val="16"/>
          <w:color w:val="auto"/>
        </w:rPr>
        <w:t>The Company shall indemnify Indemnitee in accordance with the provisions of this Section 2 if</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10" w:lineRule="exact"/>
        <w:rPr>
          <w:rFonts w:ascii="Arial" w:cs="Arial" w:eastAsia="Arial" w:hAnsi="Arial"/>
          <w:sz w:val="16"/>
          <w:szCs w:val="16"/>
          <w:color w:val="auto"/>
        </w:rPr>
      </w:pPr>
    </w:p>
    <w:p>
      <w:pPr>
        <w:jc w:val="both"/>
        <w:ind w:left="-807" w:firstLine="807"/>
        <w:spacing w:after="0" w:line="296" w:lineRule="auto"/>
        <w:tabs>
          <w:tab w:leader="none" w:pos="357"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Indemnity in Proceedings by or in the Right of the Company. </w:t>
      </w:r>
      <w:r>
        <w:rPr>
          <w:rFonts w:ascii="Arial" w:cs="Arial" w:eastAsia="Arial" w:hAnsi="Arial"/>
          <w:sz w:val="16"/>
          <w:szCs w:val="16"/>
          <w:color w:val="auto"/>
        </w:rPr>
        <w:t>The Company shall indemnify Indemnitee in accordance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and, to the fullest extent permitted by law, amounts paid in settlement actually and reasonably incurred by Indemnitee or on Indemnitee’s behalf in connection with such Proceeding or any claim, issue or matter therein, if Indemnitee acted in good faith and in a manner he or she reasonably believed</w:t>
      </w:r>
    </w:p>
    <w:p>
      <w:pPr>
        <w:spacing w:after="0" w:line="87" w:lineRule="exact"/>
        <w:rPr>
          <w:rFonts w:ascii="Arial" w:cs="Arial" w:eastAsia="Arial" w:hAnsi="Arial"/>
          <w:sz w:val="16"/>
          <w:szCs w:val="16"/>
          <w:color w:val="auto"/>
        </w:rPr>
      </w:pPr>
    </w:p>
    <w:p>
      <w:pPr>
        <w:ind w:left="4853" w:hanging="126"/>
        <w:spacing w:after="0"/>
        <w:tabs>
          <w:tab w:leader="none" w:pos="4853" w:val="left"/>
        </w:tabs>
        <w:numPr>
          <w:ilvl w:val="2"/>
          <w:numId w:val="22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0613"/>
          </w:cols>
          <w:pgMar w:left="1047" w:top="334" w:right="239" w:bottom="1440" w:gutter="0" w:footer="0" w:header="0"/>
        </w:sectPr>
      </w:pPr>
    </w:p>
    <w:bookmarkStart w:id="292" w:name="page293"/>
    <w:bookmarkEnd w:id="29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in or not opposed to the best interests of the Company. No indemnification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37" w:lineRule="exact"/>
        <w:rPr>
          <w:sz w:val="20"/>
          <w:szCs w:val="20"/>
          <w:color w:val="auto"/>
        </w:rPr>
      </w:pPr>
    </w:p>
    <w:p>
      <w:pPr>
        <w:jc w:val="both"/>
        <w:ind w:firstLine="807"/>
        <w:spacing w:after="0" w:line="290" w:lineRule="auto"/>
        <w:tabs>
          <w:tab w:leader="none" w:pos="1190"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for Expenses of a Party Who is Wholly or Partly Successful. </w:t>
      </w:r>
      <w:r>
        <w:rPr>
          <w:rFonts w:ascii="Arial" w:cs="Arial" w:eastAsia="Arial" w:hAnsi="Arial"/>
          <w:sz w:val="16"/>
          <w:szCs w:val="16"/>
          <w:color w:val="auto"/>
        </w:rPr>
        <w:t>To the extent that Indemnitee is a party to or a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issuer or matter. For purposes of this section, the termination of any claim, issue or matter in such a Proceeding by dismissal, with or without prejudice, shall be deemed to be a successful result as to such claim, issue or matter.</w:t>
      </w:r>
    </w:p>
    <w:p>
      <w:pPr>
        <w:spacing w:after="0" w:line="112" w:lineRule="exact"/>
        <w:rPr>
          <w:rFonts w:ascii="Arial" w:cs="Arial" w:eastAsia="Arial" w:hAnsi="Arial"/>
          <w:sz w:val="16"/>
          <w:szCs w:val="16"/>
          <w:color w:val="auto"/>
        </w:rPr>
      </w:pPr>
    </w:p>
    <w:p>
      <w:pPr>
        <w:jc w:val="both"/>
        <w:ind w:firstLine="807"/>
        <w:spacing w:after="0" w:line="262" w:lineRule="auto"/>
        <w:tabs>
          <w:tab w:leader="none" w:pos="1271"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for Expenses of a Witness. </w:t>
      </w:r>
      <w:r>
        <w:rPr>
          <w:rFonts w:ascii="Arial" w:cs="Arial" w:eastAsia="Arial" w:hAnsi="Arial"/>
          <w:sz w:val="18"/>
          <w:szCs w:val="18"/>
          <w:color w:val="auto"/>
        </w:rPr>
        <w:t>To the extent that Indemnitee is, by reason of his or her Corporate Status, a witness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32" w:lineRule="exact"/>
        <w:rPr>
          <w:rFonts w:ascii="Arial" w:cs="Arial" w:eastAsia="Arial" w:hAnsi="Arial"/>
          <w:sz w:val="18"/>
          <w:szCs w:val="18"/>
          <w:color w:val="auto"/>
        </w:rPr>
      </w:pPr>
    </w:p>
    <w:p>
      <w:pPr>
        <w:ind w:left="1160" w:hanging="353"/>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Additional Indemnification.</w:t>
      </w:r>
    </w:p>
    <w:p>
      <w:pPr>
        <w:spacing w:after="0" w:line="177" w:lineRule="exact"/>
        <w:rPr>
          <w:rFonts w:ascii="Arial" w:cs="Arial" w:eastAsia="Arial" w:hAnsi="Arial"/>
          <w:sz w:val="18"/>
          <w:szCs w:val="18"/>
          <w:color w:val="auto"/>
        </w:rPr>
      </w:pPr>
    </w:p>
    <w:p>
      <w:pPr>
        <w:jc w:val="both"/>
        <w:ind w:firstLine="1492"/>
        <w:spacing w:after="0" w:line="256" w:lineRule="auto"/>
        <w:tabs>
          <w:tab w:leader="none" w:pos="215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43" w:lineRule="exact"/>
        <w:rPr>
          <w:rFonts w:ascii="Arial" w:cs="Arial" w:eastAsia="Arial" w:hAnsi="Arial"/>
          <w:sz w:val="18"/>
          <w:szCs w:val="18"/>
          <w:color w:val="auto"/>
        </w:rPr>
      </w:pPr>
    </w:p>
    <w:p>
      <w:pPr>
        <w:ind w:left="2080" w:hanging="588"/>
        <w:spacing w:after="0"/>
        <w:tabs>
          <w:tab w:leader="none" w:pos="208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For purposes of Section 6(a), the meaning of the phrase “</w:t>
      </w:r>
      <w:r>
        <w:rPr>
          <w:rFonts w:ascii="Arial" w:cs="Arial" w:eastAsia="Arial" w:hAnsi="Arial"/>
          <w:sz w:val="15"/>
          <w:szCs w:val="15"/>
          <w:b w:val="1"/>
          <w:bCs w:val="1"/>
          <w:i w:val="1"/>
          <w:iCs w:val="1"/>
          <w:color w:val="auto"/>
        </w:rPr>
        <w:t>to the fullest extent permitted by applicable law</w:t>
      </w:r>
      <w:r>
        <w:rPr>
          <w:rFonts w:ascii="Arial" w:cs="Arial" w:eastAsia="Arial" w:hAnsi="Arial"/>
          <w:sz w:val="15"/>
          <w:szCs w:val="15"/>
          <w:color w:val="auto"/>
        </w:rPr>
        <w:t>” shall include, but not be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limited to:</w:t>
      </w:r>
    </w:p>
    <w:p>
      <w:pPr>
        <w:spacing w:after="0" w:line="164" w:lineRule="exact"/>
        <w:rPr>
          <w:rFonts w:ascii="Arial" w:cs="Arial" w:eastAsia="Arial" w:hAnsi="Arial"/>
          <w:sz w:val="15"/>
          <w:szCs w:val="15"/>
          <w:color w:val="auto"/>
        </w:rPr>
      </w:pPr>
    </w:p>
    <w:p>
      <w:pPr>
        <w:ind w:firstLine="2290"/>
        <w:spacing w:after="0" w:line="268" w:lineRule="auto"/>
        <w:tabs>
          <w:tab w:leader="none" w:pos="2871"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131" w:lineRule="exact"/>
        <w:rPr>
          <w:rFonts w:ascii="Arial" w:cs="Arial" w:eastAsia="Arial" w:hAnsi="Arial"/>
          <w:sz w:val="18"/>
          <w:szCs w:val="18"/>
          <w:color w:val="auto"/>
        </w:rPr>
      </w:pPr>
    </w:p>
    <w:p>
      <w:pPr>
        <w:ind w:firstLine="2290"/>
        <w:spacing w:after="0" w:line="268" w:lineRule="auto"/>
        <w:tabs>
          <w:tab w:leader="none" w:pos="2904" w:val="left"/>
        </w:tabs>
        <w:numPr>
          <w:ilvl w:val="2"/>
          <w:numId w:val="227"/>
        </w:numPr>
        <w:rPr>
          <w:rFonts w:ascii="Arial" w:cs="Arial" w:eastAsia="Arial" w:hAnsi="Arial"/>
          <w:sz w:val="18"/>
          <w:szCs w:val="18"/>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5" w:lineRule="exact"/>
        <w:rPr>
          <w:rFonts w:ascii="Arial" w:cs="Arial" w:eastAsia="Arial" w:hAnsi="Arial"/>
          <w:sz w:val="18"/>
          <w:szCs w:val="18"/>
          <w:color w:val="auto"/>
        </w:rPr>
      </w:pPr>
    </w:p>
    <w:p>
      <w:pPr>
        <w:ind w:firstLine="807"/>
        <w:spacing w:after="0" w:line="275" w:lineRule="auto"/>
        <w:tabs>
          <w:tab w:leader="none" w:pos="1163"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Exclusions. </w:t>
      </w:r>
      <w:r>
        <w:rPr>
          <w:rFonts w:ascii="Arial" w:cs="Arial" w:eastAsia="Arial" w:hAnsi="Arial"/>
          <w:sz w:val="18"/>
          <w:szCs w:val="18"/>
          <w:color w:val="auto"/>
        </w:rPr>
        <w:t>Notwithstanding any provision in this Agreement, the Company shall not be obligated under this Agreement to make any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Proceeding (or any part of any Proceeding):</w:t>
      </w:r>
    </w:p>
    <w:p>
      <w:pPr>
        <w:spacing w:after="0" w:line="99" w:lineRule="exact"/>
        <w:rPr>
          <w:rFonts w:ascii="Arial" w:cs="Arial" w:eastAsia="Arial" w:hAnsi="Arial"/>
          <w:sz w:val="18"/>
          <w:szCs w:val="18"/>
          <w:color w:val="auto"/>
        </w:rPr>
      </w:pPr>
    </w:p>
    <w:p>
      <w:pPr>
        <w:ind w:left="5660" w:hanging="126"/>
        <w:spacing w:after="0"/>
        <w:tabs>
          <w:tab w:leader="none" w:pos="5660" w:val="left"/>
        </w:tabs>
        <w:numPr>
          <w:ilvl w:val="3"/>
          <w:numId w:val="227"/>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20"/>
          </w:cols>
          <w:pgMar w:left="240" w:top="280" w:right="239" w:bottom="1440" w:gutter="0" w:footer="0" w:header="0"/>
        </w:sectPr>
      </w:pPr>
    </w:p>
    <w:bookmarkStart w:id="293" w:name="page294"/>
    <w:bookmarkEnd w:id="293"/>
    <w:p>
      <w:pPr>
        <w:ind w:left="-807" w:firstLine="1492"/>
        <w:spacing w:after="0" w:line="268" w:lineRule="auto"/>
        <w:tabs>
          <w:tab w:leader="none" w:pos="1299" w:val="left"/>
        </w:tabs>
        <w:numPr>
          <w:ilvl w:val="1"/>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which payment has actually been made to or on behalf of Indemnitee under any statute, insurance policy, indemnity provision, vote or otherwise, except with respect to any excess beyond the amount paid;</w:t>
      </w:r>
    </w:p>
    <w:p>
      <w:pPr>
        <w:spacing w:after="0" w:line="131" w:lineRule="exact"/>
        <w:rPr>
          <w:rFonts w:ascii="Arial" w:cs="Arial" w:eastAsia="Arial" w:hAnsi="Arial"/>
          <w:sz w:val="18"/>
          <w:szCs w:val="18"/>
          <w:color w:val="auto"/>
        </w:rPr>
      </w:pPr>
    </w:p>
    <w:p>
      <w:pPr>
        <w:jc w:val="both"/>
        <w:ind w:left="-807" w:firstLine="1492"/>
        <w:spacing w:after="0" w:line="332" w:lineRule="auto"/>
        <w:tabs>
          <w:tab w:leader="none" w:pos="137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85" w:lineRule="exact"/>
        <w:rPr>
          <w:rFonts w:ascii="Arial" w:cs="Arial" w:eastAsia="Arial" w:hAnsi="Arial"/>
          <w:sz w:val="16"/>
          <w:szCs w:val="16"/>
          <w:color w:val="auto"/>
        </w:rPr>
      </w:pPr>
    </w:p>
    <w:p>
      <w:pPr>
        <w:jc w:val="both"/>
        <w:ind w:left="-807" w:firstLine="1492"/>
        <w:spacing w:after="0" w:line="294" w:lineRule="auto"/>
        <w:tabs>
          <w:tab w:leader="none" w:pos="123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15" w:lineRule="exact"/>
        <w:rPr>
          <w:rFonts w:ascii="Arial" w:cs="Arial" w:eastAsia="Arial" w:hAnsi="Arial"/>
          <w:sz w:val="16"/>
          <w:szCs w:val="16"/>
          <w:color w:val="auto"/>
        </w:rPr>
      </w:pPr>
    </w:p>
    <w:p>
      <w:pPr>
        <w:jc w:val="both"/>
        <w:ind w:left="-807" w:firstLine="1492"/>
        <w:spacing w:after="0" w:line="298" w:lineRule="auto"/>
        <w:tabs>
          <w:tab w:leader="none" w:pos="123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12" w:lineRule="exact"/>
        <w:rPr>
          <w:rFonts w:ascii="Arial" w:cs="Arial" w:eastAsia="Arial" w:hAnsi="Arial"/>
          <w:sz w:val="16"/>
          <w:szCs w:val="16"/>
          <w:color w:val="auto"/>
        </w:rPr>
      </w:pPr>
    </w:p>
    <w:p>
      <w:pPr>
        <w:ind w:left="1233" w:hanging="548"/>
        <w:spacing w:after="0"/>
        <w:tabs>
          <w:tab w:leader="none" w:pos="123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65" w:lineRule="exact"/>
        <w:rPr>
          <w:rFonts w:ascii="Arial" w:cs="Arial" w:eastAsia="Arial" w:hAnsi="Arial"/>
          <w:sz w:val="18"/>
          <w:szCs w:val="18"/>
          <w:color w:val="auto"/>
        </w:rPr>
      </w:pPr>
    </w:p>
    <w:p>
      <w:pPr>
        <w:jc w:val="both"/>
        <w:ind w:left="-807" w:firstLine="807"/>
        <w:spacing w:after="0" w:line="289" w:lineRule="auto"/>
        <w:tabs>
          <w:tab w:leader="none" w:pos="492"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 xml:space="preserve">Advances of Expenses. </w:t>
      </w:r>
      <w:r>
        <w:rPr>
          <w:rFonts w:ascii="Arial" w:cs="Arial" w:eastAsia="Arial" w:hAnsi="Arial"/>
          <w:sz w:val="16"/>
          <w:szCs w:val="16"/>
          <w:color w:val="auto"/>
        </w:rPr>
        <w:t>The Company shall advance the Expenses incurred by Indemnitee in connection with any Proceeding,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12" w:lineRule="exact"/>
        <w:rPr>
          <w:rFonts w:ascii="Arial" w:cs="Arial" w:eastAsia="Arial" w:hAnsi="Arial"/>
          <w:sz w:val="16"/>
          <w:szCs w:val="16"/>
          <w:color w:val="auto"/>
        </w:rPr>
      </w:pPr>
    </w:p>
    <w:p>
      <w:pPr>
        <w:ind w:left="353" w:hanging="353"/>
        <w:spacing w:after="0"/>
        <w:tabs>
          <w:tab w:leader="none" w:pos="353"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Procedures for Notification and Defense of Claim.</w:t>
      </w:r>
    </w:p>
    <w:p>
      <w:pPr>
        <w:spacing w:after="0" w:line="177" w:lineRule="exact"/>
        <w:rPr>
          <w:rFonts w:ascii="Arial" w:cs="Arial" w:eastAsia="Arial" w:hAnsi="Arial"/>
          <w:sz w:val="18"/>
          <w:szCs w:val="18"/>
          <w:color w:val="auto"/>
        </w:rPr>
      </w:pPr>
    </w:p>
    <w:p>
      <w:pPr>
        <w:jc w:val="both"/>
        <w:ind w:left="-807" w:firstLine="1492"/>
        <w:spacing w:after="0" w:line="255" w:lineRule="auto"/>
        <w:tabs>
          <w:tab w:leader="none" w:pos="12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w:t>
      </w:r>
    </w:p>
    <w:p>
      <w:pPr>
        <w:spacing w:after="0" w:line="116" w:lineRule="exact"/>
        <w:rPr>
          <w:rFonts w:ascii="Arial" w:cs="Arial" w:eastAsia="Arial" w:hAnsi="Arial"/>
          <w:sz w:val="18"/>
          <w:szCs w:val="18"/>
          <w:color w:val="auto"/>
        </w:rPr>
      </w:pPr>
    </w:p>
    <w:p>
      <w:pPr>
        <w:ind w:left="4853" w:hanging="126"/>
        <w:spacing w:after="0"/>
        <w:tabs>
          <w:tab w:leader="none" w:pos="4853" w:val="left"/>
        </w:tabs>
        <w:numPr>
          <w:ilvl w:val="2"/>
          <w:numId w:val="229"/>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0613"/>
          </w:cols>
          <w:pgMar w:left="1047" w:top="334" w:right="239"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not constitute a waiver by Indemnitee of any rights, except to the extent that such failure or delay materially prejudices the Company.</w:t>
      </w:r>
    </w:p>
    <w:p>
      <w:pPr>
        <w:spacing w:after="0" w:line="194" w:lineRule="exact"/>
        <w:rPr>
          <w:sz w:val="20"/>
          <w:szCs w:val="20"/>
          <w:color w:val="auto"/>
        </w:rPr>
      </w:pPr>
    </w:p>
    <w:p>
      <w:pPr>
        <w:jc w:val="both"/>
        <w:ind w:firstLine="1492"/>
        <w:spacing w:after="0" w:line="298" w:lineRule="auto"/>
        <w:tabs>
          <w:tab w:leader="none" w:pos="2182"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12" w:lineRule="exact"/>
        <w:rPr>
          <w:rFonts w:ascii="Arial" w:cs="Arial" w:eastAsia="Arial" w:hAnsi="Arial"/>
          <w:sz w:val="16"/>
          <w:szCs w:val="16"/>
          <w:color w:val="auto"/>
        </w:rPr>
      </w:pPr>
    </w:p>
    <w:p>
      <w:pPr>
        <w:jc w:val="both"/>
        <w:ind w:firstLine="1492"/>
        <w:spacing w:after="0" w:line="307" w:lineRule="auto"/>
        <w:tabs>
          <w:tab w:leader="none" w:pos="2074" w:val="left"/>
        </w:tabs>
        <w:numPr>
          <w:ilvl w:val="1"/>
          <w:numId w:val="230"/>
        </w:numPr>
        <w:rPr>
          <w:rFonts w:ascii="Arial" w:cs="Arial" w:eastAsia="Arial" w:hAnsi="Arial"/>
          <w:sz w:val="15"/>
          <w:szCs w:val="15"/>
          <w:color w:val="auto"/>
        </w:rPr>
      </w:pPr>
      <w:r>
        <w:rPr>
          <w:rFonts w:ascii="Arial" w:cs="Arial" w:eastAsia="Arial" w:hAnsi="Arial"/>
          <w:sz w:val="15"/>
          <w:szCs w:val="15"/>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11" w:lineRule="exact"/>
        <w:rPr>
          <w:rFonts w:ascii="Arial" w:cs="Arial" w:eastAsia="Arial" w:hAnsi="Arial"/>
          <w:sz w:val="15"/>
          <w:szCs w:val="15"/>
          <w:color w:val="auto"/>
        </w:rPr>
      </w:pPr>
    </w:p>
    <w:p>
      <w:pPr>
        <w:ind w:left="2200" w:hanging="708"/>
        <w:spacing w:after="0"/>
        <w:tabs>
          <w:tab w:leader="none" w:pos="220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Indemnitee shall give the Company such information and cooperation in connection with the Proceeding as may be reasonably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164" w:lineRule="exact"/>
        <w:rPr>
          <w:rFonts w:ascii="Arial" w:cs="Arial" w:eastAsia="Arial" w:hAnsi="Arial"/>
          <w:sz w:val="16"/>
          <w:szCs w:val="16"/>
          <w:color w:val="auto"/>
        </w:rPr>
      </w:pPr>
    </w:p>
    <w:p>
      <w:pPr>
        <w:ind w:firstLine="1492"/>
        <w:spacing w:after="0" w:line="268" w:lineRule="auto"/>
        <w:tabs>
          <w:tab w:leader="none" w:pos="213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131" w:lineRule="exact"/>
        <w:rPr>
          <w:rFonts w:ascii="Arial" w:cs="Arial" w:eastAsia="Arial" w:hAnsi="Arial"/>
          <w:sz w:val="18"/>
          <w:szCs w:val="18"/>
          <w:color w:val="auto"/>
        </w:rPr>
      </w:pPr>
    </w:p>
    <w:p>
      <w:pPr>
        <w:ind w:left="2120" w:hanging="628"/>
        <w:spacing w:after="0"/>
        <w:tabs>
          <w:tab w:leader="none" w:pos="21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Company shall not settle any Proceeding (or any part thereof) without Indemnitee’s prior written consent, which shall not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unreasonably withheld.</w:t>
      </w:r>
    </w:p>
    <w:p>
      <w:pPr>
        <w:spacing w:after="0" w:line="158" w:lineRule="exact"/>
        <w:rPr>
          <w:rFonts w:ascii="Arial" w:cs="Arial" w:eastAsia="Arial" w:hAnsi="Arial"/>
          <w:sz w:val="16"/>
          <w:szCs w:val="16"/>
          <w:color w:val="auto"/>
        </w:rPr>
      </w:pPr>
    </w:p>
    <w:p>
      <w:pPr>
        <w:ind w:left="1080" w:hanging="273"/>
        <w:spacing w:after="0"/>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Procedures upon Application for Indemnification.</w:t>
      </w:r>
    </w:p>
    <w:p>
      <w:pPr>
        <w:spacing w:after="0" w:line="177" w:lineRule="exact"/>
        <w:rPr>
          <w:rFonts w:ascii="Arial" w:cs="Arial" w:eastAsia="Arial" w:hAnsi="Arial"/>
          <w:sz w:val="18"/>
          <w:szCs w:val="18"/>
          <w:color w:val="auto"/>
        </w:rPr>
      </w:pPr>
    </w:p>
    <w:p>
      <w:pPr>
        <w:jc w:val="both"/>
        <w:ind w:firstLine="1492"/>
        <w:spacing w:after="0" w:line="294" w:lineRule="auto"/>
        <w:tabs>
          <w:tab w:leader="none" w:pos="231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88" w:lineRule="exact"/>
        <w:rPr>
          <w:rFonts w:ascii="Arial" w:cs="Arial" w:eastAsia="Arial" w:hAnsi="Arial"/>
          <w:sz w:val="16"/>
          <w:szCs w:val="16"/>
          <w:color w:val="auto"/>
        </w:rPr>
      </w:pPr>
    </w:p>
    <w:p>
      <w:pPr>
        <w:ind w:left="5660" w:hanging="126"/>
        <w:spacing w:after="0"/>
        <w:tabs>
          <w:tab w:leader="none" w:pos="5660" w:val="left"/>
        </w:tabs>
        <w:numPr>
          <w:ilvl w:val="2"/>
          <w:numId w:val="231"/>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420"/>
          </w:cols>
          <w:pgMar w:left="240" w:top="280" w:right="239" w:bottom="1440" w:gutter="0" w:footer="0" w:header="0"/>
        </w:sectPr>
      </w:pPr>
    </w:p>
    <w:bookmarkStart w:id="295" w:name="page296"/>
    <w:bookmarkEnd w:id="295"/>
    <w:p>
      <w:pPr>
        <w:jc w:val="both"/>
        <w:ind w:left="-1200" w:firstLine="1492"/>
        <w:spacing w:after="0" w:line="286" w:lineRule="auto"/>
        <w:tabs>
          <w:tab w:leader="none" w:pos="974" w:val="left"/>
        </w:tabs>
        <w:numPr>
          <w:ilvl w:val="0"/>
          <w:numId w:val="2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24" w:lineRule="exact"/>
        <w:rPr>
          <w:rFonts w:ascii="Arial" w:cs="Arial" w:eastAsia="Arial" w:hAnsi="Arial"/>
          <w:sz w:val="16"/>
          <w:szCs w:val="16"/>
          <w:color w:val="auto"/>
        </w:rPr>
      </w:pPr>
    </w:p>
    <w:p>
      <w:pPr>
        <w:jc w:val="both"/>
        <w:ind w:left="-1200" w:firstLine="1492"/>
        <w:spacing w:after="0" w:line="284" w:lineRule="auto"/>
        <w:tabs>
          <w:tab w:leader="none" w:pos="84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06" w:lineRule="exact"/>
        <w:rPr>
          <w:rFonts w:ascii="Arial" w:cs="Arial" w:eastAsia="Arial" w:hAnsi="Arial"/>
          <w:sz w:val="16"/>
          <w:szCs w:val="16"/>
          <w:color w:val="auto"/>
        </w:rPr>
      </w:pPr>
    </w:p>
    <w:p>
      <w:pPr>
        <w:ind w:left="4460" w:hanging="126"/>
        <w:spacing w:after="0"/>
        <w:tabs>
          <w:tab w:leader="none" w:pos="446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0220"/>
          </w:cols>
          <w:pgMar w:left="1440" w:top="334" w:right="239" w:bottom="1440" w:gutter="0" w:footer="0" w:header="0"/>
        </w:sectPr>
      </w:pPr>
    </w:p>
    <w:bookmarkStart w:id="296" w:name="page297"/>
    <w:bookmarkEnd w:id="296"/>
    <w:p>
      <w:pPr>
        <w:ind w:left="-8" w:firstLine="1492"/>
        <w:spacing w:after="0" w:line="332" w:lineRule="auto"/>
        <w:tabs>
          <w:tab w:leader="none" w:pos="2164" w:val="left"/>
        </w:tabs>
        <w:numPr>
          <w:ilvl w:val="2"/>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79" w:lineRule="exact"/>
        <w:rPr>
          <w:rFonts w:ascii="Arial" w:cs="Arial" w:eastAsia="Arial" w:hAnsi="Arial"/>
          <w:sz w:val="16"/>
          <w:szCs w:val="16"/>
          <w:color w:val="auto"/>
        </w:rPr>
      </w:pPr>
    </w:p>
    <w:p>
      <w:pPr>
        <w:ind w:left="1092" w:hanging="293"/>
        <w:spacing w:after="0"/>
        <w:tabs>
          <w:tab w:leader="none" w:pos="1092" w:val="left"/>
        </w:tabs>
        <w:numPr>
          <w:ilvl w:val="1"/>
          <w:numId w:val="234"/>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p>
    <w:p>
      <w:pPr>
        <w:spacing w:after="0" w:line="177" w:lineRule="exact"/>
        <w:rPr>
          <w:rFonts w:ascii="Arial" w:cs="Arial" w:eastAsia="Arial" w:hAnsi="Arial"/>
          <w:sz w:val="18"/>
          <w:szCs w:val="18"/>
          <w:color w:val="auto"/>
        </w:rPr>
      </w:pPr>
    </w:p>
    <w:p>
      <w:pPr>
        <w:jc w:val="both"/>
        <w:ind w:left="-8" w:firstLine="1492"/>
        <w:spacing w:after="0" w:line="255" w:lineRule="auto"/>
        <w:tabs>
          <w:tab w:leader="none" w:pos="219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42" w:lineRule="exact"/>
        <w:rPr>
          <w:rFonts w:ascii="Arial" w:cs="Arial" w:eastAsia="Arial" w:hAnsi="Arial"/>
          <w:sz w:val="18"/>
          <w:szCs w:val="18"/>
          <w:color w:val="auto"/>
        </w:rPr>
      </w:pPr>
    </w:p>
    <w:p>
      <w:pPr>
        <w:jc w:val="both"/>
        <w:ind w:left="-8" w:firstLine="1492"/>
        <w:spacing w:after="0" w:line="255" w:lineRule="auto"/>
        <w:tabs>
          <w:tab w:leader="none" w:pos="2084" w:val="left"/>
        </w:tabs>
        <w:numPr>
          <w:ilvl w:val="2"/>
          <w:numId w:val="234"/>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2" w:lineRule="exact"/>
        <w:rPr>
          <w:rFonts w:ascii="Arial" w:cs="Arial" w:eastAsia="Arial" w:hAnsi="Arial"/>
          <w:sz w:val="18"/>
          <w:szCs w:val="18"/>
          <w:color w:val="auto"/>
        </w:rPr>
      </w:pPr>
    </w:p>
    <w:p>
      <w:pPr>
        <w:jc w:val="both"/>
        <w:ind w:left="-8" w:firstLine="1492"/>
        <w:spacing w:after="0" w:line="290" w:lineRule="auto"/>
        <w:tabs>
          <w:tab w:leader="none" w:pos="2103" w:val="left"/>
        </w:tabs>
        <w:numPr>
          <w:ilvl w:val="2"/>
          <w:numId w:val="234"/>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18" w:lineRule="exact"/>
        <w:rPr>
          <w:rFonts w:ascii="Arial" w:cs="Arial" w:eastAsia="Arial" w:hAnsi="Arial"/>
          <w:sz w:val="16"/>
          <w:szCs w:val="16"/>
          <w:color w:val="auto"/>
        </w:rPr>
      </w:pPr>
    </w:p>
    <w:p>
      <w:pPr>
        <w:ind w:left="-8" w:firstLine="1492"/>
        <w:spacing w:after="0" w:line="268" w:lineRule="auto"/>
        <w:tabs>
          <w:tab w:leader="none" w:pos="2072" w:val="left"/>
        </w:tabs>
        <w:numPr>
          <w:ilvl w:val="2"/>
          <w:numId w:val="234"/>
        </w:numPr>
        <w:rPr>
          <w:rFonts w:ascii="Arial" w:cs="Arial" w:eastAsia="Arial" w:hAnsi="Arial"/>
          <w:sz w:val="18"/>
          <w:szCs w:val="18"/>
          <w:color w:val="auto"/>
        </w:rPr>
      </w:pPr>
      <w:r>
        <w:rPr>
          <w:rFonts w:ascii="Arial" w:cs="Arial" w:eastAsia="Arial" w:hAnsi="Arial"/>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25" w:lineRule="exact"/>
        <w:rPr>
          <w:rFonts w:ascii="Arial" w:cs="Arial" w:eastAsia="Arial" w:hAnsi="Arial"/>
          <w:sz w:val="18"/>
          <w:szCs w:val="18"/>
          <w:color w:val="auto"/>
        </w:rPr>
      </w:pPr>
    </w:p>
    <w:p>
      <w:pPr>
        <w:ind w:left="1112" w:hanging="313"/>
        <w:spacing w:after="0"/>
        <w:tabs>
          <w:tab w:leader="none" w:pos="1112" w:val="left"/>
        </w:tabs>
        <w:numPr>
          <w:ilvl w:val="1"/>
          <w:numId w:val="234"/>
        </w:numPr>
        <w:rPr>
          <w:rFonts w:ascii="Arial" w:cs="Arial" w:eastAsia="Arial" w:hAnsi="Arial"/>
          <w:sz w:val="18"/>
          <w:szCs w:val="18"/>
          <w:color w:val="auto"/>
        </w:rPr>
      </w:pPr>
      <w:r>
        <w:rPr>
          <w:rFonts w:ascii="Arial" w:cs="Arial" w:eastAsia="Arial" w:hAnsi="Arial"/>
          <w:sz w:val="18"/>
          <w:szCs w:val="18"/>
          <w:b w:val="1"/>
          <w:bCs w:val="1"/>
          <w:color w:val="auto"/>
        </w:rPr>
        <w:t>Remedies of Indemnitee.</w:t>
      </w:r>
    </w:p>
    <w:p>
      <w:pPr>
        <w:spacing w:after="0" w:line="177" w:lineRule="exact"/>
        <w:rPr>
          <w:rFonts w:ascii="Arial" w:cs="Arial" w:eastAsia="Arial" w:hAnsi="Arial"/>
          <w:sz w:val="18"/>
          <w:szCs w:val="18"/>
          <w:color w:val="auto"/>
        </w:rPr>
      </w:pPr>
    </w:p>
    <w:p>
      <w:pPr>
        <w:jc w:val="both"/>
        <w:ind w:left="-8" w:firstLine="1492"/>
        <w:spacing w:after="0" w:line="283" w:lineRule="auto"/>
        <w:tabs>
          <w:tab w:leader="none" w:pos="2032" w:val="left"/>
        </w:tabs>
        <w:numPr>
          <w:ilvl w:val="2"/>
          <w:numId w:val="234"/>
        </w:numPr>
        <w:rPr>
          <w:rFonts w:ascii="Arial" w:cs="Arial" w:eastAsia="Arial" w:hAnsi="Arial"/>
          <w:sz w:val="16"/>
          <w:szCs w:val="16"/>
          <w:color w:val="auto"/>
        </w:rPr>
      </w:pPr>
      <w:r>
        <w:rPr>
          <w:rFonts w:ascii="Arial" w:cs="Arial" w:eastAsia="Arial" w:hAnsi="Arial"/>
          <w:sz w:val="16"/>
          <w:szCs w:val="16"/>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w:t>
      </w:r>
    </w:p>
    <w:p>
      <w:pPr>
        <w:spacing w:after="0" w:line="2" w:lineRule="exact"/>
        <w:rPr>
          <w:rFonts w:ascii="Arial" w:cs="Arial" w:eastAsia="Arial" w:hAnsi="Arial"/>
          <w:sz w:val="16"/>
          <w:szCs w:val="16"/>
          <w:color w:val="auto"/>
        </w:rPr>
      </w:pPr>
    </w:p>
    <w:p>
      <w:pPr>
        <w:jc w:val="both"/>
        <w:ind w:left="-8" w:firstLine="8"/>
        <w:spacing w:after="0" w:line="253" w:lineRule="auto"/>
        <w:tabs>
          <w:tab w:leader="none" w:pos="3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w:t>
      </w:r>
    </w:p>
    <w:p>
      <w:pPr>
        <w:spacing w:after="0" w:line="118" w:lineRule="exact"/>
        <w:rPr>
          <w:rFonts w:ascii="Arial" w:cs="Arial" w:eastAsia="Arial" w:hAnsi="Arial"/>
          <w:sz w:val="18"/>
          <w:szCs w:val="18"/>
          <w:color w:val="auto"/>
        </w:rPr>
      </w:pPr>
    </w:p>
    <w:p>
      <w:pPr>
        <w:ind w:left="5652" w:hanging="126"/>
        <w:spacing w:after="0"/>
        <w:tabs>
          <w:tab w:leader="none" w:pos="5652" w:val="left"/>
        </w:tabs>
        <w:numPr>
          <w:ilvl w:val="3"/>
          <w:numId w:val="235"/>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412"/>
          </w:cols>
          <w:pgMar w:left="248" w:top="334" w:right="239" w:bottom="1440" w:gutter="0" w:footer="0" w:header="0"/>
        </w:sectPr>
      </w:pPr>
    </w:p>
    <w:bookmarkStart w:id="297" w:name="page298"/>
    <w:bookmarkEnd w:id="29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competent jurisdiction of his or her entitlement to such indemnification or advancement of Expenses. Indemnitee shall commence such proceeding seeking an adjudication within 180 days following the date on which Indemnitee first has the right to commence such proceeding pursuant to this Section 12(a);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foregoing clause shall not apply in respect of a proceeding brought by Indemnitee to enforce his or her rights under Section 4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shall not oppose Indemnitee’s right to seek any such adjudication in accordance with this Agreement.</w:t>
      </w:r>
    </w:p>
    <w:p>
      <w:pPr>
        <w:spacing w:after="0" w:line="113" w:lineRule="exact"/>
        <w:rPr>
          <w:sz w:val="20"/>
          <w:szCs w:val="20"/>
          <w:color w:val="auto"/>
        </w:rPr>
      </w:pPr>
    </w:p>
    <w:p>
      <w:pPr>
        <w:jc w:val="both"/>
        <w:ind w:firstLine="1492"/>
        <w:spacing w:after="0" w:line="288" w:lineRule="auto"/>
        <w:tabs>
          <w:tab w:leader="none" w:pos="216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19" w:lineRule="exact"/>
        <w:rPr>
          <w:rFonts w:ascii="Arial" w:cs="Arial" w:eastAsia="Arial" w:hAnsi="Arial"/>
          <w:sz w:val="16"/>
          <w:szCs w:val="16"/>
          <w:color w:val="auto"/>
        </w:rPr>
      </w:pPr>
    </w:p>
    <w:p>
      <w:pPr>
        <w:jc w:val="both"/>
        <w:ind w:firstLine="1492"/>
        <w:spacing w:after="0" w:line="291" w:lineRule="auto"/>
        <w:tabs>
          <w:tab w:leader="none" w:pos="2106"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120" w:lineRule="exact"/>
        <w:rPr>
          <w:rFonts w:ascii="Arial" w:cs="Arial" w:eastAsia="Arial" w:hAnsi="Arial"/>
          <w:sz w:val="16"/>
          <w:szCs w:val="16"/>
          <w:color w:val="auto"/>
        </w:rPr>
      </w:pPr>
    </w:p>
    <w:p>
      <w:pPr>
        <w:jc w:val="both"/>
        <w:ind w:firstLine="1492"/>
        <w:spacing w:after="0" w:line="294" w:lineRule="auto"/>
        <w:tabs>
          <w:tab w:leader="none" w:pos="204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To the extent not prohibited by law, the Company shall indemnify Indemnitee against all Expenses that are incurred by Indemnitee in connection with any action for indemnification or advancement of Expenses from the Company under this Agreement unless as a part of such action, the court of competent jurisdiction determines that each of the material assertions made by Indemnitee as a basis for such action were not made in good faith or were frivolousor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8.</w:t>
      </w:r>
    </w:p>
    <w:p>
      <w:pPr>
        <w:spacing w:after="0" w:line="115" w:lineRule="exact"/>
        <w:rPr>
          <w:rFonts w:ascii="Arial" w:cs="Arial" w:eastAsia="Arial" w:hAnsi="Arial"/>
          <w:sz w:val="16"/>
          <w:szCs w:val="16"/>
          <w:color w:val="auto"/>
        </w:rPr>
      </w:pPr>
    </w:p>
    <w:p>
      <w:pPr>
        <w:ind w:right="20" w:firstLine="1492"/>
        <w:spacing w:after="0" w:line="268" w:lineRule="auto"/>
        <w:tabs>
          <w:tab w:leader="none" w:pos="207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125" w:lineRule="exact"/>
        <w:rPr>
          <w:rFonts w:ascii="Arial" w:cs="Arial" w:eastAsia="Arial" w:hAnsi="Arial"/>
          <w:sz w:val="18"/>
          <w:szCs w:val="18"/>
          <w:color w:val="auto"/>
        </w:rPr>
      </w:pPr>
    </w:p>
    <w:p>
      <w:pPr>
        <w:jc w:val="both"/>
        <w:ind w:firstLine="807"/>
        <w:spacing w:after="0" w:line="301" w:lineRule="auto"/>
        <w:tabs>
          <w:tab w:leader="none" w:pos="1076"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Contribution. </w:t>
      </w:r>
      <w:r>
        <w:rPr>
          <w:rFonts w:ascii="Arial" w:cs="Arial" w:eastAsia="Arial" w:hAnsi="Arial"/>
          <w:sz w:val="16"/>
          <w:szCs w:val="16"/>
          <w:color w:val="auto"/>
        </w:rPr>
        <w:t>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w:t>
      </w:r>
    </w:p>
    <w:p>
      <w:pPr>
        <w:spacing w:after="0" w:line="82" w:lineRule="exact"/>
        <w:rPr>
          <w:rFonts w:ascii="Arial" w:cs="Arial" w:eastAsia="Arial" w:hAnsi="Arial"/>
          <w:sz w:val="16"/>
          <w:szCs w:val="16"/>
          <w:color w:val="auto"/>
        </w:rPr>
      </w:pPr>
    </w:p>
    <w:p>
      <w:pPr>
        <w:ind w:left="5660" w:hanging="126"/>
        <w:spacing w:after="0"/>
        <w:tabs>
          <w:tab w:leader="none" w:pos="5660" w:val="left"/>
        </w:tabs>
        <w:numPr>
          <w:ilvl w:val="2"/>
          <w:numId w:val="237"/>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420"/>
          </w:cols>
          <w:pgMar w:left="240" w:top="280" w:right="239" w:bottom="1440" w:gutter="0" w:footer="0" w:header="0"/>
        </w:sectPr>
      </w:pPr>
    </w:p>
    <w:bookmarkStart w:id="298" w:name="page299"/>
    <w:bookmarkEnd w:id="29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 of the events and transactions giving rise to such Proceeding; and (ii) the relative fault of Indemnitee and the Company (and its other directors, officers, employees and agents) in connection with such events and transactions.</w:t>
      </w:r>
    </w:p>
    <w:p>
      <w:pPr>
        <w:spacing w:after="0" w:line="126" w:lineRule="exact"/>
        <w:rPr>
          <w:sz w:val="20"/>
          <w:szCs w:val="20"/>
          <w:color w:val="auto"/>
        </w:rPr>
      </w:pPr>
    </w:p>
    <w:p>
      <w:pPr>
        <w:jc w:val="both"/>
        <w:ind w:firstLine="807"/>
        <w:spacing w:after="0" w:line="289" w:lineRule="auto"/>
        <w:tabs>
          <w:tab w:leader="none" w:pos="1076"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Non-exclusivity. </w:t>
      </w:r>
      <w:r>
        <w:rPr>
          <w:rFonts w:ascii="Arial" w:cs="Arial" w:eastAsia="Arial" w:hAnsi="Arial"/>
          <w:sz w:val="16"/>
          <w:szCs w:val="16"/>
          <w:color w:val="auto"/>
        </w:rPr>
        <w:t>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12" w:lineRule="exact"/>
        <w:rPr>
          <w:rFonts w:ascii="Arial" w:cs="Arial" w:eastAsia="Arial" w:hAnsi="Arial"/>
          <w:sz w:val="16"/>
          <w:szCs w:val="16"/>
          <w:color w:val="auto"/>
        </w:rPr>
      </w:pPr>
    </w:p>
    <w:p>
      <w:pPr>
        <w:jc w:val="both"/>
        <w:ind w:firstLine="807"/>
        <w:spacing w:after="0" w:line="286" w:lineRule="auto"/>
        <w:tabs>
          <w:tab w:leader="none" w:pos="1076"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Responsibility. </w:t>
      </w:r>
      <w:r>
        <w:rPr>
          <w:rFonts w:ascii="Arial" w:cs="Arial" w:eastAsia="Arial" w:hAnsi="Arial"/>
          <w:sz w:val="16"/>
          <w:szCs w:val="16"/>
          <w:color w:val="auto"/>
        </w:rPr>
        <w:t>The Company acknowledges that Indemnitee has or may have certain rights to indemnification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provided by other entities and/or organizations (collectively, the “</w:t>
      </w:r>
      <w:r>
        <w:rPr>
          <w:rFonts w:ascii="Arial" w:cs="Arial" w:eastAsia="Arial" w:hAnsi="Arial"/>
          <w:sz w:val="16"/>
          <w:szCs w:val="16"/>
          <w:b w:val="1"/>
          <w:bCs w:val="1"/>
          <w:i w:val="1"/>
          <w:iCs w:val="1"/>
          <w:color w:val="auto"/>
        </w:rPr>
        <w:t>Secondary Indemnitors</w:t>
      </w:r>
      <w:r>
        <w:rPr>
          <w:rFonts w:ascii="Arial" w:cs="Arial" w:eastAsia="Arial" w:hAnsi="Arial"/>
          <w:sz w:val="16"/>
          <w:szCs w:val="16"/>
          <w:color w:val="auto"/>
        </w:rPr>
        <w:t>”). The Company hereby agrees (i) that it is the indemnitor of first resort (i.e., its obligations to Indemnitee are primary and any obligation of the Secondary Indemnitors to advance Expenses or to provide indemnification for the same Expenses or liabilities incurred by Indemnitee in connection with a Proceeding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to the extent not in contravention of any insurance policy or policies providing liability or other insurance for the Company or any director, trustee, general partner, managing member, officer, employee, agent or fiduciary of the Company or any other Enterprise,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indemnification is required under the terms of this Agreement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15.</w:t>
      </w:r>
    </w:p>
    <w:p>
      <w:pPr>
        <w:spacing w:after="0" w:line="117" w:lineRule="exact"/>
        <w:rPr>
          <w:rFonts w:ascii="Arial" w:cs="Arial" w:eastAsia="Arial" w:hAnsi="Arial"/>
          <w:sz w:val="16"/>
          <w:szCs w:val="16"/>
          <w:color w:val="auto"/>
        </w:rPr>
      </w:pPr>
    </w:p>
    <w:p>
      <w:pPr>
        <w:jc w:val="both"/>
        <w:ind w:firstLine="807"/>
        <w:spacing w:after="0" w:line="262" w:lineRule="auto"/>
        <w:tabs>
          <w:tab w:leader="none" w:pos="1062"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of amounts otherwise indemnifiable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for which advancement is provided hereunder) if and to the extent that Indemnitee has otherwise actually received payment for such amounts under any insurance policy, contract, agreement or otherwise.</w:t>
      </w:r>
    </w:p>
    <w:p>
      <w:pPr>
        <w:spacing w:after="0" w:line="132" w:lineRule="exact"/>
        <w:rPr>
          <w:rFonts w:ascii="Arial" w:cs="Arial" w:eastAsia="Arial" w:hAnsi="Arial"/>
          <w:sz w:val="18"/>
          <w:szCs w:val="18"/>
          <w:color w:val="auto"/>
        </w:rPr>
      </w:pPr>
    </w:p>
    <w:p>
      <w:pPr>
        <w:jc w:val="both"/>
        <w:ind w:firstLine="807"/>
        <w:spacing w:after="0" w:line="262" w:lineRule="auto"/>
        <w:tabs>
          <w:tab w:leader="none" w:pos="1062"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Company shall, from time to time, make the good faith determination whether or not it is practicable for the Company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 a policy or policies of insurance with reputable insurance companies providing the officers and directors of the Company with coverage for losses from wrongful acts, or to ensure the Company’s performance of its indemnification obligations under this</w:t>
      </w:r>
    </w:p>
    <w:p>
      <w:pPr>
        <w:spacing w:after="0" w:line="111" w:lineRule="exact"/>
        <w:rPr>
          <w:rFonts w:ascii="Arial" w:cs="Arial" w:eastAsia="Arial" w:hAnsi="Arial"/>
          <w:sz w:val="18"/>
          <w:szCs w:val="18"/>
          <w:color w:val="auto"/>
        </w:rPr>
      </w:pPr>
    </w:p>
    <w:p>
      <w:pPr>
        <w:ind w:left="5600" w:hanging="120"/>
        <w:spacing w:after="0"/>
        <w:tabs>
          <w:tab w:leader="none" w:pos="56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420"/>
          </w:cols>
          <w:pgMar w:left="240" w:top="280" w:right="239" w:bottom="1440" w:gutter="0" w:footer="0" w:header="0"/>
        </w:sectPr>
      </w:pPr>
    </w:p>
    <w:bookmarkStart w:id="299" w:name="page300"/>
    <w:bookmarkEnd w:id="299"/>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spacing w:after="0" w:line="112" w:lineRule="exact"/>
        <w:rPr>
          <w:sz w:val="20"/>
          <w:szCs w:val="20"/>
          <w:color w:val="auto"/>
        </w:rPr>
      </w:pPr>
    </w:p>
    <w:p>
      <w:pPr>
        <w:jc w:val="both"/>
        <w:ind w:firstLine="807"/>
        <w:spacing w:after="0" w:line="262" w:lineRule="auto"/>
        <w:tabs>
          <w:tab w:leader="none" w:pos="1076"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132" w:lineRule="exact"/>
        <w:rPr>
          <w:rFonts w:ascii="Arial" w:cs="Arial" w:eastAsia="Arial" w:hAnsi="Arial"/>
          <w:sz w:val="18"/>
          <w:szCs w:val="18"/>
          <w:color w:val="auto"/>
        </w:rPr>
      </w:pPr>
    </w:p>
    <w:p>
      <w:pPr>
        <w:jc w:val="both"/>
        <w:ind w:firstLine="807"/>
        <w:spacing w:after="0" w:line="288" w:lineRule="auto"/>
        <w:tabs>
          <w:tab w:leader="none" w:pos="1076"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Services to the Company. </w:t>
      </w:r>
      <w:r>
        <w:rPr>
          <w:rFonts w:ascii="Arial" w:cs="Arial" w:eastAsia="Arial" w:hAnsi="Arial"/>
          <w:sz w:val="16"/>
          <w:szCs w:val="16"/>
          <w:color w:val="auto"/>
        </w:rPr>
        <w:t>Indemnitee agrees to serve as a director or officer of the Company or, at the request of the Company, 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15" w:lineRule="exact"/>
        <w:rPr>
          <w:rFonts w:ascii="Arial" w:cs="Arial" w:eastAsia="Arial" w:hAnsi="Arial"/>
          <w:sz w:val="16"/>
          <w:szCs w:val="16"/>
          <w:color w:val="auto"/>
        </w:rPr>
      </w:pPr>
    </w:p>
    <w:p>
      <w:pPr>
        <w:jc w:val="both"/>
        <w:ind w:firstLine="807"/>
        <w:spacing w:after="0" w:line="296" w:lineRule="auto"/>
        <w:tabs>
          <w:tab w:leader="none" w:pos="1076"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Agreement shall be binding upon the Company and its successors and assigns, including any direct or indirect successor by</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07" w:lineRule="exact"/>
        <w:rPr>
          <w:rFonts w:ascii="Arial" w:cs="Arial" w:eastAsia="Arial" w:hAnsi="Arial"/>
          <w:sz w:val="16"/>
          <w:szCs w:val="16"/>
          <w:color w:val="auto"/>
        </w:rPr>
      </w:pPr>
    </w:p>
    <w:p>
      <w:pPr>
        <w:jc w:val="both"/>
        <w:ind w:firstLine="807"/>
        <w:spacing w:after="0" w:line="293" w:lineRule="auto"/>
        <w:tabs>
          <w:tab w:leader="none" w:pos="1076"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Nothing in this Agreement is intended to require or shall be construed as requiring the Company to do or fail to do any act in</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w:t>
      </w:r>
    </w:p>
    <w:p>
      <w:pPr>
        <w:spacing w:after="0" w:line="90" w:lineRule="exact"/>
        <w:rPr>
          <w:rFonts w:ascii="Arial" w:cs="Arial" w:eastAsia="Arial" w:hAnsi="Arial"/>
          <w:sz w:val="16"/>
          <w:szCs w:val="16"/>
          <w:color w:val="auto"/>
        </w:rPr>
      </w:pPr>
    </w:p>
    <w:p>
      <w:pPr>
        <w:ind w:left="5620" w:hanging="136"/>
        <w:spacing w:after="0"/>
        <w:tabs>
          <w:tab w:leader="none" w:pos="562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420"/>
          </w:cols>
          <w:pgMar w:left="240" w:top="280" w:right="239" w:bottom="1440" w:gutter="0" w:footer="0" w:header="0"/>
        </w:sectPr>
      </w:pPr>
    </w:p>
    <w:bookmarkStart w:id="300" w:name="page301"/>
    <w:bookmarkEnd w:id="30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37" w:lineRule="exact"/>
        <w:rPr>
          <w:sz w:val="20"/>
          <w:szCs w:val="20"/>
          <w:color w:val="auto"/>
        </w:rPr>
      </w:pPr>
    </w:p>
    <w:p>
      <w:pPr>
        <w:jc w:val="both"/>
        <w:ind w:firstLine="807"/>
        <w:spacing w:after="0" w:line="262" w:lineRule="auto"/>
        <w:tabs>
          <w:tab w:leader="none" w:pos="1076"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132" w:lineRule="exact"/>
        <w:rPr>
          <w:rFonts w:ascii="Arial" w:cs="Arial" w:eastAsia="Arial" w:hAnsi="Arial"/>
          <w:sz w:val="18"/>
          <w:szCs w:val="18"/>
          <w:color w:val="auto"/>
        </w:rPr>
      </w:pPr>
    </w:p>
    <w:p>
      <w:pPr>
        <w:jc w:val="both"/>
        <w:ind w:firstLine="807"/>
        <w:spacing w:after="0" w:line="310" w:lineRule="auto"/>
        <w:tabs>
          <w:tab w:leader="none" w:pos="1076"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constitutes the entire agreement between the parties hereto with respect to the subject matter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supersedes all prior agreements and understandings, oral, written and implied, between the parties hereto with respect to the subject matter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Agreement is a supplement to and in furtherance of the Company’s certificate of incorporation and bylaws and applicable law.</w:t>
      </w:r>
    </w:p>
    <w:p>
      <w:pPr>
        <w:spacing w:after="0" w:line="97" w:lineRule="exact"/>
        <w:rPr>
          <w:rFonts w:ascii="Arial" w:cs="Arial" w:eastAsia="Arial" w:hAnsi="Arial"/>
          <w:sz w:val="16"/>
          <w:szCs w:val="16"/>
          <w:color w:val="auto"/>
        </w:rPr>
      </w:pPr>
    </w:p>
    <w:p>
      <w:pPr>
        <w:jc w:val="both"/>
        <w:ind w:firstLine="807"/>
        <w:spacing w:after="0" w:line="301" w:lineRule="auto"/>
        <w:tabs>
          <w:tab w:leader="none" w:pos="1076"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Modification and Waiver. </w:t>
      </w:r>
      <w:r>
        <w:rPr>
          <w:rFonts w:ascii="Arial" w:cs="Arial" w:eastAsia="Arial" w:hAnsi="Arial"/>
          <w:sz w:val="16"/>
          <w:szCs w:val="16"/>
          <w:color w:val="auto"/>
        </w:rPr>
        <w:t>No supplement, modification or amendment to this Agreement shall be binding unless executed in writing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03" w:lineRule="exact"/>
        <w:rPr>
          <w:rFonts w:ascii="Arial" w:cs="Arial" w:eastAsia="Arial" w:hAnsi="Arial"/>
          <w:sz w:val="16"/>
          <w:szCs w:val="16"/>
          <w:color w:val="auto"/>
        </w:rPr>
      </w:pPr>
    </w:p>
    <w:p>
      <w:pPr>
        <w:ind w:right="20" w:firstLine="807"/>
        <w:spacing w:after="0" w:line="339" w:lineRule="auto"/>
        <w:tabs>
          <w:tab w:leader="none" w:pos="1062"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and other communications required or permitted hereunder shall be in writing and shall be mailed by registered or certified</w:t>
      </w:r>
      <w:r>
        <w:rPr>
          <w:rFonts w:ascii="Arial" w:cs="Arial" w:eastAsia="Arial" w:hAnsi="Arial"/>
          <w:sz w:val="16"/>
          <w:szCs w:val="16"/>
          <w:b w:val="1"/>
          <w:bCs w:val="1"/>
          <w:color w:val="auto"/>
        </w:rPr>
        <w:t xml:space="preserve"> </w:t>
      </w:r>
      <w:r>
        <w:rPr>
          <w:rFonts w:ascii="Arial" w:cs="Arial" w:eastAsia="Arial" w:hAnsi="Arial"/>
          <w:sz w:val="16"/>
          <w:szCs w:val="16"/>
          <w:color w:val="auto"/>
        </w:rPr>
        <w:t>mail, postage prepaid, sent by facsimile or electronic mail or otherwise delivered by hand, messenger or courier service addressed:</w:t>
      </w:r>
    </w:p>
    <w:p>
      <w:pPr>
        <w:spacing w:after="0" w:line="80" w:lineRule="exact"/>
        <w:rPr>
          <w:rFonts w:ascii="Arial" w:cs="Arial" w:eastAsia="Arial" w:hAnsi="Arial"/>
          <w:sz w:val="16"/>
          <w:szCs w:val="16"/>
          <w:color w:val="auto"/>
        </w:rPr>
      </w:pPr>
    </w:p>
    <w:p>
      <w:pPr>
        <w:ind w:firstLine="1492"/>
        <w:spacing w:after="0" w:line="268" w:lineRule="auto"/>
        <w:tabs>
          <w:tab w:leader="none" w:pos="221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31" w:lineRule="exact"/>
        <w:rPr>
          <w:rFonts w:ascii="Arial" w:cs="Arial" w:eastAsia="Arial" w:hAnsi="Arial"/>
          <w:sz w:val="18"/>
          <w:szCs w:val="18"/>
          <w:color w:val="auto"/>
        </w:rPr>
      </w:pPr>
    </w:p>
    <w:p>
      <w:pPr>
        <w:jc w:val="both"/>
        <w:ind w:firstLine="1492"/>
        <w:spacing w:after="0" w:line="306" w:lineRule="auto"/>
        <w:tabs>
          <w:tab w:leader="none" w:pos="2166"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to the Company, to the attention of the Chief Executive Officer or Chief Financial Officer of the Company at 7000 Shoreline Court, Suite 100, South San Francisco, CA 94080, or at such other current address as the Company shall have furnished to Indemnitee, with a copy (which shall not constitute notice) to Robert Kornegay, Wilson Sonsini Goodrich &amp; Rosati, P.C., 650 Page Mill Road, Palo Alto, California 94304.</w:t>
      </w:r>
    </w:p>
    <w:p>
      <w:pPr>
        <w:spacing w:after="0" w:line="107"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mail, at the earlier of its receipt or three days after the same has been deposited in a regularly-maintained receptacle for the deposit of the United States mail, addressed and mailed as aforesaid, or (iii)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facsimile, upon confirmation of facsimile transfer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420"/>
          </w:cols>
          <w:pgMar w:left="240" w:top="280" w:right="239" w:bottom="1440" w:gutter="0" w:footer="0" w:header="0"/>
        </w:sectPr>
      </w:pPr>
    </w:p>
    <w:bookmarkStart w:id="301" w:name="page302"/>
    <w:bookmarkEnd w:id="301"/>
    <w:p>
      <w:pPr>
        <w:jc w:val="both"/>
        <w:ind w:firstLine="807"/>
        <w:spacing w:after="0" w:line="288" w:lineRule="auto"/>
        <w:tabs>
          <w:tab w:leader="none" w:pos="1062"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Law and Consent to Jurisdiction. </w:t>
      </w:r>
      <w:r>
        <w:rPr>
          <w:rFonts w:ascii="Arial" w:cs="Arial" w:eastAsia="Arial" w:hAnsi="Arial"/>
          <w:sz w:val="16"/>
          <w:szCs w:val="16"/>
          <w:color w:val="auto"/>
        </w:rPr>
        <w:t>This Agreement and the legal relations among the parties shall be governed by, and construed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15" w:lineRule="exact"/>
        <w:rPr>
          <w:rFonts w:ascii="Arial" w:cs="Arial" w:eastAsia="Arial" w:hAnsi="Arial"/>
          <w:sz w:val="16"/>
          <w:szCs w:val="16"/>
          <w:color w:val="auto"/>
        </w:rPr>
      </w:pPr>
    </w:p>
    <w:p>
      <w:pPr>
        <w:jc w:val="both"/>
        <w:ind w:firstLine="807"/>
        <w:spacing w:after="0" w:line="301" w:lineRule="auto"/>
        <w:tabs>
          <w:tab w:leader="none" w:pos="1062"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one or more counterparts, each of which shall for all purposes be deemed to be an original but</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03" w:lineRule="exact"/>
        <w:rPr>
          <w:rFonts w:ascii="Arial" w:cs="Arial" w:eastAsia="Arial" w:hAnsi="Arial"/>
          <w:sz w:val="16"/>
          <w:szCs w:val="16"/>
          <w:color w:val="auto"/>
        </w:rPr>
      </w:pPr>
    </w:p>
    <w:p>
      <w:pPr>
        <w:ind w:firstLine="807"/>
        <w:spacing w:after="0" w:line="275" w:lineRule="auto"/>
        <w:tabs>
          <w:tab w:leader="none" w:pos="1062"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The headings of the paragraphs of this Agreement are inserted for convenience only and shall not be deemed to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affect the construction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420"/>
          </w:cols>
          <w:pgMar w:left="240" w:top="328" w:right="239" w:bottom="1440" w:gutter="0" w:footer="0" w:header="0"/>
        </w:sectPr>
      </w:pPr>
    </w:p>
    <w:bookmarkStart w:id="302" w:name="page303"/>
    <w:bookmarkEnd w:id="302"/>
    <w:p>
      <w:pPr>
        <w:ind w:left="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ectPr>
          <w:pgSz w:w="11900" w:h="16838" w:orient="portrait"/>
          <w:cols w:equalWidth="0" w:num="1">
            <w:col w:w="10219"/>
          </w:cols>
          <w:pgMar w:left="240" w:top="3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AGREED TO AND ACCEPTED: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165735</wp:posOffset>
            </wp:positionV>
            <wp:extent cx="231521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320040</wp:posOffset>
            </wp:positionV>
            <wp:extent cx="231521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426720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285750</wp:posOffset>
            </wp:positionV>
            <wp:extent cx="28987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860" w:val="left"/>
        </w:tabs>
        <w:rPr>
          <w:sz w:val="20"/>
          <w:szCs w:val="20"/>
          <w:color w:val="auto"/>
        </w:rPr>
      </w:pPr>
      <w:r>
        <w:rPr>
          <w:rFonts w:ascii="Arial" w:cs="Arial" w:eastAsia="Arial" w:hAnsi="Arial"/>
          <w:sz w:val="18"/>
          <w:szCs w:val="18"/>
          <w:color w:val="auto"/>
        </w:rPr>
        <w:t>Address:</w:t>
        <w:tab/>
        <w:t>7000 Shoreline Court, 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10795</wp:posOffset>
            </wp:positionV>
            <wp:extent cx="23412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10795</wp:posOffset>
            </wp:positionV>
            <wp:extent cx="23412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2">
            <w:col w:w="6140" w:space="720"/>
            <w:col w:w="3359"/>
          </w:cols>
          <w:pgMar w:left="240" w:top="334" w:right="1440" w:bottom="1440" w:gutter="0" w:footer="0" w:header="0"/>
          <w:type w:val="continuous"/>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and approved January 20, 2011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the Company’s initial public offering.</w:t>
      </w:r>
    </w:p>
    <w:p>
      <w:pPr>
        <w:spacing w:after="0" w:line="152" w:lineRule="exact"/>
        <w:rPr>
          <w:sz w:val="20"/>
          <w:szCs w:val="20"/>
          <w:color w:val="auto"/>
        </w:rPr>
      </w:pPr>
    </w:p>
    <w:p>
      <w:pPr>
        <w:ind w:left="1400" w:hanging="593"/>
        <w:spacing w:after="0"/>
        <w:tabs>
          <w:tab w:leader="none" w:pos="1400"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Plan are:</w:t>
      </w:r>
    </w:p>
    <w:p>
      <w:pPr>
        <w:spacing w:after="0" w:line="71" w:lineRule="exact"/>
        <w:rPr>
          <w:rFonts w:ascii="Arial" w:cs="Arial" w:eastAsia="Arial" w:hAnsi="Arial"/>
          <w:sz w:val="22"/>
          <w:szCs w:val="22"/>
          <w:color w:val="auto"/>
        </w:rPr>
      </w:pPr>
    </w:p>
    <w:p>
      <w:pPr>
        <w:ind w:left="2040" w:hanging="560"/>
        <w:spacing w:after="0"/>
        <w:tabs>
          <w:tab w:leader="none" w:pos="2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71" w:lineRule="exact"/>
        <w:rPr>
          <w:rFonts w:ascii="Arial" w:cs="Arial" w:eastAsia="Arial" w:hAnsi="Arial"/>
          <w:sz w:val="22"/>
          <w:szCs w:val="22"/>
          <w:color w:val="auto"/>
        </w:rPr>
      </w:pPr>
    </w:p>
    <w:p>
      <w:pPr>
        <w:ind w:left="2040" w:hanging="560"/>
        <w:spacing w:after="0"/>
        <w:tabs>
          <w:tab w:leader="none" w:pos="2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to provide additional incentive to Employees, Directors and Consultants, and</w:t>
      </w:r>
    </w:p>
    <w:p>
      <w:pPr>
        <w:spacing w:after="0" w:line="71" w:lineRule="exact"/>
        <w:rPr>
          <w:rFonts w:ascii="Arial" w:cs="Arial" w:eastAsia="Arial" w:hAnsi="Arial"/>
          <w:sz w:val="22"/>
          <w:szCs w:val="22"/>
          <w:color w:val="auto"/>
        </w:rPr>
      </w:pPr>
    </w:p>
    <w:p>
      <w:pPr>
        <w:ind w:left="2040" w:hanging="560"/>
        <w:spacing w:after="0"/>
        <w:tabs>
          <w:tab w:leader="none" w:pos="2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152" w:lineRule="exact"/>
        <w:rPr>
          <w:sz w:val="20"/>
          <w:szCs w:val="20"/>
          <w:color w:val="auto"/>
        </w:rPr>
      </w:pPr>
    </w:p>
    <w:p>
      <w:pPr>
        <w:ind w:firstLine="1484"/>
        <w:spacing w:after="0" w:line="251" w:lineRule="auto"/>
        <w:rPr>
          <w:sz w:val="20"/>
          <w:szCs w:val="20"/>
          <w:color w:val="auto"/>
        </w:rPr>
      </w:pPr>
      <w:r>
        <w:rPr>
          <w:rFonts w:ascii="Arial" w:cs="Arial" w:eastAsia="Arial" w:hAnsi="Arial"/>
          <w:sz w:val="22"/>
          <w:szCs w:val="22"/>
          <w:color w:val="auto"/>
        </w:rPr>
        <w:t>The Plan permits the grant of Incentive Stock Options, Nonstatutory Stock Options, Restricted Stock, Restricted Stock Units, Stock Appreciation Rights, Performance Units and Performance Shares.</w:t>
      </w:r>
    </w:p>
    <w:p>
      <w:pPr>
        <w:spacing w:after="0" w:line="119" w:lineRule="exact"/>
        <w:rPr>
          <w:sz w:val="20"/>
          <w:szCs w:val="20"/>
          <w:color w:val="auto"/>
        </w:rPr>
      </w:pPr>
    </w:p>
    <w:p>
      <w:pPr>
        <w:ind w:left="1400" w:hanging="593"/>
        <w:spacing w:after="0"/>
        <w:tabs>
          <w:tab w:leader="none" w:pos="1400"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152" w:lineRule="exact"/>
        <w:rPr>
          <w:rFonts w:ascii="Arial" w:cs="Arial" w:eastAsia="Arial" w:hAnsi="Arial"/>
          <w:sz w:val="22"/>
          <w:szCs w:val="22"/>
          <w:color w:val="auto"/>
        </w:rPr>
      </w:pPr>
    </w:p>
    <w:p>
      <w:pPr>
        <w:ind w:right="20" w:firstLine="1492"/>
        <w:spacing w:after="0" w:line="251" w:lineRule="auto"/>
        <w:tabs>
          <w:tab w:leader="none" w:pos="2493"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will be administering the Plan, in accordance with Section 4 of the Plan.</w:t>
      </w:r>
    </w:p>
    <w:p>
      <w:pPr>
        <w:spacing w:after="0" w:line="119" w:lineRule="exact"/>
        <w:rPr>
          <w:rFonts w:ascii="Arial" w:cs="Arial" w:eastAsia="Arial" w:hAnsi="Arial"/>
          <w:sz w:val="22"/>
          <w:szCs w:val="22"/>
          <w:color w:val="auto"/>
        </w:rPr>
      </w:pPr>
    </w:p>
    <w:p>
      <w:pPr>
        <w:jc w:val="both"/>
        <w:ind w:firstLine="1492"/>
        <w:spacing w:after="0" w:line="238" w:lineRule="auto"/>
        <w:tabs>
          <w:tab w:leader="none" w:pos="2289"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31" w:lineRule="exact"/>
        <w:rPr>
          <w:rFonts w:ascii="Arial" w:cs="Arial" w:eastAsia="Arial" w:hAnsi="Arial"/>
          <w:sz w:val="22"/>
          <w:szCs w:val="22"/>
          <w:color w:val="auto"/>
        </w:rPr>
      </w:pPr>
    </w:p>
    <w:p>
      <w:pPr>
        <w:ind w:right="20" w:firstLine="1492"/>
        <w:spacing w:after="0" w:line="251" w:lineRule="auto"/>
        <w:tabs>
          <w:tab w:leader="none" w:pos="2156"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individually or collectively, a grant under the Plan of Options, Stock Appreciation Rights, Restricted Stock, Restricted Stock Units, Performance Units or Performance Shares.</w:t>
      </w:r>
    </w:p>
    <w:p>
      <w:pPr>
        <w:spacing w:after="0" w:line="119" w:lineRule="exact"/>
        <w:rPr>
          <w:rFonts w:ascii="Arial" w:cs="Arial" w:eastAsia="Arial" w:hAnsi="Arial"/>
          <w:sz w:val="22"/>
          <w:szCs w:val="22"/>
          <w:color w:val="auto"/>
        </w:rPr>
      </w:pPr>
    </w:p>
    <w:p>
      <w:pPr>
        <w:ind w:right="20" w:firstLine="1492"/>
        <w:spacing w:after="0" w:line="328" w:lineRule="auto"/>
        <w:tabs>
          <w:tab w:leader="none" w:pos="2357" w:val="left"/>
        </w:tabs>
        <w:numPr>
          <w:ilvl w:val="1"/>
          <w:numId w:val="2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the written or electronic agreement setting forth the terms and provisions applicable to each Award granted under the Plan. The Award Agreement is subject to the terms and conditions of the Plan.</w:t>
      </w:r>
    </w:p>
    <w:p>
      <w:pPr>
        <w:spacing w:after="0" w:line="51" w:lineRule="exact"/>
        <w:rPr>
          <w:rFonts w:ascii="Arial" w:cs="Arial" w:eastAsia="Arial" w:hAnsi="Arial"/>
          <w:sz w:val="19"/>
          <w:szCs w:val="19"/>
          <w:color w:val="auto"/>
        </w:rPr>
      </w:pPr>
    </w:p>
    <w:p>
      <w:pPr>
        <w:ind w:left="2160" w:hanging="668"/>
        <w:spacing w:after="0"/>
        <w:tabs>
          <w:tab w:leader="none" w:pos="216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52" w:lineRule="exact"/>
        <w:rPr>
          <w:rFonts w:ascii="Arial" w:cs="Arial" w:eastAsia="Arial" w:hAnsi="Arial"/>
          <w:sz w:val="22"/>
          <w:szCs w:val="22"/>
          <w:color w:val="auto"/>
        </w:rPr>
      </w:pPr>
    </w:p>
    <w:p>
      <w:pPr>
        <w:ind w:left="2140" w:hanging="648"/>
        <w:spacing w:after="0"/>
        <w:tabs>
          <w:tab w:leader="none" w:pos="214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152" w:lineRule="exact"/>
        <w:rPr>
          <w:rFonts w:ascii="Arial" w:cs="Arial" w:eastAsia="Arial" w:hAnsi="Arial"/>
          <w:sz w:val="22"/>
          <w:szCs w:val="22"/>
          <w:color w:val="auto"/>
        </w:rPr>
      </w:pPr>
    </w:p>
    <w:p>
      <w:pPr>
        <w:jc w:val="both"/>
        <w:ind w:firstLine="2404"/>
        <w:spacing w:after="0"/>
        <w:tabs>
          <w:tab w:leader="none" w:pos="2913" w:val="left"/>
        </w:tabs>
        <w:numPr>
          <w:ilvl w:val="2"/>
          <w:numId w:val="243"/>
        </w:numPr>
        <w:rPr>
          <w:rFonts w:ascii="Arial" w:cs="Arial" w:eastAsia="Arial" w:hAnsi="Arial"/>
          <w:sz w:val="22"/>
          <w:szCs w:val="22"/>
          <w:color w:val="auto"/>
        </w:rPr>
      </w:pPr>
      <w:r>
        <w:rPr>
          <w:rFonts w:ascii="Arial" w:cs="Arial" w:eastAsia="Arial" w:hAnsi="Arial"/>
          <w:sz w:val="22"/>
          <w:szCs w:val="22"/>
          <w:color w:val="auto"/>
        </w:rPr>
        <w:t>A change in the ownership of the Company which occurs on the date that any one person, or more than one person acting as a group (“</w:t>
      </w:r>
      <w:r>
        <w:rPr>
          <w:rFonts w:ascii="Arial" w:cs="Arial" w:eastAsia="Arial" w:hAnsi="Arial"/>
          <w:sz w:val="22"/>
          <w:szCs w:val="22"/>
          <w:u w:val="single" w:color="auto"/>
          <w:color w:val="auto"/>
        </w:rPr>
        <w:t>Person</w:t>
      </w:r>
      <w:r>
        <w:rPr>
          <w:rFonts w:ascii="Arial" w:cs="Arial" w:eastAsia="Arial" w:hAnsi="Arial"/>
          <w:sz w:val="22"/>
          <w:szCs w:val="22"/>
          <w:color w:val="auto"/>
        </w:rPr>
        <w:t>”), acquires ownership of the stock of the Company that, together with the stock held by such Person, constitutes more than 50%</w:t>
      </w:r>
    </w:p>
    <w:p>
      <w:pPr>
        <w:sectPr>
          <w:pgSz w:w="11900" w:h="16838" w:orient="portrait"/>
          <w:cols w:equalWidth="0" w:num="1">
            <w:col w:w="11420"/>
          </w:cols>
          <w:pgMar w:left="240" w:top="125" w:right="239" w:bottom="1440" w:gutter="0" w:footer="0" w:header="0"/>
        </w:sectPr>
      </w:pPr>
    </w:p>
    <w:bookmarkStart w:id="304" w:name="page305"/>
    <w:bookmarkEnd w:id="304"/>
    <w:p>
      <w:pPr>
        <w:jc w:val="both"/>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32" w:lineRule="exact"/>
        <w:rPr>
          <w:sz w:val="20"/>
          <w:szCs w:val="20"/>
          <w:color w:val="auto"/>
        </w:rPr>
      </w:pPr>
    </w:p>
    <w:p>
      <w:pPr>
        <w:jc w:val="both"/>
        <w:ind w:firstLine="2404"/>
        <w:spacing w:after="0" w:line="236" w:lineRule="auto"/>
        <w:tabs>
          <w:tab w:leader="none" w:pos="296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33" w:lineRule="exact"/>
        <w:rPr>
          <w:rFonts w:ascii="Arial" w:cs="Arial" w:eastAsia="Arial" w:hAnsi="Arial"/>
          <w:sz w:val="22"/>
          <w:szCs w:val="22"/>
          <w:color w:val="auto"/>
        </w:rPr>
      </w:pPr>
    </w:p>
    <w:p>
      <w:pPr>
        <w:jc w:val="both"/>
        <w:ind w:firstLine="2404"/>
        <w:spacing w:after="0" w:line="272" w:lineRule="auto"/>
        <w:tabs>
          <w:tab w:leader="none" w:pos="2962" w:val="left"/>
        </w:tabs>
        <w:numPr>
          <w:ilvl w:val="0"/>
          <w:numId w:val="244"/>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351" w:lineRule="exact"/>
        <w:rPr>
          <w:sz w:val="20"/>
          <w:szCs w:val="20"/>
          <w:color w:val="auto"/>
        </w:rPr>
      </w:pPr>
    </w:p>
    <w:p>
      <w:pPr>
        <w:jc w:val="both"/>
        <w:ind w:firstLine="2396"/>
        <w:spacing w:after="0"/>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2" w:lineRule="exact"/>
        <w:rPr>
          <w:sz w:val="20"/>
          <w:szCs w:val="20"/>
          <w:color w:val="auto"/>
        </w:rPr>
      </w:pPr>
    </w:p>
    <w:p>
      <w:pPr>
        <w:jc w:val="both"/>
        <w:ind w:firstLine="2396"/>
        <w:spacing w:after="0" w:line="238"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31" w:lineRule="exact"/>
        <w:rPr>
          <w:sz w:val="20"/>
          <w:szCs w:val="20"/>
          <w:color w:val="auto"/>
        </w:rPr>
      </w:pPr>
    </w:p>
    <w:p>
      <w:pPr>
        <w:jc w:val="both"/>
        <w:ind w:firstLine="2396"/>
        <w:spacing w:after="0" w:line="238" w:lineRule="auto"/>
        <w:rPr>
          <w:sz w:val="20"/>
          <w:szCs w:val="20"/>
          <w:color w:val="auto"/>
        </w:rPr>
      </w:pPr>
      <w:r>
        <w:rPr>
          <w:rFonts w:ascii="Arial" w:cs="Arial" w:eastAsia="Arial" w:hAnsi="Arial"/>
          <w:sz w:val="22"/>
          <w:szCs w:val="22"/>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31" w:lineRule="exact"/>
        <w:rPr>
          <w:sz w:val="20"/>
          <w:szCs w:val="20"/>
          <w:color w:val="auto"/>
        </w:rPr>
      </w:pPr>
    </w:p>
    <w:p>
      <w:pPr>
        <w:ind w:right="20" w:firstLine="1492"/>
        <w:spacing w:after="0" w:line="251" w:lineRule="auto"/>
        <w:tabs>
          <w:tab w:leader="none" w:pos="2316"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Reference to a specific section of the Code or regulation thereunder shall include such section or regulation,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6" w:right="239" w:bottom="1440" w:gutter="0" w:footer="0" w:header="0"/>
        </w:sectPr>
      </w:pPr>
    </w:p>
    <w:bookmarkStart w:id="305" w:name="page306"/>
    <w:bookmarkEnd w:id="305"/>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 regulation promulgated under such section, and any comparable provision of any future legislation or regulation amending, supplementing or superseding such section or regulation.</w:t>
      </w:r>
    </w:p>
    <w:p>
      <w:pPr>
        <w:spacing w:after="0" w:line="119" w:lineRule="exact"/>
        <w:rPr>
          <w:sz w:val="20"/>
          <w:szCs w:val="20"/>
          <w:color w:val="auto"/>
        </w:rPr>
      </w:pPr>
    </w:p>
    <w:p>
      <w:pPr>
        <w:ind w:firstLine="1492"/>
        <w:spacing w:after="0" w:line="251" w:lineRule="auto"/>
        <w:tabs>
          <w:tab w:leader="none" w:pos="251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in accordance with Section 4 hereof.</w:t>
      </w:r>
    </w:p>
    <w:p>
      <w:pPr>
        <w:spacing w:after="0" w:line="119" w:lineRule="exact"/>
        <w:rPr>
          <w:rFonts w:ascii="Arial" w:cs="Arial" w:eastAsia="Arial" w:hAnsi="Arial"/>
          <w:sz w:val="22"/>
          <w:szCs w:val="22"/>
          <w:color w:val="auto"/>
        </w:rPr>
      </w:pPr>
    </w:p>
    <w:p>
      <w:pPr>
        <w:ind w:left="2120" w:hanging="628"/>
        <w:spacing w:after="0"/>
        <w:tabs>
          <w:tab w:leader="none" w:pos="212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w:t>
      </w:r>
    </w:p>
    <w:p>
      <w:pPr>
        <w:spacing w:after="0" w:line="152" w:lineRule="exact"/>
        <w:rPr>
          <w:rFonts w:ascii="Arial" w:cs="Arial" w:eastAsia="Arial" w:hAnsi="Arial"/>
          <w:sz w:val="22"/>
          <w:szCs w:val="22"/>
          <w:color w:val="auto"/>
        </w:rPr>
      </w:pPr>
    </w:p>
    <w:p>
      <w:pPr>
        <w:ind w:left="2120" w:hanging="628"/>
        <w:spacing w:after="0"/>
        <w:tabs>
          <w:tab w:leader="none" w:pos="212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Fluidigm Corporation, a Delaware corporation, or any successor thereto.</w:t>
      </w:r>
    </w:p>
    <w:p>
      <w:pPr>
        <w:spacing w:after="0" w:line="152" w:lineRule="exact"/>
        <w:rPr>
          <w:rFonts w:ascii="Arial" w:cs="Arial" w:eastAsia="Arial" w:hAnsi="Arial"/>
          <w:sz w:val="22"/>
          <w:szCs w:val="22"/>
          <w:color w:val="auto"/>
        </w:rPr>
      </w:pPr>
    </w:p>
    <w:p>
      <w:pPr>
        <w:ind w:firstLine="1492"/>
        <w:spacing w:after="0" w:line="251" w:lineRule="auto"/>
        <w:tabs>
          <w:tab w:leader="none" w:pos="220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person, including an advisor, engaged by the Company or a Parent or Subsidiary to render services to such entity.</w:t>
      </w:r>
    </w:p>
    <w:p>
      <w:pPr>
        <w:spacing w:after="0" w:line="119" w:lineRule="exact"/>
        <w:rPr>
          <w:rFonts w:ascii="Arial" w:cs="Arial" w:eastAsia="Arial" w:hAnsi="Arial"/>
          <w:sz w:val="22"/>
          <w:szCs w:val="22"/>
          <w:color w:val="auto"/>
        </w:rPr>
      </w:pPr>
    </w:p>
    <w:p>
      <w:pPr>
        <w:ind w:left="2120" w:hanging="628"/>
        <w:spacing w:after="0"/>
        <w:tabs>
          <w:tab w:leader="none" w:pos="212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152" w:lineRule="exact"/>
        <w:rPr>
          <w:rFonts w:ascii="Arial" w:cs="Arial" w:eastAsia="Arial" w:hAnsi="Arial"/>
          <w:sz w:val="22"/>
          <w:szCs w:val="22"/>
          <w:color w:val="auto"/>
        </w:rPr>
      </w:pPr>
    </w:p>
    <w:p>
      <w:pPr>
        <w:jc w:val="both"/>
        <w:ind w:firstLine="1492"/>
        <w:spacing w:after="0" w:line="238" w:lineRule="auto"/>
        <w:tabs>
          <w:tab w:leader="none" w:pos="2349"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31" w:lineRule="exact"/>
        <w:rPr>
          <w:rFonts w:ascii="Arial" w:cs="Arial" w:eastAsia="Arial" w:hAnsi="Arial"/>
          <w:sz w:val="22"/>
          <w:szCs w:val="22"/>
          <w:color w:val="auto"/>
        </w:rPr>
      </w:pPr>
    </w:p>
    <w:p>
      <w:pPr>
        <w:jc w:val="both"/>
        <w:ind w:firstLine="1492"/>
        <w:spacing w:after="0"/>
        <w:tabs>
          <w:tab w:leader="none" w:pos="216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2" w:lineRule="exact"/>
        <w:rPr>
          <w:rFonts w:ascii="Arial" w:cs="Arial" w:eastAsia="Arial" w:hAnsi="Arial"/>
          <w:sz w:val="22"/>
          <w:szCs w:val="22"/>
          <w:color w:val="auto"/>
        </w:rPr>
      </w:pPr>
    </w:p>
    <w:p>
      <w:pPr>
        <w:ind w:left="2180" w:hanging="688"/>
        <w:spacing w:after="0"/>
        <w:tabs>
          <w:tab w:leader="none" w:pos="21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152" w:lineRule="exact"/>
        <w:rPr>
          <w:rFonts w:ascii="Arial" w:cs="Arial" w:eastAsia="Arial" w:hAnsi="Arial"/>
          <w:sz w:val="22"/>
          <w:szCs w:val="22"/>
          <w:color w:val="auto"/>
        </w:rPr>
      </w:pPr>
    </w:p>
    <w:p>
      <w:pPr>
        <w:jc w:val="both"/>
        <w:ind w:firstLine="1492"/>
        <w:spacing w:after="0" w:line="282" w:lineRule="auto"/>
        <w:tabs>
          <w:tab w:leader="none" w:pos="223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Program</w:t>
      </w:r>
      <w:r>
        <w:rPr>
          <w:rFonts w:ascii="Arial" w:cs="Arial" w:eastAsia="Arial" w:hAnsi="Arial"/>
          <w:sz w:val="19"/>
          <w:szCs w:val="19"/>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93" w:lineRule="exact"/>
        <w:rPr>
          <w:rFonts w:ascii="Arial" w:cs="Arial" w:eastAsia="Arial" w:hAnsi="Arial"/>
          <w:sz w:val="19"/>
          <w:szCs w:val="19"/>
          <w:color w:val="auto"/>
        </w:rPr>
      </w:pPr>
    </w:p>
    <w:p>
      <w:pPr>
        <w:ind w:left="2180" w:hanging="688"/>
        <w:spacing w:after="0"/>
        <w:tabs>
          <w:tab w:leader="none" w:pos="21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152" w:lineRule="exact"/>
        <w:rPr>
          <w:sz w:val="20"/>
          <w:szCs w:val="20"/>
          <w:color w:val="auto"/>
        </w:rPr>
      </w:pPr>
    </w:p>
    <w:p>
      <w:pPr>
        <w:jc w:val="both"/>
        <w:ind w:firstLine="2404"/>
        <w:spacing w:after="0" w:line="236" w:lineRule="auto"/>
        <w:tabs>
          <w:tab w:leader="none" w:pos="3029" w:val="left"/>
        </w:tabs>
        <w:numPr>
          <w:ilvl w:val="0"/>
          <w:numId w:val="247"/>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06" w:name="page307"/>
    <w:bookmarkEnd w:id="306"/>
    <w:p>
      <w:pPr>
        <w:jc w:val="both"/>
        <w:ind w:firstLine="2404"/>
        <w:spacing w:after="0" w:line="297" w:lineRule="auto"/>
        <w:tabs>
          <w:tab w:leader="none" w:pos="2933" w:val="left"/>
        </w:tabs>
        <w:numPr>
          <w:ilvl w:val="1"/>
          <w:numId w:val="24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w:t>
      </w:r>
    </w:p>
    <w:p>
      <w:pPr>
        <w:spacing w:after="0" w:line="80" w:lineRule="exact"/>
        <w:rPr>
          <w:rFonts w:ascii="Arial" w:cs="Arial" w:eastAsia="Arial" w:hAnsi="Arial"/>
          <w:sz w:val="19"/>
          <w:szCs w:val="19"/>
          <w:color w:val="auto"/>
        </w:rPr>
      </w:pPr>
    </w:p>
    <w:p>
      <w:pPr>
        <w:jc w:val="both"/>
        <w:ind w:firstLine="2404"/>
        <w:spacing w:after="0" w:line="258" w:lineRule="auto"/>
        <w:tabs>
          <w:tab w:leader="none" w:pos="2980" w:val="left"/>
        </w:tabs>
        <w:numPr>
          <w:ilvl w:val="1"/>
          <w:numId w:val="248"/>
        </w:numPr>
        <w:rPr>
          <w:rFonts w:ascii="Arial" w:cs="Arial" w:eastAsia="Arial" w:hAnsi="Arial"/>
          <w:sz w:val="21"/>
          <w:szCs w:val="21"/>
          <w:color w:val="auto"/>
        </w:rPr>
      </w:pPr>
      <w:r>
        <w:rPr>
          <w:rFonts w:ascii="Arial" w:cs="Arial" w:eastAsia="Arial" w:hAnsi="Arial"/>
          <w:sz w:val="21"/>
          <w:szCs w:val="21"/>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12" w:lineRule="exact"/>
        <w:rPr>
          <w:rFonts w:ascii="Arial" w:cs="Arial" w:eastAsia="Arial" w:hAnsi="Arial"/>
          <w:sz w:val="21"/>
          <w:szCs w:val="21"/>
          <w:color w:val="auto"/>
        </w:rPr>
      </w:pPr>
    </w:p>
    <w:p>
      <w:pPr>
        <w:ind w:right="20" w:firstLine="2404"/>
        <w:spacing w:after="0" w:line="251" w:lineRule="auto"/>
        <w:tabs>
          <w:tab w:leader="none" w:pos="3005" w:val="left"/>
        </w:tabs>
        <w:numPr>
          <w:ilvl w:val="1"/>
          <w:numId w:val="248"/>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will be determined in good faith by the Administrator.</w:t>
      </w:r>
    </w:p>
    <w:p>
      <w:pPr>
        <w:spacing w:after="0" w:line="119" w:lineRule="exact"/>
        <w:rPr>
          <w:rFonts w:ascii="Arial" w:cs="Arial" w:eastAsia="Arial" w:hAnsi="Arial"/>
          <w:sz w:val="22"/>
          <w:szCs w:val="22"/>
          <w:color w:val="auto"/>
        </w:rPr>
      </w:pPr>
    </w:p>
    <w:p>
      <w:pPr>
        <w:ind w:left="2140" w:hanging="648"/>
        <w:spacing w:after="0"/>
        <w:tabs>
          <w:tab w:leader="none" w:pos="214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152" w:lineRule="exact"/>
        <w:rPr>
          <w:rFonts w:ascii="Arial" w:cs="Arial" w:eastAsia="Arial" w:hAnsi="Arial"/>
          <w:sz w:val="22"/>
          <w:szCs w:val="22"/>
          <w:color w:val="auto"/>
        </w:rPr>
      </w:pPr>
    </w:p>
    <w:p>
      <w:pPr>
        <w:ind w:firstLine="1492"/>
        <w:spacing w:after="0" w:line="251" w:lineRule="auto"/>
        <w:tabs>
          <w:tab w:leader="none" w:pos="2306"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 and the regulations promulgated thereunder.</w:t>
      </w:r>
    </w:p>
    <w:p>
      <w:pPr>
        <w:spacing w:after="0" w:line="119" w:lineRule="exact"/>
        <w:rPr>
          <w:rFonts w:ascii="Arial" w:cs="Arial" w:eastAsia="Arial" w:hAnsi="Arial"/>
          <w:sz w:val="22"/>
          <w:szCs w:val="22"/>
          <w:color w:val="auto"/>
        </w:rPr>
      </w:pPr>
    </w:p>
    <w:p>
      <w:pPr>
        <w:ind w:left="2120" w:hanging="628"/>
        <w:spacing w:after="0"/>
        <w:tabs>
          <w:tab w:leader="none" w:pos="21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Inside Director</w:t>
      </w:r>
      <w:r>
        <w:rPr>
          <w:rFonts w:ascii="Arial" w:cs="Arial" w:eastAsia="Arial" w:hAnsi="Arial"/>
          <w:sz w:val="22"/>
          <w:szCs w:val="22"/>
          <w:color w:val="auto"/>
        </w:rPr>
        <w:t>” means a Director who is an Employee.</w:t>
      </w:r>
    </w:p>
    <w:p>
      <w:pPr>
        <w:spacing w:after="0" w:line="152" w:lineRule="exact"/>
        <w:rPr>
          <w:rFonts w:ascii="Arial" w:cs="Arial" w:eastAsia="Arial" w:hAnsi="Arial"/>
          <w:sz w:val="22"/>
          <w:szCs w:val="22"/>
          <w:color w:val="auto"/>
        </w:rPr>
      </w:pPr>
    </w:p>
    <w:p>
      <w:pPr>
        <w:ind w:firstLine="1492"/>
        <w:spacing w:after="0" w:line="251" w:lineRule="auto"/>
        <w:tabs>
          <w:tab w:leader="none" w:pos="233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19" w:lineRule="exact"/>
        <w:rPr>
          <w:rFonts w:ascii="Arial" w:cs="Arial" w:eastAsia="Arial" w:hAnsi="Arial"/>
          <w:sz w:val="22"/>
          <w:szCs w:val="22"/>
          <w:color w:val="auto"/>
        </w:rPr>
      </w:pPr>
    </w:p>
    <w:p>
      <w:pPr>
        <w:ind w:firstLine="1492"/>
        <w:spacing w:after="0" w:line="251" w:lineRule="auto"/>
        <w:tabs>
          <w:tab w:leader="none" w:pos="2343"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119" w:lineRule="exact"/>
        <w:rPr>
          <w:rFonts w:ascii="Arial" w:cs="Arial" w:eastAsia="Arial" w:hAnsi="Arial"/>
          <w:sz w:val="22"/>
          <w:szCs w:val="22"/>
          <w:color w:val="auto"/>
        </w:rPr>
      </w:pPr>
    </w:p>
    <w:p>
      <w:pPr>
        <w:ind w:left="2220" w:hanging="728"/>
        <w:spacing w:after="0"/>
        <w:tabs>
          <w:tab w:leader="none" w:pos="22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granted pursuant to the Plan.</w:t>
      </w:r>
    </w:p>
    <w:p>
      <w:pPr>
        <w:spacing w:after="0" w:line="152" w:lineRule="exact"/>
        <w:rPr>
          <w:rFonts w:ascii="Arial" w:cs="Arial" w:eastAsia="Arial" w:hAnsi="Arial"/>
          <w:sz w:val="22"/>
          <w:szCs w:val="22"/>
          <w:color w:val="auto"/>
        </w:rPr>
      </w:pPr>
    </w:p>
    <w:p>
      <w:pPr>
        <w:ind w:left="2180" w:hanging="688"/>
        <w:spacing w:after="0"/>
        <w:tabs>
          <w:tab w:leader="none" w:pos="218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152" w:lineRule="exact"/>
        <w:rPr>
          <w:rFonts w:ascii="Arial" w:cs="Arial" w:eastAsia="Arial" w:hAnsi="Arial"/>
          <w:sz w:val="22"/>
          <w:szCs w:val="22"/>
          <w:color w:val="auto"/>
        </w:rPr>
      </w:pPr>
    </w:p>
    <w:p>
      <w:pPr>
        <w:ind w:left="2220" w:hanging="728"/>
        <w:spacing w:after="0"/>
        <w:tabs>
          <w:tab w:leader="none" w:pos="222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Code.</w:t>
      </w:r>
    </w:p>
    <w:p>
      <w:pPr>
        <w:spacing w:after="0" w:line="134" w:lineRule="exact"/>
        <w:rPr>
          <w:rFonts w:ascii="Arial" w:cs="Arial" w:eastAsia="Arial" w:hAnsi="Arial"/>
          <w:sz w:val="19"/>
          <w:szCs w:val="19"/>
          <w:color w:val="auto"/>
        </w:rPr>
      </w:pPr>
    </w:p>
    <w:p>
      <w:pPr>
        <w:ind w:left="2160" w:hanging="668"/>
        <w:spacing w:after="0"/>
        <w:tabs>
          <w:tab w:leader="none" w:pos="216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the holder of an outstanding Award.</w:t>
      </w:r>
    </w:p>
    <w:p>
      <w:pPr>
        <w:spacing w:after="0" w:line="152" w:lineRule="exact"/>
        <w:rPr>
          <w:sz w:val="20"/>
          <w:szCs w:val="20"/>
          <w:color w:val="auto"/>
        </w:rPr>
      </w:pPr>
    </w:p>
    <w:p>
      <w:pPr>
        <w:ind w:firstLine="1492"/>
        <w:spacing w:after="0" w:line="328" w:lineRule="auto"/>
        <w:tabs>
          <w:tab w:leader="none" w:pos="2238" w:val="left"/>
        </w:tabs>
        <w:numPr>
          <w:ilvl w:val="0"/>
          <w:numId w:val="2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denominated in Shares which may be earned in whole or in part upon attainment of performance goals or other vesting criteria as the Administrator may determine pursuant to Section 10.</w:t>
      </w:r>
    </w:p>
    <w:p>
      <w:pPr>
        <w:spacing w:after="0" w:line="51" w:lineRule="exact"/>
        <w:rPr>
          <w:rFonts w:ascii="Arial" w:cs="Arial" w:eastAsia="Arial" w:hAnsi="Arial"/>
          <w:sz w:val="19"/>
          <w:szCs w:val="19"/>
          <w:color w:val="auto"/>
        </w:rPr>
      </w:pPr>
    </w:p>
    <w:p>
      <w:pPr>
        <w:jc w:val="both"/>
        <w:ind w:firstLine="1492"/>
        <w:spacing w:after="0"/>
        <w:tabs>
          <w:tab w:leader="none" w:pos="237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32" w:lineRule="exact"/>
        <w:rPr>
          <w:rFonts w:ascii="Arial" w:cs="Arial" w:eastAsia="Arial" w:hAnsi="Arial"/>
          <w:sz w:val="22"/>
          <w:szCs w:val="22"/>
          <w:color w:val="auto"/>
        </w:rPr>
      </w:pPr>
    </w:p>
    <w:p>
      <w:pPr>
        <w:ind w:firstLine="1492"/>
        <w:spacing w:after="0" w:line="251" w:lineRule="auto"/>
        <w:tabs>
          <w:tab w:leader="none" w:pos="2319"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Period of Restriction</w:t>
      </w:r>
      <w:r>
        <w:rPr>
          <w:rFonts w:ascii="Arial" w:cs="Arial" w:eastAsia="Arial" w:hAnsi="Arial"/>
          <w:sz w:val="22"/>
          <w:szCs w:val="22"/>
          <w:color w:val="auto"/>
        </w:rPr>
        <w:t>” means the period during which the transfer of Shares of Restricted Stock are subject to restrictions and therefore, the Shares are subject to a substantial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21" w:right="239" w:bottom="1440" w:gutter="0" w:footer="0" w:header="0"/>
        </w:sectPr>
      </w:pPr>
    </w:p>
    <w:bookmarkStart w:id="307" w:name="page308"/>
    <w:bookmarkEnd w:id="307"/>
    <w:p>
      <w:pPr>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of forfeiture. Such restrictions may be based on the passage of time, the achievement of target levels of performance, or the occurrence of other events as determined by the Administrator.</w:t>
      </w:r>
    </w:p>
    <w:p>
      <w:pPr>
        <w:spacing w:after="0" w:line="119" w:lineRule="exact"/>
        <w:rPr>
          <w:sz w:val="20"/>
          <w:szCs w:val="20"/>
          <w:color w:val="auto"/>
        </w:rPr>
      </w:pPr>
    </w:p>
    <w:p>
      <w:pPr>
        <w:ind w:left="2180" w:hanging="688"/>
        <w:spacing w:after="0"/>
        <w:tabs>
          <w:tab w:leader="none" w:pos="218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2011 Equity Incentive Plan.</w:t>
      </w:r>
    </w:p>
    <w:p>
      <w:pPr>
        <w:spacing w:after="0" w:line="152" w:lineRule="exact"/>
        <w:rPr>
          <w:rFonts w:ascii="Arial" w:cs="Arial" w:eastAsia="Arial" w:hAnsi="Arial"/>
          <w:sz w:val="22"/>
          <w:szCs w:val="22"/>
          <w:color w:val="auto"/>
        </w:rPr>
      </w:pPr>
    </w:p>
    <w:p>
      <w:pPr>
        <w:ind w:firstLine="1492"/>
        <w:spacing w:after="0" w:line="328" w:lineRule="auto"/>
        <w:tabs>
          <w:tab w:leader="none" w:pos="2143" w:val="left"/>
        </w:tabs>
        <w:numPr>
          <w:ilvl w:val="2"/>
          <w:numId w:val="2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Date</w:t>
      </w:r>
      <w:r>
        <w:rPr>
          <w:rFonts w:ascii="Arial" w:cs="Arial" w:eastAsia="Arial" w:hAnsi="Arial"/>
          <w:sz w:val="19"/>
          <w:szCs w:val="19"/>
          <w:color w:val="auto"/>
        </w:rPr>
        <w:t>” means the effective date of the first registration statement that is filed by the Company and declared effective pursuant to Section 12(g) of the Exchange Act, with respect to any class of the Company’s securities.</w:t>
      </w:r>
    </w:p>
    <w:p>
      <w:pPr>
        <w:spacing w:after="0" w:line="51" w:lineRule="exact"/>
        <w:rPr>
          <w:rFonts w:ascii="Arial" w:cs="Arial" w:eastAsia="Arial" w:hAnsi="Arial"/>
          <w:sz w:val="19"/>
          <w:szCs w:val="19"/>
          <w:color w:val="auto"/>
        </w:rPr>
      </w:pPr>
    </w:p>
    <w:p>
      <w:pPr>
        <w:ind w:firstLine="1492"/>
        <w:spacing w:after="0" w:line="251" w:lineRule="auto"/>
        <w:tabs>
          <w:tab w:leader="none" w:pos="2132"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issued pursuant to a Restricted Stock award under Section 7 of the Plan, or issued pursuant to the early exercise of an Option.</w:t>
      </w:r>
    </w:p>
    <w:p>
      <w:pPr>
        <w:spacing w:after="0" w:line="119" w:lineRule="exact"/>
        <w:rPr>
          <w:rFonts w:ascii="Arial" w:cs="Arial" w:eastAsia="Arial" w:hAnsi="Arial"/>
          <w:sz w:val="22"/>
          <w:szCs w:val="22"/>
          <w:color w:val="auto"/>
        </w:rPr>
      </w:pPr>
    </w:p>
    <w:p>
      <w:pPr>
        <w:jc w:val="both"/>
        <w:ind w:firstLine="1492"/>
        <w:spacing w:after="0"/>
        <w:tabs>
          <w:tab w:leader="none" w:pos="233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bookkeeping entry representing an amount equal to the Fair Market Value of one Share, granted pursuant to Section 8. Each Restricted Stock Unit represents an unfunded and unsecured obligation of the Company.</w:t>
      </w:r>
    </w:p>
    <w:p>
      <w:pPr>
        <w:spacing w:after="0" w:line="132" w:lineRule="exact"/>
        <w:rPr>
          <w:rFonts w:ascii="Arial" w:cs="Arial" w:eastAsia="Arial" w:hAnsi="Arial"/>
          <w:sz w:val="22"/>
          <w:szCs w:val="22"/>
          <w:color w:val="auto"/>
        </w:rPr>
      </w:pPr>
    </w:p>
    <w:p>
      <w:pPr>
        <w:ind w:firstLine="1492"/>
        <w:spacing w:after="0" w:line="251" w:lineRule="auto"/>
        <w:tabs>
          <w:tab w:leader="none" w:pos="2249"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of the Exchange Act or any successor to Rule 16b-3, as in effect when discretion is being exercised with respect to the Plan.</w:t>
      </w:r>
    </w:p>
    <w:p>
      <w:pPr>
        <w:spacing w:after="0" w:line="119" w:lineRule="exact"/>
        <w:rPr>
          <w:rFonts w:ascii="Arial" w:cs="Arial" w:eastAsia="Arial" w:hAnsi="Arial"/>
          <w:sz w:val="22"/>
          <w:szCs w:val="22"/>
          <w:color w:val="auto"/>
        </w:rPr>
      </w:pPr>
    </w:p>
    <w:p>
      <w:pPr>
        <w:ind w:left="2180" w:hanging="688"/>
        <w:spacing w:after="0"/>
        <w:tabs>
          <w:tab w:leader="none" w:pos="218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16(b)</w:t>
      </w:r>
      <w:r>
        <w:rPr>
          <w:rFonts w:ascii="Arial" w:cs="Arial" w:eastAsia="Arial" w:hAnsi="Arial"/>
          <w:sz w:val="22"/>
          <w:szCs w:val="22"/>
          <w:color w:val="auto"/>
        </w:rPr>
        <w:t>” means Section 16(b) of the Exchange Act.</w:t>
      </w:r>
    </w:p>
    <w:p>
      <w:pPr>
        <w:spacing w:after="0" w:line="152" w:lineRule="exact"/>
        <w:rPr>
          <w:rFonts w:ascii="Arial" w:cs="Arial" w:eastAsia="Arial" w:hAnsi="Arial"/>
          <w:sz w:val="22"/>
          <w:szCs w:val="22"/>
          <w:color w:val="auto"/>
        </w:rPr>
      </w:pPr>
    </w:p>
    <w:p>
      <w:pPr>
        <w:ind w:left="2240" w:hanging="748"/>
        <w:spacing w:after="0"/>
        <w:tabs>
          <w:tab w:leader="none" w:pos="224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152" w:lineRule="exact"/>
        <w:rPr>
          <w:rFonts w:ascii="Arial" w:cs="Arial" w:eastAsia="Arial" w:hAnsi="Arial"/>
          <w:sz w:val="22"/>
          <w:szCs w:val="22"/>
          <w:color w:val="auto"/>
        </w:rPr>
      </w:pPr>
    </w:p>
    <w:p>
      <w:pPr>
        <w:ind w:left="2180" w:hanging="688"/>
        <w:spacing w:after="0"/>
        <w:tabs>
          <w:tab w:leader="none" w:pos="2180" w:val="left"/>
        </w:tabs>
        <w:numPr>
          <w:ilvl w:val="2"/>
          <w:numId w:val="2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w:t>
      </w:r>
      <w:r>
        <w:rPr>
          <w:rFonts w:ascii="Arial" w:cs="Arial" w:eastAsia="Arial" w:hAnsi="Arial"/>
          <w:sz w:val="19"/>
          <w:szCs w:val="19"/>
          <w:color w:val="auto"/>
        </w:rPr>
        <w:t>” means a share of the Common Stock, as adjusted in accordance with Section 13 of the Plan.</w:t>
      </w:r>
    </w:p>
    <w:p>
      <w:pPr>
        <w:spacing w:after="0" w:line="186" w:lineRule="exact"/>
        <w:rPr>
          <w:rFonts w:ascii="Arial" w:cs="Arial" w:eastAsia="Arial" w:hAnsi="Arial"/>
          <w:sz w:val="19"/>
          <w:szCs w:val="19"/>
          <w:color w:val="auto"/>
        </w:rPr>
      </w:pPr>
    </w:p>
    <w:p>
      <w:pPr>
        <w:ind w:firstLine="1492"/>
        <w:spacing w:after="0" w:line="251" w:lineRule="auto"/>
        <w:tabs>
          <w:tab w:leader="none" w:pos="218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an Award, granted alone or in connection with an Option, that pursuant to Section 9 is designated as a Stock Appreciation Right.</w:t>
      </w:r>
    </w:p>
    <w:p>
      <w:pPr>
        <w:spacing w:after="0" w:line="119" w:lineRule="exact"/>
        <w:rPr>
          <w:rFonts w:ascii="Arial" w:cs="Arial" w:eastAsia="Arial" w:hAnsi="Arial"/>
          <w:sz w:val="22"/>
          <w:szCs w:val="22"/>
          <w:color w:val="auto"/>
        </w:rPr>
      </w:pPr>
    </w:p>
    <w:p>
      <w:pPr>
        <w:ind w:left="2560" w:hanging="1068"/>
        <w:spacing w:after="0"/>
        <w:tabs>
          <w:tab w:leader="none" w:pos="2560" w:val="left"/>
        </w:tabs>
        <w:numPr>
          <w:ilvl w:val="2"/>
          <w:numId w:val="2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a “subsidiary corporation”, whether now or hereafter existing, as defined in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424(f) of the Code.</w:t>
      </w:r>
    </w:p>
    <w:p>
      <w:pPr>
        <w:spacing w:after="0" w:line="134" w:lineRule="exact"/>
        <w:rPr>
          <w:rFonts w:ascii="Arial" w:cs="Arial" w:eastAsia="Arial" w:hAnsi="Arial"/>
          <w:sz w:val="21"/>
          <w:szCs w:val="21"/>
          <w:color w:val="auto"/>
        </w:rPr>
      </w:pPr>
    </w:p>
    <w:p>
      <w:pPr>
        <w:ind w:left="1400" w:hanging="593"/>
        <w:spacing w:after="0"/>
        <w:tabs>
          <w:tab w:leader="none" w:pos="1400" w:val="left"/>
        </w:tabs>
        <w:numPr>
          <w:ilvl w:val="1"/>
          <w:numId w:val="252"/>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line="271" w:lineRule="auto"/>
        <w:tabs>
          <w:tab w:leader="none" w:pos="2290" w:val="left"/>
        </w:tabs>
        <w:numPr>
          <w:ilvl w:val="2"/>
          <w:numId w:val="252"/>
        </w:numPr>
        <w:rPr>
          <w:rFonts w:ascii="Arial" w:cs="Arial" w:eastAsia="Arial" w:hAnsi="Arial"/>
          <w:sz w:val="19"/>
          <w:szCs w:val="19"/>
          <w:color w:val="auto"/>
        </w:rPr>
      </w:pPr>
      <w:r>
        <w:rPr>
          <w:rFonts w:ascii="Arial" w:cs="Arial" w:eastAsia="Arial" w:hAnsi="Arial"/>
          <w:sz w:val="19"/>
          <w:szCs w:val="19"/>
          <w:u w:val="single" w:color="auto"/>
          <w:color w:val="auto"/>
        </w:rPr>
        <w:t>Stock Subject to the Plan</w:t>
      </w:r>
      <w:r>
        <w:rPr>
          <w:rFonts w:ascii="Arial" w:cs="Arial" w:eastAsia="Arial" w:hAnsi="Arial"/>
          <w:sz w:val="19"/>
          <w:szCs w:val="19"/>
          <w:color w:val="auto"/>
        </w:rPr>
        <w:t>. Subject to the provisions of Section 13 of the Plan, the maximum aggregate number of Shares that may be issued under the Plan is 1,250,000 Shares, plus (i) any Shares that, as of the Registration Date, have been reserved but not issued pursuant to any awards granted under the Fluidigm Corporation 1999 Stock Option Plan and the Fluidigm Corporation 2009 Equity Incentive Plan (the “</w:t>
      </w:r>
      <w:r>
        <w:rPr>
          <w:rFonts w:ascii="Arial" w:cs="Arial" w:eastAsia="Arial" w:hAnsi="Arial"/>
          <w:sz w:val="19"/>
          <w:szCs w:val="19"/>
          <w:u w:val="single" w:color="auto"/>
          <w:color w:val="auto"/>
        </w:rPr>
        <w:t>Existing Plans</w:t>
      </w:r>
      <w:r>
        <w:rPr>
          <w:rFonts w:ascii="Arial" w:cs="Arial" w:eastAsia="Arial" w:hAnsi="Arial"/>
          <w:sz w:val="19"/>
          <w:szCs w:val="19"/>
          <w:color w:val="auto"/>
        </w:rPr>
        <w:t>”) and are not subject to any awards granted thereunder, and</w:t>
      </w:r>
    </w:p>
    <w:p>
      <w:pPr>
        <w:spacing w:after="0" w:line="3" w:lineRule="exact"/>
        <w:rPr>
          <w:rFonts w:ascii="Arial" w:cs="Arial" w:eastAsia="Arial" w:hAnsi="Arial"/>
          <w:sz w:val="19"/>
          <w:szCs w:val="19"/>
          <w:color w:val="auto"/>
        </w:rPr>
      </w:pPr>
    </w:p>
    <w:p>
      <w:pPr>
        <w:jc w:val="both"/>
        <w:ind w:firstLine="8"/>
        <w:spacing w:after="0" w:line="280" w:lineRule="auto"/>
        <w:tabs>
          <w:tab w:leader="none" w:pos="35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any Shares subject to stock options or similar awards granted under the Existing Plans that expire or otherwise terminate without having been exercised in full and Shares issued pursuant to awards granted under the Existing Plans that are forfeited to or repurchased by the Company, with the maximum number of Shares to be added to the Plan pursuant to clauses (i) and (ii) equal to 3,022,096 Shares. The Shares may be authorized, but unissued, or reacquired Common Stock.</w:t>
      </w:r>
    </w:p>
    <w:p>
      <w:pPr>
        <w:spacing w:after="0" w:line="96" w:lineRule="exact"/>
        <w:rPr>
          <w:rFonts w:ascii="Arial" w:cs="Arial" w:eastAsia="Arial" w:hAnsi="Arial"/>
          <w:sz w:val="19"/>
          <w:szCs w:val="19"/>
          <w:color w:val="auto"/>
        </w:rPr>
      </w:pPr>
    </w:p>
    <w:p>
      <w:pPr>
        <w:ind w:right="20" w:firstLine="1492"/>
        <w:spacing w:after="0" w:line="251" w:lineRule="auto"/>
        <w:tabs>
          <w:tab w:leader="none" w:pos="2289" w:val="left"/>
        </w:tabs>
        <w:numPr>
          <w:ilvl w:val="2"/>
          <w:numId w:val="253"/>
        </w:numPr>
        <w:rPr>
          <w:rFonts w:ascii="Arial" w:cs="Arial" w:eastAsia="Arial" w:hAnsi="Arial"/>
          <w:sz w:val="22"/>
          <w:szCs w:val="22"/>
          <w:color w:val="auto"/>
        </w:rPr>
      </w:pPr>
      <w:r>
        <w:rPr>
          <w:rFonts w:ascii="Arial" w:cs="Arial" w:eastAsia="Arial" w:hAnsi="Arial"/>
          <w:sz w:val="22"/>
          <w:szCs w:val="22"/>
          <w:u w:val="single" w:color="auto"/>
          <w:color w:val="auto"/>
        </w:rPr>
        <w:t>Automatic Share Reserve Increase</w:t>
      </w:r>
      <w:r>
        <w:rPr>
          <w:rFonts w:ascii="Arial" w:cs="Arial" w:eastAsia="Arial" w:hAnsi="Arial"/>
          <w:sz w:val="22"/>
          <w:szCs w:val="22"/>
          <w:color w:val="auto"/>
        </w:rPr>
        <w:t>. The number of Shares available for issuance under the Plan will be increased on the first day of each Fiscal Year beginning with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6" w:right="239" w:bottom="1440" w:gutter="0" w:footer="0" w:header="0"/>
        </w:sectPr>
      </w:pPr>
    </w:p>
    <w:bookmarkStart w:id="308" w:name="page309"/>
    <w:bookmarkEnd w:id="308"/>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2012 Fiscal Year, in an amount equal to the least of (i) 1,000,000 Shares, (ii) 4% of the outstanding Shares on the last day of the immediately preceding Fiscal Year or (iii) such number of Shares determined by the Board.</w:t>
      </w:r>
    </w:p>
    <w:p>
      <w:pPr>
        <w:spacing w:after="0" w:line="119" w:lineRule="exact"/>
        <w:rPr>
          <w:sz w:val="20"/>
          <w:szCs w:val="20"/>
          <w:color w:val="auto"/>
        </w:rPr>
      </w:pPr>
    </w:p>
    <w:p>
      <w:pPr>
        <w:jc w:val="both"/>
        <w:ind w:firstLine="1492"/>
        <w:spacing w:after="0" w:line="270" w:lineRule="auto"/>
        <w:tabs>
          <w:tab w:leader="none" w:pos="2263" w:val="left"/>
        </w:tabs>
        <w:numPr>
          <w:ilvl w:val="1"/>
          <w:numId w:val="254"/>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16" w:lineRule="exact"/>
        <w:rPr>
          <w:rFonts w:ascii="Arial" w:cs="Arial" w:eastAsia="Arial" w:hAnsi="Arial"/>
          <w:sz w:val="19"/>
          <w:szCs w:val="19"/>
          <w:color w:val="auto"/>
        </w:rPr>
      </w:pPr>
    </w:p>
    <w:p>
      <w:pPr>
        <w:ind w:firstLine="1492"/>
        <w:spacing w:after="0" w:line="251" w:lineRule="auto"/>
        <w:tabs>
          <w:tab w:leader="none" w:pos="2289" w:val="left"/>
        </w:tabs>
        <w:numPr>
          <w:ilvl w:val="1"/>
          <w:numId w:val="254"/>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19" w:lineRule="exact"/>
        <w:rPr>
          <w:rFonts w:ascii="Arial" w:cs="Arial" w:eastAsia="Arial" w:hAnsi="Arial"/>
          <w:sz w:val="22"/>
          <w:szCs w:val="22"/>
          <w:color w:val="auto"/>
        </w:rPr>
      </w:pPr>
    </w:p>
    <w:p>
      <w:pPr>
        <w:ind w:left="1400" w:hanging="593"/>
        <w:spacing w:after="0"/>
        <w:tabs>
          <w:tab w:leader="none" w:pos="1400"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2160" w:hanging="668"/>
        <w:spacing w:after="0"/>
        <w:tabs>
          <w:tab w:leader="none" w:pos="2160" w:val="left"/>
        </w:tabs>
        <w:numPr>
          <w:ilvl w:val="1"/>
          <w:numId w:val="255"/>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firstLine="2404"/>
        <w:spacing w:after="0" w:line="251" w:lineRule="auto"/>
        <w:tabs>
          <w:tab w:leader="none" w:pos="2938" w:val="left"/>
        </w:tabs>
        <w:numPr>
          <w:ilvl w:val="3"/>
          <w:numId w:val="255"/>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19" w:lineRule="exact"/>
        <w:rPr>
          <w:rFonts w:ascii="Arial" w:cs="Arial" w:eastAsia="Arial" w:hAnsi="Arial"/>
          <w:sz w:val="22"/>
          <w:szCs w:val="22"/>
          <w:color w:val="auto"/>
        </w:rPr>
      </w:pPr>
    </w:p>
    <w:p>
      <w:pPr>
        <w:jc w:val="both"/>
        <w:ind w:firstLine="2290"/>
        <w:spacing w:after="0" w:line="297" w:lineRule="auto"/>
        <w:tabs>
          <w:tab w:leader="none" w:pos="3046" w:val="left"/>
        </w:tabs>
        <w:numPr>
          <w:ilvl w:val="2"/>
          <w:numId w:val="255"/>
        </w:numPr>
        <w:rPr>
          <w:rFonts w:ascii="Arial" w:cs="Arial" w:eastAsia="Arial" w:hAnsi="Arial"/>
          <w:sz w:val="19"/>
          <w:szCs w:val="19"/>
          <w:color w:val="auto"/>
        </w:rPr>
      </w:pPr>
      <w:r>
        <w:rPr>
          <w:rFonts w:ascii="Arial" w:cs="Arial" w:eastAsia="Arial" w:hAnsi="Arial"/>
          <w:sz w:val="19"/>
          <w:szCs w:val="19"/>
          <w:u w:val="single" w:color="auto"/>
          <w:color w:val="auto"/>
        </w:rPr>
        <w:t>Section 162(m)</w:t>
      </w:r>
      <w:r>
        <w:rPr>
          <w:rFonts w:ascii="Arial" w:cs="Arial" w:eastAsia="Arial" w:hAnsi="Arial"/>
          <w:sz w:val="19"/>
          <w:szCs w:val="19"/>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80" w:lineRule="exact"/>
        <w:rPr>
          <w:rFonts w:ascii="Arial" w:cs="Arial" w:eastAsia="Arial" w:hAnsi="Arial"/>
          <w:sz w:val="19"/>
          <w:szCs w:val="19"/>
          <w:color w:val="auto"/>
        </w:rPr>
      </w:pPr>
    </w:p>
    <w:p>
      <w:pPr>
        <w:ind w:right="20" w:firstLine="2290"/>
        <w:spacing w:after="0" w:line="328" w:lineRule="auto"/>
        <w:tabs>
          <w:tab w:leader="none" w:pos="2930" w:val="left"/>
        </w:tabs>
        <w:numPr>
          <w:ilvl w:val="2"/>
          <w:numId w:val="255"/>
        </w:numPr>
        <w:rPr>
          <w:rFonts w:ascii="Arial" w:cs="Arial" w:eastAsia="Arial" w:hAnsi="Arial"/>
          <w:sz w:val="19"/>
          <w:szCs w:val="19"/>
          <w:color w:val="auto"/>
        </w:rPr>
      </w:pPr>
      <w:r>
        <w:rPr>
          <w:rFonts w:ascii="Arial" w:cs="Arial" w:eastAsia="Arial" w:hAnsi="Arial"/>
          <w:sz w:val="19"/>
          <w:szCs w:val="19"/>
          <w:u w:val="single" w:color="auto"/>
          <w:color w:val="auto"/>
        </w:rPr>
        <w:t>Rule 16b-3</w:t>
      </w:r>
      <w:r>
        <w:rPr>
          <w:rFonts w:ascii="Arial" w:cs="Arial" w:eastAsia="Arial" w:hAnsi="Arial"/>
          <w:sz w:val="19"/>
          <w:szCs w:val="19"/>
          <w:color w:val="auto"/>
        </w:rPr>
        <w:t>. To the extent desirable to qualify transactions hereunder as exempt under Rule 16b-3, the transactions contemplated hereunder will be structured to satisfy the requirements for exemption under Rule 16b-3.</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309" w:name="page310"/>
    <w:bookmarkEnd w:id="309"/>
    <w:p>
      <w:pPr>
        <w:ind w:right="20" w:firstLine="2290"/>
        <w:spacing w:after="0" w:line="251" w:lineRule="auto"/>
        <w:tabs>
          <w:tab w:leader="none" w:pos="3040" w:val="left"/>
        </w:tabs>
        <w:numPr>
          <w:ilvl w:val="1"/>
          <w:numId w:val="25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Administration</w:t>
      </w:r>
      <w:r>
        <w:rPr>
          <w:rFonts w:ascii="Arial" w:cs="Arial" w:eastAsia="Arial" w:hAnsi="Arial"/>
          <w:sz w:val="22"/>
          <w:szCs w:val="22"/>
          <w:color w:val="auto"/>
        </w:rPr>
        <w:t>. Other than as provided above, the Plan will be administered by (A) the Board or (B) a Committee, which committee will be constituted to satisfy Applicable Laws.</w:t>
      </w:r>
    </w:p>
    <w:p>
      <w:pPr>
        <w:spacing w:after="0" w:line="119" w:lineRule="exact"/>
        <w:rPr>
          <w:rFonts w:ascii="Arial" w:cs="Arial" w:eastAsia="Arial" w:hAnsi="Arial"/>
          <w:sz w:val="22"/>
          <w:szCs w:val="22"/>
          <w:color w:val="auto"/>
        </w:rPr>
      </w:pPr>
    </w:p>
    <w:p>
      <w:pPr>
        <w:ind w:firstLine="1492"/>
        <w:spacing w:after="0" w:line="328" w:lineRule="auto"/>
        <w:tabs>
          <w:tab w:leader="none" w:pos="2181"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subject to the specific duties delegated by the Board to such Committee, the Administrator will have the authority, in its discretion:</w:t>
      </w:r>
    </w:p>
    <w:p>
      <w:pPr>
        <w:spacing w:after="0" w:line="51" w:lineRule="exact"/>
        <w:rPr>
          <w:rFonts w:ascii="Arial" w:cs="Arial" w:eastAsia="Arial" w:hAnsi="Arial"/>
          <w:sz w:val="19"/>
          <w:szCs w:val="19"/>
          <w:color w:val="auto"/>
        </w:rPr>
      </w:pPr>
    </w:p>
    <w:p>
      <w:pPr>
        <w:ind w:left="2940" w:hanging="536"/>
        <w:spacing w:after="0"/>
        <w:tabs>
          <w:tab w:leader="none" w:pos="294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152" w:lineRule="exact"/>
        <w:rPr>
          <w:rFonts w:ascii="Arial" w:cs="Arial" w:eastAsia="Arial" w:hAnsi="Arial"/>
          <w:sz w:val="22"/>
          <w:szCs w:val="22"/>
          <w:color w:val="auto"/>
        </w:rPr>
      </w:pPr>
    </w:p>
    <w:p>
      <w:pPr>
        <w:ind w:left="2880" w:hanging="590"/>
        <w:spacing w:after="0"/>
        <w:tabs>
          <w:tab w:leader="none" w:pos="28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select the Service Providers to whom Awards may be granted hereunder;</w:t>
      </w:r>
    </w:p>
    <w:p>
      <w:pPr>
        <w:spacing w:after="0" w:line="152" w:lineRule="exact"/>
        <w:rPr>
          <w:rFonts w:ascii="Arial" w:cs="Arial" w:eastAsia="Arial" w:hAnsi="Arial"/>
          <w:sz w:val="22"/>
          <w:szCs w:val="22"/>
          <w:color w:val="auto"/>
        </w:rPr>
      </w:pPr>
    </w:p>
    <w:p>
      <w:pPr>
        <w:ind w:left="2880" w:hanging="590"/>
        <w:spacing w:after="0"/>
        <w:tabs>
          <w:tab w:leader="none" w:pos="28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 hereunder;</w:t>
      </w:r>
    </w:p>
    <w:p>
      <w:pPr>
        <w:spacing w:after="0" w:line="152" w:lineRule="exact"/>
        <w:rPr>
          <w:rFonts w:ascii="Arial" w:cs="Arial" w:eastAsia="Arial" w:hAnsi="Arial"/>
          <w:sz w:val="22"/>
          <w:szCs w:val="22"/>
          <w:color w:val="auto"/>
        </w:rPr>
      </w:pPr>
    </w:p>
    <w:p>
      <w:pPr>
        <w:ind w:left="2880" w:hanging="590"/>
        <w:spacing w:after="0"/>
        <w:tabs>
          <w:tab w:leader="none" w:pos="28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152" w:lineRule="exact"/>
        <w:rPr>
          <w:rFonts w:ascii="Arial" w:cs="Arial" w:eastAsia="Arial" w:hAnsi="Arial"/>
          <w:sz w:val="22"/>
          <w:szCs w:val="22"/>
          <w:color w:val="auto"/>
        </w:rPr>
      </w:pPr>
    </w:p>
    <w:p>
      <w:pPr>
        <w:jc w:val="both"/>
        <w:ind w:firstLine="2290"/>
        <w:spacing w:after="0" w:line="236" w:lineRule="auto"/>
        <w:tabs>
          <w:tab w:leader="none" w:pos="2928"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33" w:lineRule="exact"/>
        <w:rPr>
          <w:rFonts w:ascii="Arial" w:cs="Arial" w:eastAsia="Arial" w:hAnsi="Arial"/>
          <w:sz w:val="22"/>
          <w:szCs w:val="22"/>
          <w:color w:val="auto"/>
        </w:rPr>
      </w:pPr>
    </w:p>
    <w:p>
      <w:pPr>
        <w:ind w:left="2880" w:hanging="590"/>
        <w:spacing w:after="0"/>
        <w:tabs>
          <w:tab w:leader="none" w:pos="28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determine the terms and conditions of any, and to institute any Exchange Program;</w:t>
      </w:r>
    </w:p>
    <w:p>
      <w:pPr>
        <w:spacing w:after="0" w:line="152" w:lineRule="exact"/>
        <w:rPr>
          <w:rFonts w:ascii="Arial" w:cs="Arial" w:eastAsia="Arial" w:hAnsi="Arial"/>
          <w:sz w:val="22"/>
          <w:szCs w:val="22"/>
          <w:color w:val="auto"/>
        </w:rPr>
      </w:pPr>
    </w:p>
    <w:p>
      <w:pPr>
        <w:ind w:left="2940" w:hanging="650"/>
        <w:spacing w:after="0"/>
        <w:tabs>
          <w:tab w:leader="none" w:pos="294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to construe and interpret the terms of the Plan and Awards granted pursuant to the Plan;</w:t>
      </w:r>
    </w:p>
    <w:p>
      <w:pPr>
        <w:spacing w:after="0" w:line="163" w:lineRule="exact"/>
        <w:rPr>
          <w:rFonts w:ascii="Arial" w:cs="Arial" w:eastAsia="Arial" w:hAnsi="Arial"/>
          <w:sz w:val="21"/>
          <w:szCs w:val="21"/>
          <w:color w:val="auto"/>
        </w:rPr>
      </w:pPr>
    </w:p>
    <w:p>
      <w:pPr>
        <w:jc w:val="both"/>
        <w:ind w:firstLine="2290"/>
        <w:spacing w:after="0"/>
        <w:tabs>
          <w:tab w:leader="none" w:pos="3024"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32" w:lineRule="exact"/>
        <w:rPr>
          <w:rFonts w:ascii="Arial" w:cs="Arial" w:eastAsia="Arial" w:hAnsi="Arial"/>
          <w:sz w:val="22"/>
          <w:szCs w:val="22"/>
          <w:color w:val="auto"/>
        </w:rPr>
      </w:pPr>
    </w:p>
    <w:p>
      <w:pPr>
        <w:jc w:val="both"/>
        <w:ind w:firstLine="2290"/>
        <w:spacing w:after="0"/>
        <w:tabs>
          <w:tab w:leader="none" w:pos="298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32" w:lineRule="exact"/>
        <w:rPr>
          <w:rFonts w:ascii="Arial" w:cs="Arial" w:eastAsia="Arial" w:hAnsi="Arial"/>
          <w:sz w:val="22"/>
          <w:szCs w:val="22"/>
          <w:color w:val="auto"/>
        </w:rPr>
      </w:pPr>
    </w:p>
    <w:p>
      <w:pPr>
        <w:ind w:left="3100" w:hanging="810"/>
        <w:spacing w:after="0"/>
        <w:tabs>
          <w:tab w:leader="none" w:pos="31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to allow Participants to satisfy withholding tax obligations in such manner as prescribed in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14 of the Plan;</w:t>
      </w:r>
    </w:p>
    <w:p>
      <w:pPr>
        <w:spacing w:after="0" w:line="134" w:lineRule="exact"/>
        <w:rPr>
          <w:rFonts w:ascii="Arial" w:cs="Arial" w:eastAsia="Arial" w:hAnsi="Arial"/>
          <w:sz w:val="21"/>
          <w:szCs w:val="21"/>
          <w:color w:val="auto"/>
        </w:rPr>
      </w:pPr>
    </w:p>
    <w:p>
      <w:pPr>
        <w:ind w:right="20" w:firstLine="2290"/>
        <w:spacing w:after="0" w:line="251" w:lineRule="auto"/>
        <w:tabs>
          <w:tab w:leader="none" w:pos="292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effect the grant of an Award previously granted by the Administrator;</w:t>
      </w:r>
    </w:p>
    <w:p>
      <w:pPr>
        <w:spacing w:after="0" w:line="119" w:lineRule="exact"/>
        <w:rPr>
          <w:rFonts w:ascii="Arial" w:cs="Arial" w:eastAsia="Arial" w:hAnsi="Arial"/>
          <w:sz w:val="22"/>
          <w:szCs w:val="22"/>
          <w:color w:val="auto"/>
        </w:rPr>
      </w:pPr>
    </w:p>
    <w:p>
      <w:pPr>
        <w:ind w:firstLine="2290"/>
        <w:spacing w:after="0" w:line="251" w:lineRule="auto"/>
        <w:tabs>
          <w:tab w:leader="none" w:pos="3007"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to allow a Participant to defer the receipt of the payment of cash or the delivery of Shares that would otherwise be due to such Participant under an Award;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20" w:right="239" w:bottom="1440" w:gutter="0" w:footer="0" w:header="0"/>
        </w:sectPr>
      </w:pPr>
    </w:p>
    <w:bookmarkStart w:id="310" w:name="page311"/>
    <w:bookmarkEnd w:id="310"/>
    <w:p>
      <w:pPr>
        <w:ind w:left="3000" w:hanging="710"/>
        <w:spacing w:after="0"/>
        <w:tabs>
          <w:tab w:leader="none" w:pos="3000" w:val="left"/>
        </w:tabs>
        <w:numPr>
          <w:ilvl w:val="2"/>
          <w:numId w:val="25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all other determinations deemed necessary or advisable for administering the Plan.</w:t>
      </w:r>
    </w:p>
    <w:p>
      <w:pPr>
        <w:spacing w:after="0" w:line="186" w:lineRule="exact"/>
        <w:rPr>
          <w:rFonts w:ascii="Arial" w:cs="Arial" w:eastAsia="Arial" w:hAnsi="Arial"/>
          <w:sz w:val="19"/>
          <w:szCs w:val="19"/>
          <w:color w:val="auto"/>
        </w:rPr>
      </w:pPr>
    </w:p>
    <w:p>
      <w:pPr>
        <w:ind w:firstLine="1492"/>
        <w:spacing w:after="0" w:line="251" w:lineRule="auto"/>
        <w:tabs>
          <w:tab w:leader="none" w:pos="2196" w:val="left"/>
        </w:tabs>
        <w:numPr>
          <w:ilvl w:val="1"/>
          <w:numId w:val="259"/>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119" w:lineRule="exact"/>
        <w:rPr>
          <w:rFonts w:ascii="Arial" w:cs="Arial" w:eastAsia="Arial" w:hAnsi="Arial"/>
          <w:sz w:val="22"/>
          <w:szCs w:val="22"/>
          <w:color w:val="auto"/>
        </w:rPr>
      </w:pPr>
    </w:p>
    <w:p>
      <w:pPr>
        <w:jc w:val="both"/>
        <w:ind w:firstLine="807"/>
        <w:spacing w:after="0"/>
        <w:tabs>
          <w:tab w:leader="none" w:pos="1636"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32" w:lineRule="exact"/>
        <w:rPr>
          <w:rFonts w:ascii="Arial" w:cs="Arial" w:eastAsia="Arial" w:hAnsi="Arial"/>
          <w:sz w:val="22"/>
          <w:szCs w:val="22"/>
          <w:color w:val="auto"/>
        </w:rPr>
      </w:pPr>
    </w:p>
    <w:p>
      <w:pPr>
        <w:ind w:left="1400" w:hanging="593"/>
        <w:spacing w:after="0"/>
        <w:tabs>
          <w:tab w:leader="none" w:pos="140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line="247" w:lineRule="auto"/>
        <w:tabs>
          <w:tab w:leader="none" w:pos="2209" w:val="left"/>
        </w:tabs>
        <w:numPr>
          <w:ilvl w:val="1"/>
          <w:numId w:val="260"/>
        </w:numPr>
        <w:rPr>
          <w:rFonts w:ascii="Arial" w:cs="Arial" w:eastAsia="Arial" w:hAnsi="Arial"/>
          <w:sz w:val="21"/>
          <w:szCs w:val="21"/>
          <w:color w:val="auto"/>
        </w:rPr>
      </w:pPr>
      <w:r>
        <w:rPr>
          <w:rFonts w:ascii="Arial" w:cs="Arial" w:eastAsia="Arial" w:hAnsi="Arial"/>
          <w:sz w:val="21"/>
          <w:szCs w:val="21"/>
          <w:u w:val="single" w:color="auto"/>
          <w:color w:val="auto"/>
        </w:rPr>
        <w:t>Limitations</w:t>
      </w:r>
      <w:r>
        <w:rPr>
          <w:rFonts w:ascii="Arial" w:cs="Arial" w:eastAsia="Arial" w:hAnsi="Arial"/>
          <w:sz w:val="21"/>
          <w:szCs w:val="21"/>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24" w:lineRule="exact"/>
        <w:rPr>
          <w:rFonts w:ascii="Arial" w:cs="Arial" w:eastAsia="Arial" w:hAnsi="Arial"/>
          <w:sz w:val="21"/>
          <w:szCs w:val="21"/>
          <w:color w:val="auto"/>
        </w:rPr>
      </w:pPr>
    </w:p>
    <w:p>
      <w:pPr>
        <w:jc w:val="both"/>
        <w:ind w:firstLine="1492"/>
        <w:spacing w:after="0" w:line="248" w:lineRule="auto"/>
        <w:tabs>
          <w:tab w:leader="none" w:pos="2397" w:val="left"/>
        </w:tabs>
        <w:numPr>
          <w:ilvl w:val="1"/>
          <w:numId w:val="260"/>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3" w:lineRule="exact"/>
        <w:rPr>
          <w:rFonts w:ascii="Arial" w:cs="Arial" w:eastAsia="Arial" w:hAnsi="Arial"/>
          <w:sz w:val="21"/>
          <w:szCs w:val="21"/>
          <w:color w:val="auto"/>
        </w:rPr>
      </w:pPr>
    </w:p>
    <w:p>
      <w:pPr>
        <w:ind w:left="2160" w:hanging="668"/>
        <w:spacing w:after="0"/>
        <w:tabs>
          <w:tab w:leader="none" w:pos="2160" w:val="left"/>
        </w:tabs>
        <w:numPr>
          <w:ilvl w:val="1"/>
          <w:numId w:val="260"/>
        </w:numPr>
        <w:rPr>
          <w:rFonts w:ascii="Arial" w:cs="Arial" w:eastAsia="Arial" w:hAnsi="Arial"/>
          <w:sz w:val="22"/>
          <w:szCs w:val="22"/>
          <w:color w:val="auto"/>
        </w:rPr>
      </w:pPr>
      <w:r>
        <w:rPr>
          <w:rFonts w:ascii="Arial" w:cs="Arial" w:eastAsia="Arial" w:hAnsi="Arial"/>
          <w:sz w:val="22"/>
          <w:szCs w:val="22"/>
          <w:u w:val="single" w:color="auto"/>
          <w:color w:val="auto"/>
        </w:rPr>
        <w:t>Option Exercise Price and Consideration</w:t>
      </w:r>
      <w:r>
        <w:rPr>
          <w:rFonts w:ascii="Arial" w:cs="Arial" w:eastAsia="Arial" w:hAnsi="Arial"/>
          <w:sz w:val="22"/>
          <w:szCs w:val="22"/>
          <w:color w:val="auto"/>
        </w:rPr>
        <w:t>.</w:t>
      </w:r>
    </w:p>
    <w:p>
      <w:pPr>
        <w:spacing w:after="0" w:line="152" w:lineRule="exact"/>
        <w:rPr>
          <w:sz w:val="20"/>
          <w:szCs w:val="20"/>
          <w:color w:val="auto"/>
        </w:rPr>
      </w:pPr>
    </w:p>
    <w:p>
      <w:pPr>
        <w:ind w:firstLine="2404"/>
        <w:spacing w:after="0" w:line="251" w:lineRule="auto"/>
        <w:tabs>
          <w:tab w:leader="none" w:pos="2951" w:val="left"/>
        </w:tabs>
        <w:numPr>
          <w:ilvl w:val="1"/>
          <w:numId w:val="261"/>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pursuant to exercise of an Option will be determined by the Administrator, subject to the following:</w:t>
      </w:r>
    </w:p>
    <w:p>
      <w:pPr>
        <w:spacing w:after="0" w:line="119" w:lineRule="exact"/>
        <w:rPr>
          <w:rFonts w:ascii="Arial" w:cs="Arial" w:eastAsia="Arial" w:hAnsi="Arial"/>
          <w:sz w:val="22"/>
          <w:szCs w:val="22"/>
          <w:color w:val="auto"/>
        </w:rPr>
      </w:pPr>
    </w:p>
    <w:p>
      <w:pPr>
        <w:ind w:left="3760" w:hanging="677"/>
        <w:spacing w:after="0"/>
        <w:tabs>
          <w:tab w:leader="none" w:pos="3760" w:val="left"/>
        </w:tabs>
        <w:numPr>
          <w:ilvl w:val="2"/>
          <w:numId w:val="261"/>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152" w:lineRule="exact"/>
        <w:rPr>
          <w:rFonts w:ascii="Arial" w:cs="Arial" w:eastAsia="Arial" w:hAnsi="Arial"/>
          <w:sz w:val="22"/>
          <w:szCs w:val="22"/>
          <w:color w:val="auto"/>
        </w:rPr>
      </w:pPr>
    </w:p>
    <w:p>
      <w:pPr>
        <w:jc w:val="both"/>
        <w:ind w:firstLine="4064"/>
        <w:spacing w:after="0" w:line="238" w:lineRule="auto"/>
        <w:tabs>
          <w:tab w:leader="none" w:pos="4926" w:val="left"/>
        </w:tabs>
        <w:numPr>
          <w:ilvl w:val="3"/>
          <w:numId w:val="261"/>
        </w:numPr>
        <w:rPr>
          <w:rFonts w:ascii="Arial" w:cs="Arial" w:eastAsia="Arial" w:hAnsi="Arial"/>
          <w:sz w:val="22"/>
          <w:szCs w:val="22"/>
          <w:color w:val="auto"/>
        </w:rPr>
      </w:pPr>
      <w:r>
        <w:rPr>
          <w:rFonts w:ascii="Arial" w:cs="Arial" w:eastAsia="Arial" w:hAnsi="Arial"/>
          <w:sz w:val="22"/>
          <w:szCs w:val="2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31" w:lineRule="exact"/>
        <w:rPr>
          <w:rFonts w:ascii="Arial" w:cs="Arial" w:eastAsia="Arial" w:hAnsi="Arial"/>
          <w:sz w:val="22"/>
          <w:szCs w:val="22"/>
          <w:color w:val="auto"/>
        </w:rPr>
      </w:pPr>
    </w:p>
    <w:p>
      <w:pPr>
        <w:ind w:left="4860" w:hanging="814"/>
        <w:spacing w:after="0"/>
        <w:tabs>
          <w:tab w:leader="none" w:pos="4860" w:val="left"/>
        </w:tabs>
        <w:numPr>
          <w:ilvl w:val="3"/>
          <w:numId w:val="261"/>
        </w:numPr>
        <w:rPr>
          <w:rFonts w:ascii="Arial" w:cs="Arial" w:eastAsia="Arial" w:hAnsi="Arial"/>
          <w:sz w:val="19"/>
          <w:szCs w:val="19"/>
          <w:color w:val="auto"/>
        </w:rPr>
      </w:pPr>
      <w:r>
        <w:rPr>
          <w:rFonts w:ascii="Arial" w:cs="Arial" w:eastAsia="Arial" w:hAnsi="Arial"/>
          <w:sz w:val="19"/>
          <w:szCs w:val="19"/>
          <w:color w:val="auto"/>
        </w:rPr>
        <w:t>granted to any Employee other than an Employee described in paragraph</w:t>
      </w:r>
    </w:p>
    <w:p>
      <w:pPr>
        <w:spacing w:after="0" w:line="42" w:lineRule="exact"/>
        <w:rPr>
          <w:rFonts w:ascii="Arial" w:cs="Arial" w:eastAsia="Arial" w:hAnsi="Arial"/>
          <w:sz w:val="19"/>
          <w:szCs w:val="19"/>
          <w:color w:val="auto"/>
        </w:rPr>
      </w:pPr>
    </w:p>
    <w:p>
      <w:pPr>
        <w:ind w:right="20" w:firstLine="8"/>
        <w:spacing w:after="0" w:line="237" w:lineRule="auto"/>
        <w:tabs>
          <w:tab w:leader="none" w:pos="361" w:val="left"/>
        </w:tabs>
        <w:numPr>
          <w:ilvl w:val="0"/>
          <w:numId w:val="262"/>
        </w:numPr>
        <w:rPr>
          <w:rFonts w:ascii="Arial" w:cs="Arial" w:eastAsia="Arial" w:hAnsi="Arial"/>
          <w:sz w:val="22"/>
          <w:szCs w:val="22"/>
          <w:color w:val="auto"/>
        </w:rPr>
      </w:pPr>
      <w:r>
        <w:rPr>
          <w:rFonts w:ascii="Arial" w:cs="Arial" w:eastAsia="Arial" w:hAnsi="Arial"/>
          <w:sz w:val="22"/>
          <w:szCs w:val="22"/>
          <w:color w:val="auto"/>
        </w:rPr>
        <w:t>immediately above, the per Share exercise price will be no less than one hundred percent (100%) of the Fair Market Value per Share on the date of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6" w:right="239" w:bottom="1440" w:gutter="0" w:footer="0" w:header="0"/>
        </w:sectPr>
      </w:pPr>
    </w:p>
    <w:bookmarkStart w:id="311" w:name="page312"/>
    <w:bookmarkEnd w:id="311"/>
    <w:p>
      <w:pPr>
        <w:ind w:left="3820" w:hanging="725"/>
        <w:spacing w:after="0"/>
        <w:tabs>
          <w:tab w:leader="none" w:pos="3820" w:val="left"/>
        </w:tabs>
        <w:numPr>
          <w:ilvl w:val="4"/>
          <w:numId w:val="263"/>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Nonstatutory Stock Option, the per Share exercise price will be no less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one hundred percent (100%) of the Fair Market Value per Share on the date of grant.</w:t>
      </w:r>
    </w:p>
    <w:p>
      <w:pPr>
        <w:spacing w:after="0" w:line="134" w:lineRule="exact"/>
        <w:rPr>
          <w:rFonts w:ascii="Arial" w:cs="Arial" w:eastAsia="Arial" w:hAnsi="Arial"/>
          <w:sz w:val="19"/>
          <w:szCs w:val="19"/>
          <w:color w:val="auto"/>
        </w:rPr>
      </w:pPr>
    </w:p>
    <w:p>
      <w:pPr>
        <w:jc w:val="both"/>
        <w:ind w:firstLine="3093"/>
        <w:spacing w:after="0"/>
        <w:tabs>
          <w:tab w:leader="none" w:pos="3808" w:val="left"/>
        </w:tabs>
        <w:numPr>
          <w:ilvl w:val="4"/>
          <w:numId w:val="263"/>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32" w:lineRule="exact"/>
        <w:rPr>
          <w:rFonts w:ascii="Arial" w:cs="Arial" w:eastAsia="Arial" w:hAnsi="Arial"/>
          <w:sz w:val="22"/>
          <w:szCs w:val="22"/>
          <w:color w:val="auto"/>
        </w:rPr>
      </w:pPr>
    </w:p>
    <w:p>
      <w:pPr>
        <w:jc w:val="both"/>
        <w:ind w:firstLine="2290"/>
        <w:spacing w:after="0"/>
        <w:tabs>
          <w:tab w:leader="none" w:pos="2871" w:val="left"/>
        </w:tabs>
        <w:numPr>
          <w:ilvl w:val="2"/>
          <w:numId w:val="264"/>
        </w:numPr>
        <w:rPr>
          <w:rFonts w:ascii="Arial" w:cs="Arial" w:eastAsia="Arial" w:hAnsi="Arial"/>
          <w:sz w:val="22"/>
          <w:szCs w:val="22"/>
          <w:color w:val="auto"/>
        </w:rPr>
      </w:pP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32" w:lineRule="exact"/>
        <w:rPr>
          <w:rFonts w:ascii="Arial" w:cs="Arial" w:eastAsia="Arial" w:hAnsi="Arial"/>
          <w:sz w:val="22"/>
          <w:szCs w:val="22"/>
          <w:color w:val="auto"/>
        </w:rPr>
      </w:pPr>
    </w:p>
    <w:p>
      <w:pPr>
        <w:jc w:val="both"/>
        <w:ind w:firstLine="2290"/>
        <w:spacing w:after="0" w:line="273" w:lineRule="auto"/>
        <w:tabs>
          <w:tab w:leader="none" w:pos="3025" w:val="left"/>
        </w:tabs>
        <w:numPr>
          <w:ilvl w:val="2"/>
          <w:numId w:val="264"/>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spacing w:after="0" w:line="1" w:lineRule="exact"/>
        <w:rPr>
          <w:rFonts w:ascii="Arial" w:cs="Arial" w:eastAsia="Arial" w:hAnsi="Arial"/>
          <w:sz w:val="19"/>
          <w:szCs w:val="19"/>
          <w:color w:val="auto"/>
        </w:rPr>
      </w:pPr>
    </w:p>
    <w:p>
      <w:pPr>
        <w:jc w:val="both"/>
        <w:ind w:firstLine="8"/>
        <w:spacing w:after="0" w:line="267" w:lineRule="auto"/>
        <w:tabs>
          <w:tab w:leader="none" w:pos="323" w:val="left"/>
        </w:tabs>
        <w:numPr>
          <w:ilvl w:val="0"/>
          <w:numId w:val="265"/>
        </w:numPr>
        <w:rPr>
          <w:rFonts w:ascii="Arial" w:cs="Arial" w:eastAsia="Arial" w:hAnsi="Arial"/>
          <w:sz w:val="19"/>
          <w:szCs w:val="19"/>
          <w:color w:val="auto"/>
        </w:rPr>
      </w:pPr>
      <w:r>
        <w:rPr>
          <w:rFonts w:ascii="Arial" w:cs="Arial" w:eastAsia="Arial" w:hAnsi="Arial"/>
          <w:sz w:val="19"/>
          <w:szCs w:val="19"/>
          <w:color w:val="auto"/>
        </w:rPr>
        <w:t>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w:t>
      </w:r>
    </w:p>
    <w:p>
      <w:pPr>
        <w:ind w:left="340" w:hanging="332"/>
        <w:spacing w:after="0"/>
        <w:tabs>
          <w:tab w:leader="none" w:pos="34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such other consideration and method of payment for the issuance of Shares to the extent permitted by Applicable Laws; or</w:t>
      </w:r>
    </w:p>
    <w:p>
      <w:pPr>
        <w:spacing w:after="0" w:line="24" w:lineRule="exact"/>
        <w:rPr>
          <w:rFonts w:ascii="Arial" w:cs="Arial" w:eastAsia="Arial" w:hAnsi="Arial"/>
          <w:sz w:val="19"/>
          <w:szCs w:val="19"/>
          <w:color w:val="auto"/>
        </w:rPr>
      </w:pPr>
    </w:p>
    <w:p>
      <w:pPr>
        <w:ind w:left="320" w:hanging="312"/>
        <w:spacing w:after="0"/>
        <w:tabs>
          <w:tab w:leader="none" w:pos="3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134" w:lineRule="exact"/>
        <w:rPr>
          <w:rFonts w:ascii="Arial" w:cs="Arial" w:eastAsia="Arial" w:hAnsi="Arial"/>
          <w:sz w:val="22"/>
          <w:szCs w:val="22"/>
          <w:color w:val="auto"/>
        </w:rPr>
      </w:pPr>
    </w:p>
    <w:p>
      <w:pPr>
        <w:ind w:left="2180" w:hanging="688"/>
        <w:spacing w:after="0"/>
        <w:tabs>
          <w:tab w:leader="none" w:pos="2180" w:val="left"/>
        </w:tabs>
        <w:numPr>
          <w:ilvl w:val="1"/>
          <w:numId w:val="266"/>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2404"/>
        <w:spacing w:after="0"/>
        <w:tabs>
          <w:tab w:leader="none" w:pos="3235" w:val="left"/>
        </w:tabs>
        <w:numPr>
          <w:ilvl w:val="3"/>
          <w:numId w:val="266"/>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32" w:lineRule="exact"/>
        <w:rPr>
          <w:sz w:val="20"/>
          <w:szCs w:val="20"/>
          <w:color w:val="auto"/>
        </w:rPr>
      </w:pPr>
    </w:p>
    <w:p>
      <w:pPr>
        <w:jc w:val="both"/>
        <w:ind w:firstLine="3068"/>
        <w:spacing w:after="0" w:line="273" w:lineRule="auto"/>
        <w:rPr>
          <w:sz w:val="20"/>
          <w:szCs w:val="20"/>
          <w:color w:val="auto"/>
        </w:rPr>
      </w:pPr>
      <w:r>
        <w:rPr>
          <w:rFonts w:ascii="Arial" w:cs="Arial" w:eastAsia="Arial" w:hAnsi="Arial"/>
          <w:sz w:val="19"/>
          <w:szCs w:val="19"/>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21" w:right="239" w:bottom="1440" w:gutter="0" w:footer="0" w:header="0"/>
        </w:sectPr>
      </w:pPr>
    </w:p>
    <w:bookmarkStart w:id="312" w:name="page313"/>
    <w:bookmarkEnd w:id="312"/>
    <w:p>
      <w:pPr>
        <w:ind w:firstLine="2282"/>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Exercising an Option in any manner will decrease the number of Shares thereafter available, both for purposes of the Plan and for sale under the Option, by the number of Shares as to which the Option is exercised.</w:t>
      </w:r>
    </w:p>
    <w:p>
      <w:pPr>
        <w:spacing w:after="0" w:line="97" w:lineRule="exact"/>
        <w:rPr>
          <w:sz w:val="20"/>
          <w:szCs w:val="20"/>
          <w:color w:val="auto"/>
        </w:rPr>
      </w:pPr>
    </w:p>
    <w:p>
      <w:pPr>
        <w:jc w:val="both"/>
        <w:ind w:firstLine="2290"/>
        <w:spacing w:after="0" w:line="245" w:lineRule="auto"/>
        <w:tabs>
          <w:tab w:leader="none" w:pos="2884" w:val="left"/>
        </w:tabs>
        <w:numPr>
          <w:ilvl w:val="0"/>
          <w:numId w:val="267"/>
        </w:numPr>
        <w:rPr>
          <w:rFonts w:ascii="Arial" w:cs="Arial" w:eastAsia="Arial" w:hAnsi="Arial"/>
          <w:sz w:val="21"/>
          <w:szCs w:val="21"/>
          <w:color w:val="auto"/>
        </w:rPr>
      </w:pPr>
      <w:r>
        <w:rPr>
          <w:rFonts w:ascii="Arial" w:cs="Arial" w:eastAsia="Arial" w:hAnsi="Arial"/>
          <w:sz w:val="21"/>
          <w:szCs w:val="21"/>
          <w:u w:val="single" w:color="auto"/>
          <w:color w:val="auto"/>
        </w:rPr>
        <w:t>Termination of Relationship as a Service Provider</w:t>
      </w:r>
      <w:r>
        <w:rPr>
          <w:rFonts w:ascii="Arial" w:cs="Arial" w:eastAsia="Arial" w:hAnsi="Arial"/>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31" w:lineRule="exact"/>
        <w:rPr>
          <w:rFonts w:ascii="Arial" w:cs="Arial" w:eastAsia="Arial" w:hAnsi="Arial"/>
          <w:sz w:val="21"/>
          <w:szCs w:val="21"/>
          <w:color w:val="auto"/>
        </w:rPr>
      </w:pPr>
    </w:p>
    <w:p>
      <w:pPr>
        <w:jc w:val="both"/>
        <w:ind w:firstLine="2290"/>
        <w:spacing w:after="0" w:line="275" w:lineRule="auto"/>
        <w:tabs>
          <w:tab w:leader="none" w:pos="3147"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Disability of Participant</w:t>
      </w:r>
      <w:r>
        <w:rPr>
          <w:rFonts w:ascii="Arial" w:cs="Arial" w:eastAsia="Arial" w:hAnsi="Arial"/>
          <w:sz w:val="19"/>
          <w:szCs w:val="19"/>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04" w:lineRule="exact"/>
        <w:rPr>
          <w:rFonts w:ascii="Arial" w:cs="Arial" w:eastAsia="Arial" w:hAnsi="Arial"/>
          <w:sz w:val="19"/>
          <w:szCs w:val="19"/>
          <w:color w:val="auto"/>
        </w:rPr>
      </w:pPr>
    </w:p>
    <w:p>
      <w:pPr>
        <w:jc w:val="both"/>
        <w:ind w:firstLine="2290"/>
        <w:spacing w:after="0" w:line="273" w:lineRule="auto"/>
        <w:tabs>
          <w:tab w:leader="none" w:pos="2972"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20" w:right="239" w:bottom="1440" w:gutter="0" w:footer="0" w:header="0"/>
        </w:sectPr>
      </w:pPr>
    </w:p>
    <w:bookmarkStart w:id="313" w:name="page314"/>
    <w:bookmarkEnd w:id="313"/>
    <w:p>
      <w:pPr>
        <w:ind w:left="1400" w:hanging="593"/>
        <w:spacing w:after="0"/>
        <w:tabs>
          <w:tab w:leader="none" w:pos="1400" w:val="left"/>
        </w:tabs>
        <w:numPr>
          <w:ilvl w:val="0"/>
          <w:numId w:val="26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tabs>
          <w:tab w:leader="none" w:pos="2223"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2" w:lineRule="exact"/>
        <w:rPr>
          <w:rFonts w:ascii="Arial" w:cs="Arial" w:eastAsia="Arial" w:hAnsi="Arial"/>
          <w:sz w:val="22"/>
          <w:szCs w:val="22"/>
          <w:color w:val="auto"/>
        </w:rPr>
      </w:pPr>
    </w:p>
    <w:p>
      <w:pPr>
        <w:jc w:val="both"/>
        <w:ind w:firstLine="1492"/>
        <w:spacing w:after="0" w:line="238" w:lineRule="auto"/>
        <w:tabs>
          <w:tab w:leader="none" w:pos="2235"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Restricted Stock Agreement</w:t>
      </w:r>
      <w:r>
        <w:rPr>
          <w:rFonts w:ascii="Arial" w:cs="Arial" w:eastAsia="Arial" w:hAnsi="Arial"/>
          <w:sz w:val="22"/>
          <w:szCs w:val="22"/>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31" w:lineRule="exact"/>
        <w:rPr>
          <w:rFonts w:ascii="Arial" w:cs="Arial" w:eastAsia="Arial" w:hAnsi="Arial"/>
          <w:sz w:val="22"/>
          <w:szCs w:val="22"/>
          <w:color w:val="auto"/>
        </w:rPr>
      </w:pPr>
    </w:p>
    <w:p>
      <w:pPr>
        <w:jc w:val="both"/>
        <w:ind w:firstLine="1492"/>
        <w:spacing w:after="0"/>
        <w:tabs>
          <w:tab w:leader="none" w:pos="2209"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32" w:lineRule="exact"/>
        <w:rPr>
          <w:rFonts w:ascii="Arial" w:cs="Arial" w:eastAsia="Arial" w:hAnsi="Arial"/>
          <w:sz w:val="22"/>
          <w:szCs w:val="22"/>
          <w:color w:val="auto"/>
        </w:rPr>
      </w:pPr>
    </w:p>
    <w:p>
      <w:pPr>
        <w:ind w:firstLine="1492"/>
        <w:spacing w:after="0" w:line="251" w:lineRule="auto"/>
        <w:tabs>
          <w:tab w:leader="none" w:pos="2195"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Other Restrictions</w:t>
      </w:r>
      <w:r>
        <w:rPr>
          <w:rFonts w:ascii="Arial" w:cs="Arial" w:eastAsia="Arial" w:hAnsi="Arial"/>
          <w:sz w:val="22"/>
          <w:szCs w:val="22"/>
          <w:color w:val="auto"/>
        </w:rPr>
        <w:t>. The Administrator, in its sole discretion, may impose such other restrictions on Shares of Restricted Stock as it may deem advisable or appropriate.</w:t>
      </w:r>
    </w:p>
    <w:p>
      <w:pPr>
        <w:spacing w:after="0" w:line="119" w:lineRule="exact"/>
        <w:rPr>
          <w:rFonts w:ascii="Arial" w:cs="Arial" w:eastAsia="Arial" w:hAnsi="Arial"/>
          <w:sz w:val="22"/>
          <w:szCs w:val="22"/>
          <w:color w:val="auto"/>
        </w:rPr>
      </w:pPr>
    </w:p>
    <w:p>
      <w:pPr>
        <w:jc w:val="both"/>
        <w:ind w:firstLine="1492"/>
        <w:spacing w:after="0" w:line="238" w:lineRule="auto"/>
        <w:tabs>
          <w:tab w:leader="none" w:pos="2385" w:val="left"/>
        </w:tabs>
        <w:numPr>
          <w:ilvl w:val="1"/>
          <w:numId w:val="268"/>
        </w:numPr>
        <w:rPr>
          <w:rFonts w:ascii="Arial" w:cs="Arial" w:eastAsia="Arial" w:hAnsi="Arial"/>
          <w:sz w:val="22"/>
          <w:szCs w:val="22"/>
          <w:color w:val="auto"/>
        </w:rPr>
      </w:pPr>
      <w:r>
        <w:rPr>
          <w:rFonts w:ascii="Arial" w:cs="Arial" w:eastAsia="Arial" w:hAnsi="Arial"/>
          <w:sz w:val="22"/>
          <w:szCs w:val="22"/>
          <w:u w:val="single" w:color="auto"/>
          <w:color w:val="auto"/>
        </w:rPr>
        <w:t>Removal of Restrictions</w:t>
      </w:r>
      <w:r>
        <w:rPr>
          <w:rFonts w:ascii="Arial" w:cs="Arial" w:eastAsia="Arial" w:hAnsi="Arial"/>
          <w:sz w:val="22"/>
          <w:szCs w:val="22"/>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31" w:lineRule="exact"/>
        <w:rPr>
          <w:rFonts w:ascii="Arial" w:cs="Arial" w:eastAsia="Arial" w:hAnsi="Arial"/>
          <w:sz w:val="22"/>
          <w:szCs w:val="22"/>
          <w:color w:val="auto"/>
        </w:rPr>
      </w:pPr>
    </w:p>
    <w:p>
      <w:pPr>
        <w:ind w:firstLine="1492"/>
        <w:spacing w:after="0" w:line="328" w:lineRule="auto"/>
        <w:tabs>
          <w:tab w:leader="none" w:pos="2321" w:val="left"/>
        </w:tabs>
        <w:numPr>
          <w:ilvl w:val="1"/>
          <w:numId w:val="268"/>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During the Period of Restriction, Service Providers holding Shares of Restricted Stock granted hereunder may exercise full voting rights with respect to those Shares, unless the Administrator determines otherwise.</w:t>
      </w:r>
    </w:p>
    <w:p>
      <w:pPr>
        <w:spacing w:after="0" w:line="51" w:lineRule="exact"/>
        <w:rPr>
          <w:rFonts w:ascii="Arial" w:cs="Arial" w:eastAsia="Arial" w:hAnsi="Arial"/>
          <w:sz w:val="19"/>
          <w:szCs w:val="19"/>
          <w:color w:val="auto"/>
        </w:rPr>
      </w:pPr>
    </w:p>
    <w:p>
      <w:pPr>
        <w:jc w:val="both"/>
        <w:ind w:firstLine="1492"/>
        <w:spacing w:after="0" w:line="287" w:lineRule="auto"/>
        <w:tabs>
          <w:tab w:leader="none" w:pos="2222" w:val="left"/>
        </w:tabs>
        <w:numPr>
          <w:ilvl w:val="1"/>
          <w:numId w:val="268"/>
        </w:numPr>
        <w:rPr>
          <w:rFonts w:ascii="Arial" w:cs="Arial" w:eastAsia="Arial" w:hAnsi="Arial"/>
          <w:sz w:val="19"/>
          <w:szCs w:val="19"/>
          <w:color w:val="auto"/>
        </w:rPr>
      </w:pPr>
      <w:r>
        <w:rPr>
          <w:rFonts w:ascii="Arial" w:cs="Arial" w:eastAsia="Arial" w:hAnsi="Arial"/>
          <w:sz w:val="19"/>
          <w:szCs w:val="19"/>
          <w:u w:val="single" w:color="auto"/>
          <w:color w:val="auto"/>
        </w:rPr>
        <w:t>Dividends and Other Distributions</w:t>
      </w:r>
      <w:r>
        <w:rPr>
          <w:rFonts w:ascii="Arial" w:cs="Arial" w:eastAsia="Arial" w:hAnsi="Arial"/>
          <w:sz w:val="19"/>
          <w:szCs w:val="19"/>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89" w:lineRule="exact"/>
        <w:rPr>
          <w:rFonts w:ascii="Arial" w:cs="Arial" w:eastAsia="Arial" w:hAnsi="Arial"/>
          <w:sz w:val="19"/>
          <w:szCs w:val="19"/>
          <w:color w:val="auto"/>
        </w:rPr>
      </w:pPr>
    </w:p>
    <w:p>
      <w:pPr>
        <w:ind w:firstLine="1492"/>
        <w:spacing w:after="0" w:line="328" w:lineRule="auto"/>
        <w:tabs>
          <w:tab w:leader="none" w:pos="2316" w:val="left"/>
        </w:tabs>
        <w:numPr>
          <w:ilvl w:val="1"/>
          <w:numId w:val="268"/>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20" w:right="239" w:bottom="1440" w:gutter="0" w:footer="0" w:header="0"/>
        </w:sectPr>
      </w:pPr>
    </w:p>
    <w:bookmarkStart w:id="314" w:name="page315"/>
    <w:bookmarkEnd w:id="314"/>
    <w:p>
      <w:pPr>
        <w:ind w:left="1400" w:hanging="593"/>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line="238" w:lineRule="auto"/>
        <w:tabs>
          <w:tab w:leader="none" w:pos="2304"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31" w:lineRule="exact"/>
        <w:rPr>
          <w:rFonts w:ascii="Arial" w:cs="Arial" w:eastAsia="Arial" w:hAnsi="Arial"/>
          <w:sz w:val="22"/>
          <w:szCs w:val="22"/>
          <w:color w:val="auto"/>
        </w:rPr>
      </w:pPr>
    </w:p>
    <w:p>
      <w:pPr>
        <w:jc w:val="both"/>
        <w:ind w:firstLine="1492"/>
        <w:spacing w:after="0" w:line="236" w:lineRule="auto"/>
        <w:tabs>
          <w:tab w:leader="none" w:pos="2370"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Vesting Criteria and Other Terms</w:t>
      </w:r>
      <w:r>
        <w:rPr>
          <w:rFonts w:ascii="Arial" w:cs="Arial" w:eastAsia="Arial" w:hAnsi="Arial"/>
          <w:sz w:val="22"/>
          <w:szCs w:val="2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33" w:lineRule="exact"/>
        <w:rPr>
          <w:rFonts w:ascii="Arial" w:cs="Arial" w:eastAsia="Arial" w:hAnsi="Arial"/>
          <w:sz w:val="22"/>
          <w:szCs w:val="22"/>
          <w:color w:val="auto"/>
        </w:rPr>
      </w:pPr>
    </w:p>
    <w:p>
      <w:pPr>
        <w:jc w:val="both"/>
        <w:ind w:firstLine="1492"/>
        <w:spacing w:after="0" w:line="238" w:lineRule="auto"/>
        <w:tabs>
          <w:tab w:leader="none" w:pos="2385"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Earning Restricted Stock Units</w:t>
      </w:r>
      <w:r>
        <w:rPr>
          <w:rFonts w:ascii="Arial" w:cs="Arial" w:eastAsia="Arial" w:hAnsi="Arial"/>
          <w:sz w:val="22"/>
          <w:szCs w:val="22"/>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31" w:lineRule="exact"/>
        <w:rPr>
          <w:rFonts w:ascii="Arial" w:cs="Arial" w:eastAsia="Arial" w:hAnsi="Arial"/>
          <w:sz w:val="22"/>
          <w:szCs w:val="22"/>
          <w:color w:val="auto"/>
        </w:rPr>
      </w:pPr>
    </w:p>
    <w:p>
      <w:pPr>
        <w:jc w:val="both"/>
        <w:ind w:firstLine="1492"/>
        <w:spacing w:after="0" w:line="258" w:lineRule="auto"/>
        <w:tabs>
          <w:tab w:leader="none" w:pos="2451" w:val="left"/>
        </w:tabs>
        <w:numPr>
          <w:ilvl w:val="1"/>
          <w:numId w:val="269"/>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12" w:lineRule="exact"/>
        <w:rPr>
          <w:rFonts w:ascii="Arial" w:cs="Arial" w:eastAsia="Arial" w:hAnsi="Arial"/>
          <w:sz w:val="21"/>
          <w:szCs w:val="21"/>
          <w:color w:val="auto"/>
        </w:rPr>
      </w:pPr>
    </w:p>
    <w:p>
      <w:pPr>
        <w:ind w:left="2260" w:hanging="768"/>
        <w:spacing w:after="0"/>
        <w:tabs>
          <w:tab w:leader="none" w:pos="2260" w:val="left"/>
        </w:tabs>
        <w:numPr>
          <w:ilvl w:val="1"/>
          <w:numId w:val="269"/>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On the date set forth in the Award Agreement, all unearned Restricted Stock Units will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forfeited to the Company.</w:t>
      </w:r>
    </w:p>
    <w:p>
      <w:pPr>
        <w:spacing w:after="0" w:line="134" w:lineRule="exact"/>
        <w:rPr>
          <w:rFonts w:ascii="Arial" w:cs="Arial" w:eastAsia="Arial" w:hAnsi="Arial"/>
          <w:sz w:val="19"/>
          <w:szCs w:val="19"/>
          <w:color w:val="auto"/>
        </w:rPr>
      </w:pPr>
    </w:p>
    <w:p>
      <w:pPr>
        <w:ind w:left="1400" w:hanging="593"/>
        <w:spacing w:after="0"/>
        <w:tabs>
          <w:tab w:leader="none" w:pos="1400"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tabs>
          <w:tab w:leader="none" w:pos="2182"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32" w:lineRule="exact"/>
        <w:rPr>
          <w:rFonts w:ascii="Arial" w:cs="Arial" w:eastAsia="Arial" w:hAnsi="Arial"/>
          <w:sz w:val="22"/>
          <w:szCs w:val="22"/>
          <w:color w:val="auto"/>
        </w:rPr>
      </w:pPr>
    </w:p>
    <w:p>
      <w:pPr>
        <w:ind w:firstLine="1492"/>
        <w:spacing w:after="0" w:line="251" w:lineRule="auto"/>
        <w:tabs>
          <w:tab w:leader="none" w:pos="2303"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The Administrator will have complete discretion to determine the number of Stock Appreciation Rights granted to any Service Provider.</w:t>
      </w:r>
    </w:p>
    <w:p>
      <w:pPr>
        <w:spacing w:after="0" w:line="119" w:lineRule="exact"/>
        <w:rPr>
          <w:rFonts w:ascii="Arial" w:cs="Arial" w:eastAsia="Arial" w:hAnsi="Arial"/>
          <w:sz w:val="22"/>
          <w:szCs w:val="22"/>
          <w:color w:val="auto"/>
        </w:rPr>
      </w:pPr>
    </w:p>
    <w:p>
      <w:pPr>
        <w:jc w:val="both"/>
        <w:ind w:firstLine="1492"/>
        <w:spacing w:after="0" w:line="236" w:lineRule="auto"/>
        <w:tabs>
          <w:tab w:leader="none" w:pos="2344"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Exercise Price and Other Terms</w:t>
      </w:r>
      <w:r>
        <w:rPr>
          <w:rFonts w:ascii="Arial" w:cs="Arial" w:eastAsia="Arial" w:hAnsi="Arial"/>
          <w:sz w:val="22"/>
          <w:szCs w:val="22"/>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w:t>
      </w:r>
    </w:p>
    <w:p>
      <w:pPr>
        <w:spacing w:after="0" w:line="133" w:lineRule="exact"/>
        <w:rPr>
          <w:rFonts w:ascii="Arial" w:cs="Arial" w:eastAsia="Arial" w:hAnsi="Arial"/>
          <w:sz w:val="22"/>
          <w:szCs w:val="22"/>
          <w:color w:val="auto"/>
        </w:rPr>
      </w:pPr>
    </w:p>
    <w:p>
      <w:pPr>
        <w:ind w:firstLine="1492"/>
        <w:spacing w:after="0" w:line="251" w:lineRule="auto"/>
        <w:tabs>
          <w:tab w:leader="none" w:pos="2397" w:val="left"/>
        </w:tabs>
        <w:numPr>
          <w:ilvl w:val="1"/>
          <w:numId w:val="269"/>
        </w:numPr>
        <w:rPr>
          <w:rFonts w:ascii="Arial" w:cs="Arial" w:eastAsia="Arial" w:hAnsi="Arial"/>
          <w:sz w:val="22"/>
          <w:szCs w:val="22"/>
          <w:color w:val="auto"/>
        </w:rPr>
      </w:pPr>
      <w:r>
        <w:rPr>
          <w:rFonts w:ascii="Arial" w:cs="Arial" w:eastAsia="Arial" w:hAnsi="Arial"/>
          <w:sz w:val="22"/>
          <w:szCs w:val="22"/>
          <w:u w:val="single" w:color="auto"/>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20" w:right="239" w:bottom="1440" w:gutter="0" w:footer="0" w:header="0"/>
        </w:sectPr>
      </w:pPr>
    </w:p>
    <w:bookmarkStart w:id="315" w:name="page316"/>
    <w:bookmarkEnd w:id="315"/>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Appreciation Right, the conditions of exercise, and such other terms and conditions as the Administrator, in its sole discretion, will determine.</w:t>
      </w:r>
    </w:p>
    <w:p>
      <w:pPr>
        <w:spacing w:after="0" w:line="119" w:lineRule="exact"/>
        <w:rPr>
          <w:sz w:val="20"/>
          <w:szCs w:val="20"/>
          <w:color w:val="auto"/>
        </w:rPr>
      </w:pPr>
    </w:p>
    <w:p>
      <w:pPr>
        <w:jc w:val="both"/>
        <w:ind w:firstLine="1610"/>
        <w:spacing w:after="0" w:line="238" w:lineRule="auto"/>
        <w:tabs>
          <w:tab w:leader="none" w:pos="2317"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31" w:lineRule="exact"/>
        <w:rPr>
          <w:rFonts w:ascii="Arial" w:cs="Arial" w:eastAsia="Arial" w:hAnsi="Arial"/>
          <w:sz w:val="22"/>
          <w:szCs w:val="22"/>
          <w:color w:val="auto"/>
        </w:rPr>
      </w:pPr>
    </w:p>
    <w:p>
      <w:pPr>
        <w:ind w:right="20" w:firstLine="1681"/>
        <w:spacing w:after="0" w:line="251" w:lineRule="auto"/>
        <w:tabs>
          <w:tab w:leader="none" w:pos="2645" w:val="left"/>
        </w:tabs>
        <w:numPr>
          <w:ilvl w:val="1"/>
          <w:numId w:val="270"/>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Upon exercise of a Stock Appreciation Right, a Participant will be entitled to receive payment from the Company in an amount determined by multiplying:</w:t>
      </w:r>
    </w:p>
    <w:p>
      <w:pPr>
        <w:spacing w:after="0" w:line="119" w:lineRule="exact"/>
        <w:rPr>
          <w:rFonts w:ascii="Arial" w:cs="Arial" w:eastAsia="Arial" w:hAnsi="Arial"/>
          <w:sz w:val="22"/>
          <w:szCs w:val="22"/>
          <w:color w:val="auto"/>
        </w:rPr>
      </w:pPr>
    </w:p>
    <w:p>
      <w:pPr>
        <w:ind w:left="2940" w:hanging="536"/>
        <w:spacing w:after="0"/>
        <w:tabs>
          <w:tab w:leader="none" w:pos="2940" w:val="left"/>
        </w:tabs>
        <w:numPr>
          <w:ilvl w:val="3"/>
          <w:numId w:val="270"/>
        </w:numPr>
        <w:rPr>
          <w:rFonts w:ascii="Arial" w:cs="Arial" w:eastAsia="Arial" w:hAnsi="Arial"/>
          <w:sz w:val="19"/>
          <w:szCs w:val="19"/>
          <w:color w:val="auto"/>
        </w:rPr>
      </w:pPr>
      <w:r>
        <w:rPr>
          <w:rFonts w:ascii="Arial" w:cs="Arial" w:eastAsia="Arial" w:hAnsi="Arial"/>
          <w:sz w:val="19"/>
          <w:szCs w:val="19"/>
          <w:color w:val="auto"/>
        </w:rPr>
        <w:t>The difference between the Fair Market Value of a Share on the date of exercise over the exercise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price; times</w:t>
      </w:r>
    </w:p>
    <w:p>
      <w:pPr>
        <w:spacing w:after="0" w:line="134" w:lineRule="exact"/>
        <w:rPr>
          <w:rFonts w:ascii="Arial" w:cs="Arial" w:eastAsia="Arial" w:hAnsi="Arial"/>
          <w:sz w:val="19"/>
          <w:szCs w:val="19"/>
          <w:color w:val="auto"/>
        </w:rPr>
      </w:pPr>
    </w:p>
    <w:p>
      <w:pPr>
        <w:ind w:left="2880" w:hanging="590"/>
        <w:spacing w:after="0"/>
        <w:tabs>
          <w:tab w:leader="none" w:pos="2880" w:val="left"/>
        </w:tabs>
        <w:numPr>
          <w:ilvl w:val="2"/>
          <w:numId w:val="270"/>
        </w:numPr>
        <w:rPr>
          <w:rFonts w:ascii="Arial" w:cs="Arial" w:eastAsia="Arial" w:hAnsi="Arial"/>
          <w:sz w:val="22"/>
          <w:szCs w:val="22"/>
          <w:color w:val="auto"/>
        </w:rPr>
      </w:pPr>
      <w:r>
        <w:rPr>
          <w:rFonts w:ascii="Arial" w:cs="Arial" w:eastAsia="Arial" w:hAnsi="Arial"/>
          <w:sz w:val="22"/>
          <w:szCs w:val="22"/>
          <w:color w:val="auto"/>
        </w:rPr>
        <w:t>The number of Shares with respect to which the Stock Appreciation Right is exercised.</w:t>
      </w:r>
    </w:p>
    <w:p>
      <w:pPr>
        <w:spacing w:after="0" w:line="152"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At the discretion of the Administrator, the payment upon Stock Appreciation Right exercise may be in cash, in Shares of equivalent value, or in some combination thereof.</w:t>
      </w:r>
    </w:p>
    <w:p>
      <w:pPr>
        <w:spacing w:after="0" w:line="119" w:lineRule="exact"/>
        <w:rPr>
          <w:sz w:val="20"/>
          <w:szCs w:val="20"/>
          <w:color w:val="auto"/>
        </w:rPr>
      </w:pPr>
    </w:p>
    <w:p>
      <w:pPr>
        <w:ind w:left="1500" w:hanging="693"/>
        <w:spacing w:after="0"/>
        <w:tabs>
          <w:tab w:leader="none" w:pos="1500"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654"/>
        <w:spacing w:after="0" w:line="238" w:lineRule="auto"/>
        <w:tabs>
          <w:tab w:leader="none" w:pos="2534" w:val="left"/>
        </w:tabs>
        <w:numPr>
          <w:ilvl w:val="2"/>
          <w:numId w:val="271"/>
        </w:numPr>
        <w:rPr>
          <w:rFonts w:ascii="Arial" w:cs="Arial" w:eastAsia="Arial" w:hAnsi="Arial"/>
          <w:sz w:val="22"/>
          <w:szCs w:val="22"/>
          <w:color w:val="auto"/>
        </w:rPr>
      </w:pPr>
      <w:r>
        <w:rPr>
          <w:rFonts w:ascii="Arial" w:cs="Arial" w:eastAsia="Arial" w:hAnsi="Arial"/>
          <w:sz w:val="22"/>
          <w:szCs w:val="22"/>
          <w:u w:val="single" w:color="auto"/>
          <w:color w:val="auto"/>
        </w:rPr>
        <w:t>Grant of Performance Units/Shares</w:t>
      </w:r>
      <w:r>
        <w:rPr>
          <w:rFonts w:ascii="Arial" w:cs="Arial" w:eastAsia="Arial" w:hAnsi="Arial"/>
          <w:sz w:val="22"/>
          <w:szCs w:val="22"/>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31" w:lineRule="exact"/>
        <w:rPr>
          <w:rFonts w:ascii="Arial" w:cs="Arial" w:eastAsia="Arial" w:hAnsi="Arial"/>
          <w:sz w:val="22"/>
          <w:szCs w:val="22"/>
          <w:color w:val="auto"/>
        </w:rPr>
      </w:pPr>
    </w:p>
    <w:p>
      <w:pPr>
        <w:jc w:val="both"/>
        <w:ind w:firstLine="1613"/>
        <w:spacing w:after="0"/>
        <w:tabs>
          <w:tab w:leader="none" w:pos="2343" w:val="left"/>
        </w:tabs>
        <w:numPr>
          <w:ilvl w:val="1"/>
          <w:numId w:val="271"/>
        </w:numPr>
        <w:rPr>
          <w:rFonts w:ascii="Arial" w:cs="Arial" w:eastAsia="Arial" w:hAnsi="Arial"/>
          <w:sz w:val="22"/>
          <w:szCs w:val="22"/>
          <w:color w:val="auto"/>
        </w:rPr>
      </w:pPr>
      <w:r>
        <w:rPr>
          <w:rFonts w:ascii="Arial" w:cs="Arial" w:eastAsia="Arial" w:hAnsi="Arial"/>
          <w:sz w:val="22"/>
          <w:szCs w:val="22"/>
          <w:u w:val="single" w:color="auto"/>
          <w:color w:val="auto"/>
        </w:rPr>
        <w:t>Value of Performance Units/Shares</w:t>
      </w:r>
      <w:r>
        <w:rPr>
          <w:rFonts w:ascii="Arial" w:cs="Arial" w:eastAsia="Arial" w:hAnsi="Arial"/>
          <w:sz w:val="22"/>
          <w:szCs w:val="2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32" w:lineRule="exact"/>
        <w:rPr>
          <w:rFonts w:ascii="Arial" w:cs="Arial" w:eastAsia="Arial" w:hAnsi="Arial"/>
          <w:sz w:val="22"/>
          <w:szCs w:val="22"/>
          <w:color w:val="auto"/>
        </w:rPr>
      </w:pPr>
    </w:p>
    <w:p>
      <w:pPr>
        <w:jc w:val="both"/>
        <w:ind w:firstLine="1632"/>
        <w:spacing w:after="0" w:line="275" w:lineRule="auto"/>
        <w:tabs>
          <w:tab w:leader="none" w:pos="2425" w:val="left"/>
        </w:tabs>
        <w:numPr>
          <w:ilvl w:val="1"/>
          <w:numId w:val="271"/>
        </w:numPr>
        <w:rPr>
          <w:rFonts w:ascii="Arial" w:cs="Arial" w:eastAsia="Arial" w:hAnsi="Arial"/>
          <w:sz w:val="19"/>
          <w:szCs w:val="19"/>
          <w:color w:val="auto"/>
        </w:rPr>
      </w:pPr>
      <w:r>
        <w:rPr>
          <w:rFonts w:ascii="Arial" w:cs="Arial" w:eastAsia="Arial" w:hAnsi="Arial"/>
          <w:sz w:val="19"/>
          <w:szCs w:val="19"/>
          <w:u w:val="single" w:color="auto"/>
          <w:color w:val="auto"/>
        </w:rPr>
        <w:t>Performance Objectives and Other Terms</w:t>
      </w:r>
      <w:r>
        <w:rPr>
          <w:rFonts w:ascii="Arial" w:cs="Arial" w:eastAsia="Arial" w:hAnsi="Arial"/>
          <w:sz w:val="19"/>
          <w:szCs w:val="19"/>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04" w:lineRule="exact"/>
        <w:rPr>
          <w:rFonts w:ascii="Arial" w:cs="Arial" w:eastAsia="Arial" w:hAnsi="Arial"/>
          <w:sz w:val="19"/>
          <w:szCs w:val="19"/>
          <w:color w:val="auto"/>
        </w:rPr>
      </w:pPr>
    </w:p>
    <w:p>
      <w:pPr>
        <w:ind w:firstLine="1613"/>
        <w:spacing w:after="0" w:line="251" w:lineRule="auto"/>
        <w:tabs>
          <w:tab w:leader="none" w:pos="2343" w:val="left"/>
        </w:tabs>
        <w:numPr>
          <w:ilvl w:val="1"/>
          <w:numId w:val="271"/>
        </w:numPr>
        <w:rPr>
          <w:rFonts w:ascii="Arial" w:cs="Arial" w:eastAsia="Arial" w:hAnsi="Arial"/>
          <w:sz w:val="22"/>
          <w:szCs w:val="22"/>
          <w:color w:val="auto"/>
        </w:rPr>
      </w:pPr>
      <w:r>
        <w:rPr>
          <w:rFonts w:ascii="Arial" w:cs="Arial" w:eastAsia="Arial" w:hAnsi="Arial"/>
          <w:sz w:val="22"/>
          <w:szCs w:val="22"/>
          <w:u w:val="single" w:color="auto"/>
          <w:color w:val="auto"/>
        </w:rPr>
        <w:t>Earning of Performance Units/Shares</w:t>
      </w:r>
      <w:r>
        <w:rPr>
          <w:rFonts w:ascii="Arial" w:cs="Arial" w:eastAsia="Arial" w:hAnsi="Arial"/>
          <w:sz w:val="22"/>
          <w:szCs w:val="22"/>
          <w:color w:val="auto"/>
        </w:rPr>
        <w:t>. After the applicable Performance Period has ended, the holder of Performance Units/Shares will be entitled to receive a payout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66" w:right="239" w:bottom="1440" w:gutter="0" w:footer="0" w:header="0"/>
        </w:sectPr>
      </w:pPr>
    </w:p>
    <w:bookmarkStart w:id="316" w:name="page317"/>
    <w:bookmarkEnd w:id="316"/>
    <w:p>
      <w:pPr>
        <w:jc w:val="both"/>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31" w:lineRule="exact"/>
        <w:rPr>
          <w:sz w:val="20"/>
          <w:szCs w:val="20"/>
          <w:color w:val="auto"/>
        </w:rPr>
      </w:pPr>
    </w:p>
    <w:p>
      <w:pPr>
        <w:jc w:val="both"/>
        <w:ind w:firstLine="1708"/>
        <w:spacing w:after="0" w:line="236" w:lineRule="auto"/>
        <w:tabs>
          <w:tab w:leader="none" w:pos="2804" w:val="left"/>
        </w:tabs>
        <w:numPr>
          <w:ilvl w:val="3"/>
          <w:numId w:val="272"/>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 of Performance Units/Shares</w:t>
      </w:r>
      <w:r>
        <w:rPr>
          <w:rFonts w:ascii="Arial" w:cs="Arial" w:eastAsia="Arial" w:hAnsi="Arial"/>
          <w:sz w:val="22"/>
          <w:szCs w:val="22"/>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33" w:lineRule="exact"/>
        <w:rPr>
          <w:rFonts w:ascii="Arial" w:cs="Arial" w:eastAsia="Arial" w:hAnsi="Arial"/>
          <w:sz w:val="22"/>
          <w:szCs w:val="22"/>
          <w:color w:val="auto"/>
        </w:rPr>
      </w:pPr>
    </w:p>
    <w:p>
      <w:pPr>
        <w:ind w:right="20" w:firstLine="1605"/>
        <w:spacing w:after="0" w:line="328" w:lineRule="auto"/>
        <w:tabs>
          <w:tab w:leader="none" w:pos="2267" w:val="left"/>
        </w:tabs>
        <w:numPr>
          <w:ilvl w:val="1"/>
          <w:numId w:val="273"/>
        </w:numPr>
        <w:rPr>
          <w:rFonts w:ascii="Arial" w:cs="Arial" w:eastAsia="Arial" w:hAnsi="Arial"/>
          <w:sz w:val="19"/>
          <w:szCs w:val="19"/>
          <w:color w:val="auto"/>
        </w:rPr>
      </w:pPr>
      <w:r>
        <w:rPr>
          <w:rFonts w:ascii="Arial" w:cs="Arial" w:eastAsia="Arial" w:hAnsi="Arial"/>
          <w:sz w:val="19"/>
          <w:szCs w:val="19"/>
          <w:u w:val="single" w:color="auto"/>
          <w:color w:val="auto"/>
        </w:rPr>
        <w:t>Cancellation of Performance Units/Shares</w:t>
      </w:r>
      <w:r>
        <w:rPr>
          <w:rFonts w:ascii="Arial" w:cs="Arial" w:eastAsia="Arial" w:hAnsi="Arial"/>
          <w:sz w:val="19"/>
          <w:szCs w:val="19"/>
          <w:color w:val="auto"/>
        </w:rPr>
        <w:t>. On the date set forth in the Award Agreement, all unearned or unvested Performance Units/Shares will be forfeited to the Company, and again will be available for grant under the Plan.</w:t>
      </w:r>
    </w:p>
    <w:p>
      <w:pPr>
        <w:spacing w:after="0" w:line="51" w:lineRule="exact"/>
        <w:rPr>
          <w:rFonts w:ascii="Arial" w:cs="Arial" w:eastAsia="Arial" w:hAnsi="Arial"/>
          <w:sz w:val="19"/>
          <w:szCs w:val="19"/>
          <w:color w:val="auto"/>
        </w:rPr>
      </w:pPr>
    </w:p>
    <w:p>
      <w:pPr>
        <w:jc w:val="both"/>
        <w:ind w:firstLine="807"/>
        <w:spacing w:after="0" w:line="246" w:lineRule="auto"/>
        <w:tabs>
          <w:tab w:leader="none" w:pos="1547" w:val="left"/>
        </w:tabs>
        <w:numPr>
          <w:ilvl w:val="0"/>
          <w:numId w:val="274"/>
        </w:numPr>
        <w:rPr>
          <w:rFonts w:ascii="Arial" w:cs="Arial" w:eastAsia="Arial" w:hAnsi="Arial"/>
          <w:sz w:val="21"/>
          <w:szCs w:val="21"/>
          <w:color w:val="auto"/>
        </w:rPr>
      </w:pPr>
      <w:r>
        <w:rPr>
          <w:rFonts w:ascii="Arial" w:cs="Arial" w:eastAsia="Arial" w:hAnsi="Arial"/>
          <w:sz w:val="21"/>
          <w:szCs w:val="21"/>
          <w:u w:val="single" w:color="auto"/>
          <w:color w:val="auto"/>
        </w:rPr>
        <w:t>Leaves of Absence/Transfer Between Locations</w:t>
      </w:r>
      <w:r>
        <w:rPr>
          <w:rFonts w:ascii="Arial" w:cs="Arial" w:eastAsia="Arial" w:hAnsi="Arial"/>
          <w:sz w:val="21"/>
          <w:szCs w:val="21"/>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1"/>
          <w:szCs w:val="11"/>
          <w:color w:val="auto"/>
        </w:rPr>
        <w:t>st</w:t>
      </w:r>
      <w:r>
        <w:rPr>
          <w:rFonts w:ascii="Arial" w:cs="Arial" w:eastAsia="Arial" w:hAnsi="Arial"/>
          <w:sz w:val="21"/>
          <w:szCs w:val="21"/>
          <w:color w:val="auto"/>
        </w:rPr>
        <w:t>) day of such leave any Incentive Stock Option held by the Participant will cease to be treated as an Incentive Stock Option and will be treated for tax purposes as a Nonstatutory Stock Option.</w:t>
      </w:r>
    </w:p>
    <w:p>
      <w:pPr>
        <w:spacing w:after="0" w:line="126" w:lineRule="exact"/>
        <w:rPr>
          <w:rFonts w:ascii="Arial" w:cs="Arial" w:eastAsia="Arial" w:hAnsi="Arial"/>
          <w:sz w:val="21"/>
          <w:szCs w:val="21"/>
          <w:color w:val="auto"/>
        </w:rPr>
      </w:pPr>
    </w:p>
    <w:p>
      <w:pPr>
        <w:jc w:val="both"/>
        <w:ind w:firstLine="807"/>
        <w:spacing w:after="0" w:line="287" w:lineRule="auto"/>
        <w:tabs>
          <w:tab w:leader="none" w:pos="1501"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89" w:lineRule="exact"/>
        <w:rPr>
          <w:rFonts w:ascii="Arial" w:cs="Arial" w:eastAsia="Arial" w:hAnsi="Arial"/>
          <w:sz w:val="19"/>
          <w:szCs w:val="19"/>
          <w:color w:val="auto"/>
        </w:rPr>
      </w:pPr>
    </w:p>
    <w:p>
      <w:pPr>
        <w:ind w:left="1500" w:hanging="693"/>
        <w:spacing w:after="0"/>
        <w:tabs>
          <w:tab w:leader="none" w:pos="1500" w:val="left"/>
        </w:tabs>
        <w:numPr>
          <w:ilvl w:val="0"/>
          <w:numId w:val="274"/>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624"/>
        <w:spacing w:after="0" w:line="234" w:lineRule="auto"/>
        <w:tabs>
          <w:tab w:leader="none" w:pos="2385" w:val="left"/>
        </w:tabs>
        <w:numPr>
          <w:ilvl w:val="2"/>
          <w:numId w:val="27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67" w:right="239" w:bottom="1440" w:gutter="0" w:footer="0" w:header="0"/>
        </w:sectPr>
      </w:pPr>
    </w:p>
    <w:bookmarkStart w:id="317" w:name="page318"/>
    <w:bookmarkEnd w:id="317"/>
    <w:p>
      <w:pPr>
        <w:jc w:val="both"/>
        <w:ind w:firstLine="1492"/>
        <w:spacing w:after="0" w:line="238" w:lineRule="auto"/>
        <w:tabs>
          <w:tab w:leader="none" w:pos="2303"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w:t>
      </w:r>
      <w:r>
        <w:rPr>
          <w:rFonts w:ascii="Arial" w:cs="Arial" w:eastAsia="Arial" w:hAnsi="Arial"/>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31" w:lineRule="exact"/>
        <w:rPr>
          <w:rFonts w:ascii="Arial" w:cs="Arial" w:eastAsia="Arial" w:hAnsi="Arial"/>
          <w:sz w:val="22"/>
          <w:szCs w:val="22"/>
          <w:color w:val="auto"/>
        </w:rPr>
      </w:pPr>
    </w:p>
    <w:p>
      <w:pPr>
        <w:jc w:val="both"/>
        <w:ind w:firstLine="1492"/>
        <w:spacing w:after="0" w:line="238" w:lineRule="auto"/>
        <w:tabs>
          <w:tab w:leader="none" w:pos="2182"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31" w:lineRule="exact"/>
        <w:rPr>
          <w:sz w:val="20"/>
          <w:szCs w:val="20"/>
          <w:color w:val="auto"/>
        </w:rPr>
      </w:pPr>
    </w:p>
    <w:p>
      <w:pPr>
        <w:jc w:val="both"/>
        <w:ind w:firstLine="1484"/>
        <w:spacing w:after="0" w:line="233" w:lineRule="auto"/>
        <w:rPr>
          <w:sz w:val="20"/>
          <w:szCs w:val="20"/>
          <w:color w:val="auto"/>
        </w:rPr>
      </w:pPr>
      <w:r>
        <w:rPr>
          <w:rFonts w:ascii="Arial" w:cs="Arial" w:eastAsia="Arial" w:hAnsi="Arial"/>
          <w:sz w:val="22"/>
          <w:szCs w:val="22"/>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40"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9"/>
          <w:szCs w:val="19"/>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08" w:lineRule="exact"/>
        <w:rPr>
          <w:sz w:val="20"/>
          <w:szCs w:val="20"/>
          <w:color w:val="auto"/>
        </w:rPr>
      </w:pPr>
    </w:p>
    <w:p>
      <w:pPr>
        <w:jc w:val="both"/>
        <w:ind w:firstLine="1484"/>
        <w:spacing w:after="0" w:line="236" w:lineRule="auto"/>
        <w:rPr>
          <w:sz w:val="20"/>
          <w:szCs w:val="20"/>
          <w:color w:val="auto"/>
        </w:rPr>
      </w:pPr>
      <w:r>
        <w:rPr>
          <w:rFonts w:ascii="Arial" w:cs="Arial" w:eastAsia="Arial" w:hAnsi="Arial"/>
          <w:sz w:val="22"/>
          <w:szCs w:val="22"/>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34" w:lineRule="exact"/>
        <w:rPr>
          <w:sz w:val="20"/>
          <w:szCs w:val="20"/>
          <w:color w:val="auto"/>
        </w:rPr>
      </w:pPr>
    </w:p>
    <w:p>
      <w:pPr>
        <w:jc w:val="both"/>
        <w:ind w:firstLine="1492"/>
        <w:spacing w:after="0"/>
        <w:tabs>
          <w:tab w:leader="none" w:pos="2357" w:val="left"/>
        </w:tabs>
        <w:numPr>
          <w:ilvl w:val="0"/>
          <w:numId w:val="276"/>
        </w:numPr>
        <w:rPr>
          <w:rFonts w:ascii="Arial" w:cs="Arial" w:eastAsia="Arial" w:hAnsi="Arial"/>
          <w:sz w:val="22"/>
          <w:szCs w:val="22"/>
          <w:color w:val="auto"/>
        </w:rPr>
      </w:pPr>
      <w:r>
        <w:rPr>
          <w:rFonts w:ascii="Arial" w:cs="Arial" w:eastAsia="Arial" w:hAnsi="Arial"/>
          <w:sz w:val="22"/>
          <w:szCs w:val="22"/>
          <w:u w:val="single" w:color="auto"/>
          <w:color w:val="auto"/>
        </w:rPr>
        <w:t>Outside Director Awards</w:t>
      </w:r>
      <w:r>
        <w:rPr>
          <w:rFonts w:ascii="Arial" w:cs="Arial" w:eastAsia="Arial" w:hAnsi="Arial"/>
          <w:sz w:val="22"/>
          <w:szCs w:val="22"/>
          <w:color w:val="auto"/>
        </w:rPr>
        <w:t>. With respect to Awards granted to an Outside Director that are assumed or substituted for, if on the date of or following such assumption or substitution the Participant’s status as a Director or a director of the successor corporation,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20" w:right="239" w:bottom="1440" w:gutter="0" w:footer="0" w:header="0"/>
        </w:sectPr>
      </w:pPr>
    </w:p>
    <w:bookmarkStart w:id="318" w:name="page319"/>
    <w:bookmarkEnd w:id="318"/>
    <w:p>
      <w:pPr>
        <w:jc w:val="both"/>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34" w:lineRule="exact"/>
        <w:rPr>
          <w:sz w:val="20"/>
          <w:szCs w:val="20"/>
          <w:color w:val="auto"/>
        </w:rPr>
      </w:pPr>
    </w:p>
    <w:p>
      <w:pPr>
        <w:ind w:left="1500" w:hanging="693"/>
        <w:spacing w:after="0"/>
        <w:tabs>
          <w:tab w:leader="none" w:pos="1500"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605"/>
        <w:spacing w:after="0" w:line="238" w:lineRule="auto"/>
        <w:tabs>
          <w:tab w:leader="none" w:pos="2290" w:val="left"/>
        </w:tabs>
        <w:numPr>
          <w:ilvl w:val="1"/>
          <w:numId w:val="277"/>
        </w:numPr>
        <w:rPr>
          <w:rFonts w:ascii="Arial" w:cs="Arial" w:eastAsia="Arial" w:hAnsi="Arial"/>
          <w:sz w:val="22"/>
          <w:szCs w:val="22"/>
          <w:color w:val="auto"/>
        </w:rPr>
      </w:pPr>
      <w:r>
        <w:rPr>
          <w:rFonts w:ascii="Arial" w:cs="Arial" w:eastAsia="Arial" w:hAnsi="Arial"/>
          <w:sz w:val="22"/>
          <w:szCs w:val="22"/>
          <w:u w:val="single" w:color="auto"/>
          <w:color w:val="auto"/>
        </w:rPr>
        <w:t>Withholding Requirements</w:t>
      </w:r>
      <w:r>
        <w:rPr>
          <w:rFonts w:ascii="Arial" w:cs="Arial" w:eastAsia="Arial" w:hAnsi="Arial"/>
          <w:sz w:val="22"/>
          <w:szCs w:val="22"/>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31" w:lineRule="exact"/>
        <w:rPr>
          <w:rFonts w:ascii="Arial" w:cs="Arial" w:eastAsia="Arial" w:hAnsi="Arial"/>
          <w:sz w:val="22"/>
          <w:szCs w:val="22"/>
          <w:color w:val="auto"/>
        </w:rPr>
      </w:pPr>
    </w:p>
    <w:p>
      <w:pPr>
        <w:jc w:val="both"/>
        <w:ind w:firstLine="1613"/>
        <w:spacing w:after="0" w:line="279" w:lineRule="auto"/>
        <w:tabs>
          <w:tab w:leader="none" w:pos="2343" w:val="left"/>
        </w:tabs>
        <w:numPr>
          <w:ilvl w:val="1"/>
          <w:numId w:val="277"/>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96" w:lineRule="exact"/>
        <w:rPr>
          <w:rFonts w:ascii="Arial" w:cs="Arial" w:eastAsia="Arial" w:hAnsi="Arial"/>
          <w:sz w:val="19"/>
          <w:szCs w:val="19"/>
          <w:color w:val="auto"/>
        </w:rPr>
      </w:pPr>
    </w:p>
    <w:p>
      <w:pPr>
        <w:jc w:val="both"/>
        <w:ind w:firstLine="1610"/>
        <w:spacing w:after="0" w:line="245" w:lineRule="auto"/>
        <w:tabs>
          <w:tab w:leader="none" w:pos="2317" w:val="left"/>
        </w:tabs>
        <w:numPr>
          <w:ilvl w:val="1"/>
          <w:numId w:val="277"/>
        </w:numPr>
        <w:rPr>
          <w:rFonts w:ascii="Arial" w:cs="Arial" w:eastAsia="Arial" w:hAnsi="Arial"/>
          <w:sz w:val="21"/>
          <w:szCs w:val="21"/>
          <w:color w:val="auto"/>
        </w:rPr>
      </w:pPr>
      <w:r>
        <w:rPr>
          <w:rFonts w:ascii="Arial" w:cs="Arial" w:eastAsia="Arial" w:hAnsi="Arial"/>
          <w:sz w:val="21"/>
          <w:szCs w:val="21"/>
          <w:u w:val="single" w:color="auto"/>
          <w:color w:val="auto"/>
        </w:rPr>
        <w:t>Compliance With Code Section 409A</w:t>
      </w:r>
      <w:r>
        <w:rPr>
          <w:rFonts w:ascii="Arial" w:cs="Arial" w:eastAsia="Arial" w:hAnsi="Arial"/>
          <w:sz w:val="21"/>
          <w:szCs w:val="21"/>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31" w:lineRule="exact"/>
        <w:rPr>
          <w:rFonts w:ascii="Arial" w:cs="Arial" w:eastAsia="Arial" w:hAnsi="Arial"/>
          <w:sz w:val="21"/>
          <w:szCs w:val="21"/>
          <w:color w:val="auto"/>
        </w:rPr>
      </w:pPr>
    </w:p>
    <w:p>
      <w:pPr>
        <w:jc w:val="both"/>
        <w:ind w:firstLine="807"/>
        <w:spacing w:after="0" w:line="238" w:lineRule="auto"/>
        <w:tabs>
          <w:tab w:leader="none" w:pos="1623"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No Effect on Employment or Service</w:t>
      </w:r>
      <w:r>
        <w:rPr>
          <w:rFonts w:ascii="Arial" w:cs="Arial" w:eastAsia="Arial" w:hAnsi="Arial"/>
          <w:sz w:val="22"/>
          <w:szCs w:val="22"/>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31" w:lineRule="exact"/>
        <w:rPr>
          <w:rFonts w:ascii="Arial" w:cs="Arial" w:eastAsia="Arial" w:hAnsi="Arial"/>
          <w:sz w:val="22"/>
          <w:szCs w:val="22"/>
          <w:color w:val="auto"/>
        </w:rPr>
      </w:pPr>
    </w:p>
    <w:p>
      <w:pPr>
        <w:jc w:val="both"/>
        <w:ind w:firstLine="807"/>
        <w:spacing w:after="0" w:line="258" w:lineRule="auto"/>
        <w:tabs>
          <w:tab w:leader="none" w:pos="1515" w:val="left"/>
        </w:tabs>
        <w:numPr>
          <w:ilvl w:val="0"/>
          <w:numId w:val="277"/>
        </w:numPr>
        <w:rPr>
          <w:rFonts w:ascii="Arial" w:cs="Arial" w:eastAsia="Arial" w:hAnsi="Arial"/>
          <w:sz w:val="21"/>
          <w:szCs w:val="21"/>
          <w:color w:val="auto"/>
        </w:rPr>
      </w:pPr>
      <w:r>
        <w:rPr>
          <w:rFonts w:ascii="Arial" w:cs="Arial" w:eastAsia="Arial" w:hAnsi="Arial"/>
          <w:sz w:val="21"/>
          <w:szCs w:val="21"/>
          <w:u w:val="single" w:color="auto"/>
          <w:color w:val="auto"/>
        </w:rPr>
        <w:t>Date of Grant</w:t>
      </w:r>
      <w:r>
        <w:rPr>
          <w:rFonts w:ascii="Arial" w:cs="Arial" w:eastAsia="Arial" w:hAnsi="Arial"/>
          <w:sz w:val="21"/>
          <w:szCs w:val="21"/>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266" w:right="239" w:bottom="1440" w:gutter="0" w:footer="0" w:header="0"/>
        </w:sectPr>
      </w:pPr>
    </w:p>
    <w:bookmarkStart w:id="319" w:name="page320"/>
    <w:bookmarkEnd w:id="319"/>
    <w:p>
      <w:pPr>
        <w:jc w:val="both"/>
        <w:ind w:firstLine="807"/>
        <w:spacing w:after="0"/>
        <w:tabs>
          <w:tab w:leader="none" w:pos="1596" w:val="left"/>
        </w:tabs>
        <w:numPr>
          <w:ilvl w:val="1"/>
          <w:numId w:val="27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Plan</w:t>
      </w:r>
      <w:r>
        <w:rPr>
          <w:rFonts w:ascii="Arial" w:cs="Arial" w:eastAsia="Arial" w:hAnsi="Arial"/>
          <w:sz w:val="22"/>
          <w:szCs w:val="22"/>
          <w:color w:val="auto"/>
        </w:rPr>
        <w:t>. Subject to Section 21 of the Plan, the Plan will become effective upon the later to occur of (i) its adoption by the Board or (ii) immediately prior to the Registration Date. It will continue in effect for a term of ten (10) years from the date adopted by the Board, unless terminated earlier under Section 18 of the Plan.</w:t>
      </w:r>
    </w:p>
    <w:p>
      <w:pPr>
        <w:spacing w:after="0" w:line="132" w:lineRule="exact"/>
        <w:rPr>
          <w:rFonts w:ascii="Arial" w:cs="Arial" w:eastAsia="Arial" w:hAnsi="Arial"/>
          <w:sz w:val="22"/>
          <w:szCs w:val="22"/>
          <w:color w:val="auto"/>
        </w:rPr>
      </w:pPr>
    </w:p>
    <w:p>
      <w:pPr>
        <w:ind w:left="1500" w:hanging="693"/>
        <w:spacing w:after="0"/>
        <w:tabs>
          <w:tab w:leader="none" w:pos="1500" w:val="left"/>
        </w:tabs>
        <w:numPr>
          <w:ilvl w:val="1"/>
          <w:numId w:val="278"/>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2280" w:hanging="680"/>
        <w:spacing w:after="0"/>
        <w:tabs>
          <w:tab w:leader="none" w:pos="2280" w:val="left"/>
        </w:tabs>
        <w:numPr>
          <w:ilvl w:val="2"/>
          <w:numId w:val="278"/>
        </w:numPr>
        <w:rPr>
          <w:rFonts w:ascii="Arial" w:cs="Arial" w:eastAsia="Arial" w:hAnsi="Arial"/>
          <w:sz w:val="19"/>
          <w:szCs w:val="19"/>
          <w:color w:val="auto"/>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at any time amend, alter, suspend or terminate the Plan.</w:t>
      </w:r>
    </w:p>
    <w:p>
      <w:pPr>
        <w:spacing w:after="0" w:line="186" w:lineRule="exact"/>
        <w:rPr>
          <w:rFonts w:ascii="Arial" w:cs="Arial" w:eastAsia="Arial" w:hAnsi="Arial"/>
          <w:sz w:val="19"/>
          <w:szCs w:val="19"/>
          <w:color w:val="auto"/>
        </w:rPr>
      </w:pPr>
    </w:p>
    <w:p>
      <w:pPr>
        <w:ind w:firstLine="1632"/>
        <w:spacing w:after="0" w:line="251" w:lineRule="auto"/>
        <w:tabs>
          <w:tab w:leader="none" w:pos="2438" w:val="left"/>
        </w:tabs>
        <w:numPr>
          <w:ilvl w:val="4"/>
          <w:numId w:val="278"/>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and desirable to comply with Applicable Laws.</w:t>
      </w:r>
    </w:p>
    <w:p>
      <w:pPr>
        <w:spacing w:after="0" w:line="119" w:lineRule="exact"/>
        <w:rPr>
          <w:rFonts w:ascii="Arial" w:cs="Arial" w:eastAsia="Arial" w:hAnsi="Arial"/>
          <w:sz w:val="22"/>
          <w:szCs w:val="22"/>
          <w:color w:val="auto"/>
        </w:rPr>
      </w:pPr>
    </w:p>
    <w:p>
      <w:pPr>
        <w:jc w:val="both"/>
        <w:ind w:firstLine="1618"/>
        <w:spacing w:after="0" w:line="236" w:lineRule="auto"/>
        <w:tabs>
          <w:tab w:leader="none" w:pos="2358" w:val="left"/>
        </w:tabs>
        <w:numPr>
          <w:ilvl w:val="3"/>
          <w:numId w:val="278"/>
        </w:numPr>
        <w:rPr>
          <w:rFonts w:ascii="Arial" w:cs="Arial" w:eastAsia="Arial" w:hAnsi="Arial"/>
          <w:sz w:val="22"/>
          <w:szCs w:val="22"/>
          <w:color w:val="auto"/>
        </w:rPr>
      </w:pPr>
      <w:r>
        <w:rPr>
          <w:rFonts w:ascii="Arial" w:cs="Arial" w:eastAsia="Arial" w:hAnsi="Arial"/>
          <w:sz w:val="22"/>
          <w:szCs w:val="22"/>
          <w:u w:val="single" w:color="auto"/>
          <w:color w:val="auto"/>
        </w:rPr>
        <w:t>Effect of Amendment or Termination</w:t>
      </w:r>
      <w:r>
        <w:rPr>
          <w:rFonts w:ascii="Arial" w:cs="Arial" w:eastAsia="Arial" w:hAnsi="Arial"/>
          <w:sz w:val="22"/>
          <w:szCs w:val="22"/>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33" w:lineRule="exact"/>
        <w:rPr>
          <w:rFonts w:ascii="Arial" w:cs="Arial" w:eastAsia="Arial" w:hAnsi="Arial"/>
          <w:sz w:val="22"/>
          <w:szCs w:val="22"/>
          <w:color w:val="auto"/>
        </w:rPr>
      </w:pPr>
    </w:p>
    <w:p>
      <w:pPr>
        <w:ind w:left="1500" w:hanging="693"/>
        <w:spacing w:after="0"/>
        <w:tabs>
          <w:tab w:leader="none" w:pos="1500" w:val="left"/>
        </w:tabs>
        <w:numPr>
          <w:ilvl w:val="1"/>
          <w:numId w:val="278"/>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610"/>
        <w:spacing w:after="0"/>
        <w:tabs>
          <w:tab w:leader="none" w:pos="2317" w:val="left"/>
        </w:tabs>
        <w:numPr>
          <w:ilvl w:val="3"/>
          <w:numId w:val="279"/>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32" w:lineRule="exact"/>
        <w:rPr>
          <w:rFonts w:ascii="Arial" w:cs="Arial" w:eastAsia="Arial" w:hAnsi="Arial"/>
          <w:sz w:val="22"/>
          <w:szCs w:val="22"/>
          <w:color w:val="auto"/>
        </w:rPr>
      </w:pPr>
    </w:p>
    <w:p>
      <w:pPr>
        <w:jc w:val="both"/>
        <w:ind w:firstLine="1621"/>
        <w:spacing w:after="0" w:line="238" w:lineRule="auto"/>
        <w:tabs>
          <w:tab w:leader="none" w:pos="2384" w:val="left"/>
        </w:tabs>
        <w:numPr>
          <w:ilvl w:val="3"/>
          <w:numId w:val="279"/>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31" w:lineRule="exact"/>
        <w:rPr>
          <w:rFonts w:ascii="Arial" w:cs="Arial" w:eastAsia="Arial" w:hAnsi="Arial"/>
          <w:sz w:val="22"/>
          <w:szCs w:val="22"/>
          <w:color w:val="auto"/>
        </w:rPr>
      </w:pPr>
    </w:p>
    <w:p>
      <w:pPr>
        <w:jc w:val="both"/>
        <w:ind w:firstLine="807"/>
        <w:spacing w:after="0" w:line="238" w:lineRule="auto"/>
        <w:tabs>
          <w:tab w:leader="none" w:pos="1555" w:val="left"/>
        </w:tabs>
        <w:numPr>
          <w:ilvl w:val="1"/>
          <w:numId w:val="280"/>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31" w:lineRule="exact"/>
        <w:rPr>
          <w:rFonts w:ascii="Arial" w:cs="Arial" w:eastAsia="Arial" w:hAnsi="Arial"/>
          <w:sz w:val="22"/>
          <w:szCs w:val="22"/>
          <w:color w:val="auto"/>
        </w:rPr>
      </w:pPr>
    </w:p>
    <w:p>
      <w:pPr>
        <w:ind w:left="1620" w:hanging="813"/>
        <w:spacing w:after="0"/>
        <w:tabs>
          <w:tab w:leader="none" w:pos="1620" w:val="left"/>
        </w:tabs>
        <w:numPr>
          <w:ilvl w:val="1"/>
          <w:numId w:val="280"/>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42" w:lineRule="exact"/>
        <w:rPr>
          <w:rFonts w:ascii="Arial" w:cs="Arial" w:eastAsia="Arial" w:hAnsi="Arial"/>
          <w:sz w:val="19"/>
          <w:szCs w:val="19"/>
          <w:color w:val="auto"/>
        </w:rPr>
      </w:pPr>
    </w:p>
    <w:p>
      <w:pPr>
        <w:ind w:firstLine="8"/>
        <w:spacing w:after="0" w:line="237" w:lineRule="auto"/>
        <w:tabs>
          <w:tab w:leader="none" w:pos="428" w:val="left"/>
        </w:tabs>
        <w:numPr>
          <w:ilvl w:val="0"/>
          <w:numId w:val="281"/>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21"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22"/>
          <w:szCs w:val="22"/>
          <w:b w:val="1"/>
          <w:bCs w:val="1"/>
          <w:color w:val="auto"/>
        </w:rPr>
        <w:t>Exhibit 10.4A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STOCK OPTION</w:t>
      </w:r>
    </w:p>
    <w:p>
      <w:pPr>
        <w:spacing w:after="0" w:line="158" w:lineRule="exact"/>
        <w:rPr>
          <w:sz w:val="20"/>
          <w:szCs w:val="20"/>
          <w:color w:val="auto"/>
        </w:rPr>
      </w:pPr>
    </w:p>
    <w:p>
      <w:pPr>
        <w:jc w:val="both"/>
        <w:ind w:firstLine="799"/>
        <w:spacing w:after="0"/>
        <w:rPr>
          <w:sz w:val="20"/>
          <w:szCs w:val="20"/>
          <w:color w:val="auto"/>
        </w:rPr>
      </w:pPr>
      <w:r>
        <w:rPr>
          <w:rFonts w:ascii="Arial" w:cs="Arial" w:eastAsia="Arial" w:hAnsi="Arial"/>
          <w:sz w:val="22"/>
          <w:szCs w:val="22"/>
          <w:color w:val="auto"/>
        </w:rPr>
        <w:t xml:space="preserve">Unless otherwise defined herein, the terms defined in the Fluidigm Corporation 2011 Equity Incentive Plan (the “Plan”) will have the same defined meanings in this Notice of Grant of Stock Option (the “Notice of Grant”) and Terms and Conditions of Stock Option Grant,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(together, the “Agreement”).</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-13970</wp:posOffset>
            </wp:positionV>
            <wp:extent cx="236664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7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-13970</wp:posOffset>
            </wp:positionV>
            <wp:extent cx="236664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66645" cy="889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208280</wp:posOffset>
            </wp:positionV>
            <wp:extent cx="23666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Participant has been granted an Option to purchase Common Stock of the Company, subject to the terms and conditions of the Plan and this Agreement, as follows:</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Grant Number</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Date of Grant</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Vesting Commencement Date</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Number of Shares Granted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Exercise Price per Share</w:t>
            </w:r>
          </w:p>
        </w:tc>
        <w:tc>
          <w:tcPr>
            <w:tcW w:w="120" w:type="dxa"/>
            <w:vAlign w:val="bottom"/>
            <w:gridSpan w:val="2"/>
          </w:tcPr>
          <w:p>
            <w:pPr>
              <w:jc w:val="right"/>
              <w:ind w:right="20"/>
              <w:spacing w:after="0"/>
              <w:rPr>
                <w:sz w:val="20"/>
                <w:szCs w:val="20"/>
                <w:color w:val="auto"/>
              </w:rPr>
            </w:pPr>
            <w:r>
              <w:rPr>
                <w:rFonts w:ascii="Arial" w:cs="Arial" w:eastAsia="Arial" w:hAnsi="Arial"/>
                <w:sz w:val="19"/>
                <w:szCs w:val="19"/>
                <w:color w:val="auto"/>
                <w:w w:val="75"/>
              </w:rPr>
              <w:t>$</w:t>
            </w: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Total Exercise Price</w:t>
            </w:r>
          </w:p>
        </w:tc>
        <w:tc>
          <w:tcPr>
            <w:tcW w:w="120" w:type="dxa"/>
            <w:vAlign w:val="bottom"/>
            <w:gridSpan w:val="2"/>
          </w:tcPr>
          <w:p>
            <w:pPr>
              <w:jc w:val="right"/>
              <w:ind w:right="20"/>
              <w:spacing w:after="0"/>
              <w:rPr>
                <w:sz w:val="20"/>
                <w:szCs w:val="20"/>
                <w:color w:val="auto"/>
              </w:rPr>
            </w:pPr>
            <w:r>
              <w:rPr>
                <w:rFonts w:ascii="Arial" w:cs="Arial" w:eastAsia="Arial" w:hAnsi="Arial"/>
                <w:sz w:val="19"/>
                <w:szCs w:val="19"/>
                <w:color w:val="auto"/>
                <w:w w:val="75"/>
              </w:rPr>
              <w:t>$</w:t>
            </w: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Type of Option</w:t>
            </w:r>
          </w:p>
        </w:tc>
        <w:tc>
          <w:tcPr>
            <w:tcW w:w="1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08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rPr>
              <w:t>Incentive Stock Option</w:t>
            </w:r>
          </w:p>
        </w:tc>
      </w:tr>
      <w:tr>
        <w:trPr>
          <w:trHeight w:val="331"/>
        </w:trPr>
        <w:tc>
          <w:tcPr>
            <w:tcW w:w="1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Pr>
          <w:p>
            <w:pPr>
              <w:ind w:left="60"/>
              <w:spacing w:after="0"/>
              <w:rPr>
                <w:sz w:val="20"/>
                <w:szCs w:val="20"/>
                <w:color w:val="auto"/>
              </w:rPr>
            </w:pPr>
            <w:r>
              <w:rPr>
                <w:rFonts w:ascii="Arial" w:cs="Arial" w:eastAsia="Arial" w:hAnsi="Arial"/>
                <w:sz w:val="22"/>
                <w:szCs w:val="22"/>
                <w:color w:val="auto"/>
              </w:rPr>
              <w:t>Nonstatutory Stock Option</w:t>
            </w:r>
          </w:p>
        </w:tc>
      </w:tr>
      <w:tr>
        <w:trPr>
          <w:trHeight w:val="331"/>
        </w:trPr>
        <w:tc>
          <w:tcPr>
            <w:tcW w:w="3960" w:type="dxa"/>
            <w:vAlign w:val="bottom"/>
            <w:gridSpan w:val="2"/>
          </w:tcPr>
          <w:p>
            <w:pPr>
              <w:ind w:left="20"/>
              <w:spacing w:after="0"/>
              <w:rPr>
                <w:sz w:val="20"/>
                <w:szCs w:val="20"/>
                <w:color w:val="auto"/>
              </w:rPr>
            </w:pPr>
            <w:r>
              <w:rPr>
                <w:rFonts w:ascii="Arial" w:cs="Arial" w:eastAsia="Arial" w:hAnsi="Arial"/>
                <w:sz w:val="22"/>
                <w:szCs w:val="22"/>
                <w:color w:val="auto"/>
              </w:rPr>
              <w:t>Term/Expiration Date</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85"/>
        </w:trPr>
        <w:tc>
          <w:tcPr>
            <w:tcW w:w="3960" w:type="dxa"/>
            <w:vAlign w:val="bottom"/>
            <w:gridSpan w:val="2"/>
          </w:tcPr>
          <w:p>
            <w:pPr>
              <w:spacing w:after="0"/>
              <w:rPr>
                <w:sz w:val="20"/>
                <w:szCs w:val="20"/>
                <w:color w:val="auto"/>
              </w:rPr>
            </w:pPr>
            <w:r>
              <w:rPr>
                <w:rFonts w:ascii="Arial" w:cs="Arial" w:eastAsia="Arial" w:hAnsi="Arial"/>
                <w:sz w:val="22"/>
                <w:szCs w:val="22"/>
                <w:color w:val="auto"/>
              </w:rPr>
              <w:t>Vesting Schedule: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Subject to accelerated vesting as set forth below or in the Plan, this Option will be exercisable, in whole or in part, in accordance with the following schedule:</w:t>
      </w:r>
    </w:p>
    <w:p>
      <w:pPr>
        <w:spacing w:after="0" w:line="113"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Twenty-five percent (25%) of the Shares subject to the Option will vest on the one (1) year anniversary of the Vesting</w:t>
      </w:r>
      <w:r>
        <w:rPr>
          <w:rFonts w:ascii="Arial" w:cs="Arial" w:eastAsia="Arial" w:hAnsi="Arial"/>
          <w:sz w:val="21"/>
          <w:szCs w:val="21"/>
          <w:b w:val="1"/>
          <w:bCs w:val="1"/>
          <w:color w:val="auto"/>
        </w:rPr>
        <w:t xml:space="preserve"> </w:t>
      </w:r>
      <w:r>
        <w:rPr>
          <w:rFonts w:ascii="Arial" w:cs="Arial" w:eastAsia="Arial" w:hAnsi="Arial"/>
          <w:sz w:val="21"/>
          <w:szCs w:val="21"/>
          <w:color w:val="auto"/>
        </w:rPr>
        <w:t>Commencement Date, and one forty-eighth (1/48</w:t>
      </w:r>
      <w:r>
        <w:rPr>
          <w:rFonts w:ascii="Arial" w:cs="Arial" w:eastAsia="Arial" w:hAnsi="Arial"/>
          <w:sz w:val="11"/>
          <w:szCs w:val="11"/>
          <w:color w:val="auto"/>
        </w:rPr>
        <w:t>th</w:t>
      </w:r>
      <w:r>
        <w:rPr>
          <w:rFonts w:ascii="Arial" w:cs="Arial" w:eastAsia="Arial" w:hAnsi="Arial"/>
          <w:sz w:val="21"/>
          <w:szCs w:val="21"/>
          <w:color w:val="auto"/>
        </w:rPr>
        <w:t>) of the Shares subject to the Option will vest each month thereafter on the same day of the month as the Vesting Commencement Date (and if there is no corresponding day, on the last day of the month), subject to Participant continuing to be a Service Provider through each such date.</w:t>
      </w:r>
      <w:r>
        <w:rPr>
          <w:rFonts w:ascii="Arial" w:cs="Arial" w:eastAsia="Arial" w:hAnsi="Arial"/>
          <w:sz w:val="21"/>
          <w:szCs w:val="21"/>
          <w:b w:val="1"/>
          <w:bCs w:val="1"/>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11" w:right="239" w:bottom="1440" w:gutter="0" w:footer="0" w:header="0"/>
        </w:sectPr>
      </w:pPr>
    </w:p>
    <w:bookmarkStart w:id="321" w:name="page322"/>
    <w:bookmarkEnd w:id="321"/>
    <w:p>
      <w:pPr>
        <w:ind w:left="80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Period</w:t>
      </w:r>
      <w:r>
        <w:rPr>
          <w:rFonts w:ascii="Arial" w:cs="Arial" w:eastAsia="Arial" w:hAnsi="Arial"/>
          <w:sz w:val="22"/>
          <w:szCs w:val="22"/>
          <w:color w:val="auto"/>
        </w:rPr>
        <w:t>:</w:t>
      </w:r>
    </w:p>
    <w:p>
      <w:pPr>
        <w:spacing w:after="0" w:line="146"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9"/>
          <w:szCs w:val="19"/>
          <w:color w:val="auto"/>
        </w:rPr>
        <w:t xml:space="preserve">This Option will be exercisable for </w:t>
      </w:r>
      <w:r>
        <w:rPr>
          <w:rFonts w:ascii="Arial" w:cs="Arial" w:eastAsia="Arial" w:hAnsi="Arial"/>
          <w:sz w:val="19"/>
          <w:szCs w:val="19"/>
          <w:b w:val="1"/>
          <w:bCs w:val="1"/>
          <w:color w:val="auto"/>
        </w:rPr>
        <w:t>[</w:t>
      </w:r>
      <w:r>
        <w:rPr>
          <w:rFonts w:ascii="Arial" w:cs="Arial" w:eastAsia="Arial" w:hAnsi="Arial"/>
          <w:sz w:val="19"/>
          <w:szCs w:val="19"/>
          <w:color w:val="auto"/>
        </w:rPr>
        <w:t>three (3) months</w:t>
      </w:r>
      <w:r>
        <w:rPr>
          <w:rFonts w:ascii="Arial" w:cs="Arial" w:eastAsia="Arial" w:hAnsi="Arial"/>
          <w:sz w:val="19"/>
          <w:szCs w:val="19"/>
          <w:b w:val="1"/>
          <w:bCs w:val="1"/>
          <w:color w:val="auto"/>
        </w:rPr>
        <w:t>]</w:t>
      </w:r>
      <w:r>
        <w:rPr>
          <w:rFonts w:ascii="Arial" w:cs="Arial" w:eastAsia="Arial" w:hAnsi="Arial"/>
          <w:sz w:val="19"/>
          <w:szCs w:val="19"/>
          <w:color w:val="auto"/>
        </w:rPr>
        <w:t xml:space="preserve"> after Participant ceases to be a Service Provider, unless such termination is due to Participant’s death or Disability, in which case this Option will be exercisable for </w:t>
      </w:r>
      <w:r>
        <w:rPr>
          <w:rFonts w:ascii="Arial" w:cs="Arial" w:eastAsia="Arial" w:hAnsi="Arial"/>
          <w:sz w:val="19"/>
          <w:szCs w:val="19"/>
          <w:b w:val="1"/>
          <w:bCs w:val="1"/>
          <w:color w:val="auto"/>
        </w:rPr>
        <w:t>[</w:t>
      </w:r>
      <w:r>
        <w:rPr>
          <w:rFonts w:ascii="Arial" w:cs="Arial" w:eastAsia="Arial" w:hAnsi="Arial"/>
          <w:sz w:val="19"/>
          <w:szCs w:val="19"/>
          <w:color w:val="auto"/>
        </w:rPr>
        <w:t>twelve (12) months</w:t>
      </w:r>
      <w:r>
        <w:rPr>
          <w:rFonts w:ascii="Arial" w:cs="Arial" w:eastAsia="Arial" w:hAnsi="Arial"/>
          <w:sz w:val="19"/>
          <w:szCs w:val="19"/>
          <w:b w:val="1"/>
          <w:bCs w:val="1"/>
          <w:color w:val="auto"/>
        </w:rPr>
        <w:t>]</w:t>
      </w:r>
      <w:r>
        <w:rPr>
          <w:rFonts w:ascii="Arial" w:cs="Arial" w:eastAsia="Arial" w:hAnsi="Arial"/>
          <w:sz w:val="19"/>
          <w:szCs w:val="19"/>
          <w:color w:val="auto"/>
        </w:rPr>
        <w:t xml:space="preserve"> after Participant ceases to be a Service Provider. Notwithstanding the foregoing sentence, in no event may this Option be exercised after the Term/Expiration Date as provided above and may be subject to earlier termination as provided in Section 13(c) of the Plan.</w:t>
      </w:r>
    </w:p>
    <w:p>
      <w:pPr>
        <w:spacing w:after="0" w:line="88" w:lineRule="exact"/>
        <w:rPr>
          <w:sz w:val="20"/>
          <w:szCs w:val="20"/>
          <w:color w:val="auto"/>
        </w:rPr>
      </w:pPr>
    </w:p>
    <w:p>
      <w:pPr>
        <w:jc w:val="both"/>
        <w:ind w:firstLine="799"/>
        <w:spacing w:after="0" w:line="279" w:lineRule="auto"/>
        <w:rPr>
          <w:sz w:val="20"/>
          <w:szCs w:val="20"/>
          <w:color w:val="auto"/>
        </w:rPr>
      </w:pPr>
      <w:r>
        <w:rPr>
          <w:rFonts w:ascii="Arial" w:cs="Arial" w:eastAsia="Arial" w:hAnsi="Arial"/>
          <w:sz w:val="19"/>
          <w:szCs w:val="19"/>
          <w:color w:val="auto"/>
        </w:rPr>
        <w:t>By Participant’s signature and the signature of the Company’s representative below, Participant and the Company agree that this Option is granted under and governed by the terms and conditions of the Plan and this Agreement. Participant has reviewed the Plan and this Agreement in their entirety, has had an opportunity to obtain the advice of counsel prior to executing this Agreement and fully understands all provisions of the Plan and Agreement. Participant hereby agrees to accept as binding, conclusive and final all decisions or interpretations of the Administrator upon any questions relating to the Plan and Agreement. Participant further agrees to notify the Company upon any change in the residence address indicated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58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FLUIDIGM CORPORATION</w:t>
            </w:r>
          </w:p>
        </w:tc>
      </w:tr>
      <w:tr>
        <w:trPr>
          <w:trHeight w:val="665"/>
        </w:trPr>
        <w:tc>
          <w:tcPr>
            <w:tcW w:w="7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68"/>
        </w:trPr>
        <w:tc>
          <w:tcPr>
            <w:tcW w:w="538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58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By</w:t>
            </w:r>
          </w:p>
        </w:tc>
      </w:tr>
      <w:tr>
        <w:trPr>
          <w:trHeight w:val="441"/>
        </w:trPr>
        <w:tc>
          <w:tcPr>
            <w:tcW w:w="7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268"/>
        </w:trPr>
        <w:tc>
          <w:tcPr>
            <w:tcW w:w="5380" w:type="dxa"/>
            <w:vAlign w:val="bottom"/>
            <w:gridSpan w:val="2"/>
          </w:tcPr>
          <w:p>
            <w:pPr>
              <w:spacing w:after="0"/>
              <w:rPr>
                <w:sz w:val="20"/>
                <w:szCs w:val="20"/>
                <w:color w:val="auto"/>
              </w:rPr>
            </w:pPr>
            <w:r>
              <w:rPr>
                <w:rFonts w:ascii="Arial" w:cs="Arial" w:eastAsia="Arial" w:hAnsi="Arial"/>
                <w:sz w:val="22"/>
                <w:szCs w:val="22"/>
                <w:color w:val="auto"/>
              </w:rPr>
              <w:t>Print Name</w:t>
            </w:r>
          </w:p>
        </w:tc>
        <w:tc>
          <w:tcPr>
            <w:tcW w:w="58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Title</w:t>
            </w:r>
          </w:p>
        </w:tc>
      </w:tr>
      <w:tr>
        <w:trPr>
          <w:trHeight w:val="401"/>
        </w:trPr>
        <w:tc>
          <w:tcPr>
            <w:tcW w:w="538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80"/>
        </w:trPr>
        <w:tc>
          <w:tcPr>
            <w:tcW w:w="720" w:type="dxa"/>
            <w:vAlign w:val="bottom"/>
            <w:tcBorders>
              <w:top w:val="single" w:sz="8" w:color="auto"/>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66"/>
        </w:trPr>
        <w:tc>
          <w:tcPr>
            <w:tcW w:w="7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67"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STOCK OPTION GRANT</w:t>
      </w:r>
    </w:p>
    <w:p>
      <w:pPr>
        <w:spacing w:after="0" w:line="158" w:lineRule="exact"/>
        <w:rPr>
          <w:sz w:val="20"/>
          <w:szCs w:val="20"/>
          <w:color w:val="auto"/>
        </w:rPr>
      </w:pPr>
    </w:p>
    <w:p>
      <w:pPr>
        <w:jc w:val="both"/>
        <w:ind w:firstLine="807"/>
        <w:spacing w:after="0" w:line="282" w:lineRule="auto"/>
        <w:tabs>
          <w:tab w:leader="none" w:pos="1271" w:val="left"/>
        </w:tabs>
        <w:numPr>
          <w:ilvl w:val="0"/>
          <w:numId w:val="282"/>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Company hereby grants to the Participant named in the Notice of Grant (“Participant”) an option (the “Option”) to purchase the number of Shares, as set forth in the Notice of Grant, at the exercise price per Share set forth in the Notice of Grant (the “Exercise Price”), subject to all of the terms and conditions in this Agreement and the Plan, which is incorporated herein by reference. Subject to Section 18(c) of the Plan, in the event of a conflict between the terms and conditions of the Plan and the terms and conditions of this Agreement, the terms and conditions of the Plan will prevail.</w:t>
      </w:r>
    </w:p>
    <w:p>
      <w:pPr>
        <w:spacing w:after="0" w:line="94"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9"/>
          <w:szCs w:val="19"/>
          <w:color w:val="auto"/>
        </w:rPr>
        <w:t>If designated in the Notice of Grant as an Incentive Stock Option (“ISO”), this Option is intended to qualify as an ISO under Section 422 of the Internal Revenue Code of 1986, as amended (the “Code”). However, if this Option is intended to be an Incentive Stock Option, to the extent that it exceeds the $100,000 rule of Code Section 422(d) it will be treated as a Nonstatutory Stock Option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99" w:lineRule="exact"/>
        <w:rPr>
          <w:sz w:val="20"/>
          <w:szCs w:val="20"/>
          <w:color w:val="auto"/>
        </w:rPr>
      </w:pPr>
    </w:p>
    <w:p>
      <w:pPr>
        <w:jc w:val="both"/>
        <w:ind w:firstLine="807"/>
        <w:spacing w:after="0" w:line="252" w:lineRule="auto"/>
        <w:tabs>
          <w:tab w:leader="none" w:pos="1231"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3, the Option awarded by this Agreement will vest in accordance with the vesting provisions set forth in the Notice of Grant. Shares scheduled to vest on a certain date or upon the occurrence of a certain condition will not vest in Participant in accordance with any of the provisions of this Agreement, unless Participant will have been continuously a Service Provider from the Date of Grant until the date such vesting occurs.</w:t>
      </w:r>
    </w:p>
    <w:p>
      <w:pPr>
        <w:spacing w:after="0" w:line="120" w:lineRule="exact"/>
        <w:rPr>
          <w:rFonts w:ascii="Arial" w:cs="Arial" w:eastAsia="Arial" w:hAnsi="Arial"/>
          <w:sz w:val="21"/>
          <w:szCs w:val="21"/>
          <w:color w:val="auto"/>
        </w:rPr>
      </w:pPr>
    </w:p>
    <w:p>
      <w:pPr>
        <w:jc w:val="both"/>
        <w:ind w:firstLine="807"/>
        <w:spacing w:after="0"/>
        <w:tabs>
          <w:tab w:leader="none" w:pos="1258"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32" w:lineRule="exact"/>
        <w:rPr>
          <w:rFonts w:ascii="Arial" w:cs="Arial" w:eastAsia="Arial" w:hAnsi="Arial"/>
          <w:sz w:val="22"/>
          <w:szCs w:val="22"/>
          <w:color w:val="auto"/>
        </w:rPr>
      </w:pPr>
    </w:p>
    <w:p>
      <w:pPr>
        <w:ind w:left="1180" w:hanging="373"/>
        <w:spacing w:after="0"/>
        <w:tabs>
          <w:tab w:leader="none" w:pos="1180"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right="20" w:firstLine="1492"/>
        <w:spacing w:after="0" w:line="251" w:lineRule="auto"/>
        <w:tabs>
          <w:tab w:leader="none" w:pos="2209"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This Option may be exercised only within the term set out in the Notice of Grant, and may be exercised during such term only in accordance with the Plan and the terms of this Agreement.</w:t>
      </w:r>
    </w:p>
    <w:p>
      <w:pPr>
        <w:spacing w:after="0" w:line="119" w:lineRule="exact"/>
        <w:rPr>
          <w:rFonts w:ascii="Arial" w:cs="Arial" w:eastAsia="Arial" w:hAnsi="Arial"/>
          <w:sz w:val="22"/>
          <w:szCs w:val="22"/>
          <w:color w:val="auto"/>
        </w:rPr>
      </w:pPr>
    </w:p>
    <w:p>
      <w:pPr>
        <w:jc w:val="both"/>
        <w:ind w:firstLine="1492"/>
        <w:spacing w:after="0" w:line="248" w:lineRule="auto"/>
        <w:tabs>
          <w:tab w:leader="none" w:pos="2222" w:val="left"/>
        </w:tabs>
        <w:numPr>
          <w:ilvl w:val="1"/>
          <w:numId w:val="283"/>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xml:space="preserve">. This Option is exercisable by delivery of an exercise notice, in the form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w:t>
      </w:r>
    </w:p>
    <w:p>
      <w:pPr>
        <w:spacing w:after="0" w:line="109" w:lineRule="exact"/>
        <w:rPr>
          <w:rFonts w:ascii="Arial" w:cs="Arial" w:eastAsia="Arial" w:hAnsi="Arial"/>
          <w:sz w:val="21"/>
          <w:szCs w:val="21"/>
          <w:color w:val="auto"/>
        </w:rPr>
      </w:pPr>
    </w:p>
    <w:p>
      <w:pPr>
        <w:ind w:left="5660" w:hanging="126"/>
        <w:spacing w:after="0"/>
        <w:tabs>
          <w:tab w:leader="none" w:pos="566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260" w:right="239" w:bottom="1440" w:gutter="0" w:footer="0" w:header="0"/>
        </w:sectPr>
      </w:pPr>
    </w:p>
    <w:bookmarkStart w:id="323" w:name="page324"/>
    <w:bookmarkEnd w:id="323"/>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 Exercised Shares together with any applicable tax withholding. This Option will be deemed to be exercised upon receipt by the Company of such fully executed Exercise Notice accompanied by the aggregate Exercise Price.</w:t>
      </w:r>
    </w:p>
    <w:p>
      <w:pPr>
        <w:spacing w:after="0" w:line="119" w:lineRule="exact"/>
        <w:rPr>
          <w:sz w:val="20"/>
          <w:szCs w:val="20"/>
          <w:color w:val="auto"/>
        </w:rPr>
      </w:pPr>
    </w:p>
    <w:p>
      <w:pPr>
        <w:ind w:firstLine="807"/>
        <w:spacing w:after="0" w:line="251" w:lineRule="auto"/>
        <w:tabs>
          <w:tab w:leader="none" w:pos="1271"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aggregate Exercise Price will be by any of the following, or a combination thereof, at the election of Participant:</w:t>
      </w:r>
    </w:p>
    <w:p>
      <w:pPr>
        <w:spacing w:after="0" w:line="119" w:lineRule="exact"/>
        <w:rPr>
          <w:rFonts w:ascii="Arial" w:cs="Arial" w:eastAsia="Arial" w:hAnsi="Arial"/>
          <w:sz w:val="22"/>
          <w:szCs w:val="22"/>
          <w:color w:val="auto"/>
        </w:rPr>
      </w:pPr>
    </w:p>
    <w:p>
      <w:pPr>
        <w:ind w:left="2160" w:hanging="668"/>
        <w:spacing w:after="0"/>
        <w:tabs>
          <w:tab w:leader="none" w:pos="216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cash;</w:t>
      </w:r>
    </w:p>
    <w:p>
      <w:pPr>
        <w:spacing w:after="0" w:line="152" w:lineRule="exact"/>
        <w:rPr>
          <w:rFonts w:ascii="Arial" w:cs="Arial" w:eastAsia="Arial" w:hAnsi="Arial"/>
          <w:sz w:val="22"/>
          <w:szCs w:val="22"/>
          <w:color w:val="auto"/>
        </w:rPr>
      </w:pPr>
    </w:p>
    <w:p>
      <w:pPr>
        <w:ind w:left="2180" w:hanging="688"/>
        <w:spacing w:after="0"/>
        <w:tabs>
          <w:tab w:leader="none" w:pos="218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check;</w:t>
      </w:r>
    </w:p>
    <w:p>
      <w:pPr>
        <w:spacing w:after="0" w:line="152" w:lineRule="exact"/>
        <w:rPr>
          <w:rFonts w:ascii="Arial" w:cs="Arial" w:eastAsia="Arial" w:hAnsi="Arial"/>
          <w:sz w:val="22"/>
          <w:szCs w:val="22"/>
          <w:color w:val="auto"/>
        </w:rPr>
      </w:pPr>
    </w:p>
    <w:p>
      <w:pPr>
        <w:ind w:right="20" w:firstLine="1492"/>
        <w:spacing w:after="0" w:line="251" w:lineRule="auto"/>
        <w:tabs>
          <w:tab w:leader="none" w:pos="248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consideration received by the Company under a formal cashless exercise program adopted by the Company in connection with the Plan; or</w:t>
      </w:r>
    </w:p>
    <w:p>
      <w:pPr>
        <w:spacing w:after="0" w:line="119" w:lineRule="exact"/>
        <w:rPr>
          <w:rFonts w:ascii="Arial" w:cs="Arial" w:eastAsia="Arial" w:hAnsi="Arial"/>
          <w:sz w:val="22"/>
          <w:szCs w:val="22"/>
          <w:color w:val="auto"/>
        </w:rPr>
      </w:pPr>
    </w:p>
    <w:p>
      <w:pPr>
        <w:jc w:val="both"/>
        <w:ind w:firstLine="1492"/>
        <w:spacing w:after="0"/>
        <w:tabs>
          <w:tab w:leader="none" w:pos="2222" w:val="left"/>
        </w:tabs>
        <w:numPr>
          <w:ilvl w:val="1"/>
          <w:numId w:val="284"/>
        </w:numPr>
        <w:rPr>
          <w:rFonts w:ascii="Arial" w:cs="Arial" w:eastAsia="Arial" w:hAnsi="Arial"/>
          <w:sz w:val="22"/>
          <w:szCs w:val="22"/>
          <w:color w:val="auto"/>
        </w:rPr>
      </w:pPr>
      <w:r>
        <w:rPr>
          <w:rFonts w:ascii="Arial" w:cs="Arial" w:eastAsia="Arial" w:hAnsi="Arial"/>
          <w:sz w:val="22"/>
          <w:szCs w:val="22"/>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32" w:lineRule="exact"/>
        <w:rPr>
          <w:rFonts w:ascii="Arial" w:cs="Arial" w:eastAsia="Arial" w:hAnsi="Arial"/>
          <w:sz w:val="22"/>
          <w:szCs w:val="22"/>
          <w:color w:val="auto"/>
        </w:rPr>
      </w:pPr>
    </w:p>
    <w:p>
      <w:pPr>
        <w:ind w:left="1180" w:hanging="373"/>
        <w:spacing w:after="0"/>
        <w:tabs>
          <w:tab w:leader="none" w:pos="1180"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Tax Obligations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492"/>
        <w:spacing w:after="0" w:line="275" w:lineRule="auto"/>
        <w:tabs>
          <w:tab w:leader="none" w:pos="2561" w:val="left"/>
        </w:tabs>
        <w:numPr>
          <w:ilvl w:val="1"/>
          <w:numId w:val="284"/>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Notwithstanding any contrary provision of this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of the Option exercise, Participant acknowledges and agrees that the Company may refuse to honor the exercise and refuse to deliver the Shares if such withholding amounts are not delivered at the time of exercise.</w:t>
      </w:r>
    </w:p>
    <w:p>
      <w:pPr>
        <w:spacing w:after="0" w:line="104" w:lineRule="exact"/>
        <w:rPr>
          <w:rFonts w:ascii="Arial" w:cs="Arial" w:eastAsia="Arial" w:hAnsi="Arial"/>
          <w:sz w:val="19"/>
          <w:szCs w:val="19"/>
          <w:color w:val="auto"/>
        </w:rPr>
      </w:pPr>
    </w:p>
    <w:p>
      <w:pPr>
        <w:jc w:val="both"/>
        <w:ind w:firstLine="1492"/>
        <w:spacing w:after="0" w:line="236" w:lineRule="auto"/>
        <w:tabs>
          <w:tab w:leader="none" w:pos="2235" w:val="left"/>
        </w:tabs>
        <w:numPr>
          <w:ilvl w:val="1"/>
          <w:numId w:val="284"/>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33" w:lineRule="exact"/>
        <w:rPr>
          <w:rFonts w:ascii="Arial" w:cs="Arial" w:eastAsia="Arial" w:hAnsi="Arial"/>
          <w:sz w:val="22"/>
          <w:szCs w:val="22"/>
          <w:color w:val="auto"/>
        </w:rPr>
      </w:pPr>
    </w:p>
    <w:p>
      <w:pPr>
        <w:jc w:val="both"/>
        <w:ind w:firstLine="1492"/>
        <w:spacing w:after="0" w:line="235" w:lineRule="auto"/>
        <w:tabs>
          <w:tab w:leader="none" w:pos="2317" w:val="left"/>
        </w:tabs>
        <w:numPr>
          <w:ilvl w:val="1"/>
          <w:numId w:val="284"/>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w:t>
      </w:r>
    </w:p>
    <w:p>
      <w:pPr>
        <w:spacing w:after="0" w:line="120" w:lineRule="exact"/>
        <w:rPr>
          <w:rFonts w:ascii="Arial" w:cs="Arial" w:eastAsia="Arial" w:hAnsi="Arial"/>
          <w:sz w:val="22"/>
          <w:szCs w:val="22"/>
          <w:color w:val="auto"/>
        </w:rPr>
      </w:pPr>
    </w:p>
    <w:p>
      <w:pPr>
        <w:ind w:left="5660" w:hanging="126"/>
        <w:spacing w:after="0"/>
        <w:tabs>
          <w:tab w:leader="none" w:pos="5660" w:val="left"/>
        </w:tabs>
        <w:numPr>
          <w:ilvl w:val="2"/>
          <w:numId w:val="284"/>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20"/>
          </w:cols>
          <w:pgMar w:left="240" w:top="266" w:right="239" w:bottom="1440" w:gutter="0" w:footer="0" w:header="0"/>
        </w:sectPr>
      </w:pPr>
    </w:p>
    <w:bookmarkStart w:id="324" w:name="page325"/>
    <w:bookmarkEnd w:id="324"/>
    <w:p>
      <w:pPr>
        <w:jc w:val="both"/>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25" w:lineRule="exact"/>
        <w:rPr>
          <w:sz w:val="20"/>
          <w:szCs w:val="20"/>
          <w:color w:val="auto"/>
        </w:rPr>
      </w:pPr>
    </w:p>
    <w:p>
      <w:pPr>
        <w:jc w:val="both"/>
        <w:ind w:firstLine="807"/>
        <w:spacing w:after="0" w:line="282" w:lineRule="auto"/>
        <w:tabs>
          <w:tab w:leader="none" w:pos="1190"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93" w:lineRule="exact"/>
        <w:rPr>
          <w:rFonts w:ascii="Arial" w:cs="Arial" w:eastAsia="Arial" w:hAnsi="Arial"/>
          <w:sz w:val="19"/>
          <w:szCs w:val="19"/>
          <w:color w:val="auto"/>
        </w:rPr>
      </w:pPr>
    </w:p>
    <w:p>
      <w:pPr>
        <w:jc w:val="both"/>
        <w:ind w:firstLine="807"/>
        <w:spacing w:after="0" w:line="233" w:lineRule="auto"/>
        <w:tabs>
          <w:tab w:leader="none" w:pos="1217"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No Guarantee of Continued Service</w:t>
      </w:r>
      <w:r>
        <w:rPr>
          <w:rFonts w:ascii="Arial" w:cs="Arial" w:eastAsia="Arial" w:hAnsi="Arial"/>
          <w:sz w:val="22"/>
          <w:szCs w:val="22"/>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34" w:lineRule="exact"/>
        <w:rPr>
          <w:rFonts w:ascii="Arial" w:cs="Arial" w:eastAsia="Arial" w:hAnsi="Arial"/>
          <w:sz w:val="22"/>
          <w:szCs w:val="22"/>
          <w:color w:val="auto"/>
        </w:rPr>
      </w:pPr>
    </w:p>
    <w:p>
      <w:pPr>
        <w:jc w:val="both"/>
        <w:ind w:firstLine="807"/>
        <w:spacing w:after="0"/>
        <w:tabs>
          <w:tab w:leader="none" w:pos="1190"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Agreement will be addressed to the Company at Fluidigm Corporation, 7000 Shoreline Court, Suite 100, South San Francisco, CA 94080, or at such other address as the Company may hereafter designate in writing.</w:t>
      </w:r>
    </w:p>
    <w:p>
      <w:pPr>
        <w:spacing w:after="0" w:line="132" w:lineRule="exact"/>
        <w:rPr>
          <w:rFonts w:ascii="Arial" w:cs="Arial" w:eastAsia="Arial" w:hAnsi="Arial"/>
          <w:sz w:val="22"/>
          <w:szCs w:val="22"/>
          <w:color w:val="auto"/>
        </w:rPr>
      </w:pPr>
    </w:p>
    <w:p>
      <w:pPr>
        <w:ind w:firstLine="807"/>
        <w:spacing w:after="0" w:line="251" w:lineRule="auto"/>
        <w:tabs>
          <w:tab w:leader="none" w:pos="1136"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otherwise than by will or by the laws of descent or distribution and may be exercised during the lifetime of Participant only by Participant.</w:t>
      </w:r>
    </w:p>
    <w:p>
      <w:pPr>
        <w:spacing w:after="0" w:line="119" w:lineRule="exact"/>
        <w:rPr>
          <w:rFonts w:ascii="Arial" w:cs="Arial" w:eastAsia="Arial" w:hAnsi="Arial"/>
          <w:sz w:val="22"/>
          <w:szCs w:val="22"/>
          <w:color w:val="auto"/>
        </w:rPr>
      </w:pPr>
    </w:p>
    <w:p>
      <w:pPr>
        <w:ind w:firstLine="807"/>
        <w:spacing w:after="0" w:line="328" w:lineRule="auto"/>
        <w:tabs>
          <w:tab w:leader="none" w:pos="1115"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51" w:lineRule="exact"/>
        <w:rPr>
          <w:rFonts w:ascii="Arial" w:cs="Arial" w:eastAsia="Arial" w:hAnsi="Arial"/>
          <w:sz w:val="19"/>
          <w:szCs w:val="19"/>
          <w:color w:val="auto"/>
        </w:rPr>
      </w:pPr>
    </w:p>
    <w:p>
      <w:pPr>
        <w:ind w:firstLine="807"/>
        <w:spacing w:after="0" w:line="251" w:lineRule="auto"/>
        <w:tabs>
          <w:tab w:leader="none" w:pos="1136" w:val="left"/>
        </w:tabs>
        <w:numPr>
          <w:ilvl w:val="0"/>
          <w:numId w:val="285"/>
        </w:numPr>
        <w:rPr>
          <w:rFonts w:ascii="Arial" w:cs="Arial" w:eastAsia="Arial" w:hAnsi="Arial"/>
          <w:sz w:val="22"/>
          <w:szCs w:val="22"/>
          <w:color w:val="auto"/>
        </w:rPr>
      </w:pPr>
      <w:r>
        <w:rPr>
          <w:rFonts w:ascii="Arial" w:cs="Arial" w:eastAsia="Arial" w:hAnsi="Arial"/>
          <w:sz w:val="22"/>
          <w:szCs w:val="22"/>
          <w:u w:val="single" w:color="auto"/>
          <w:color w:val="auto"/>
        </w:rPr>
        <w:t>Additional Conditions to Issuance of Stock</w:t>
      </w:r>
      <w:r>
        <w:rPr>
          <w:rFonts w:ascii="Arial" w:cs="Arial" w:eastAsia="Arial" w:hAnsi="Arial"/>
          <w:sz w:val="22"/>
          <w:szCs w:val="22"/>
          <w:color w:val="auto"/>
        </w:rPr>
        <w:t>. If at any time the Company will determine, in its discretion, that the listing, registration or qualification of the Shares upon any securities</w:t>
      </w:r>
    </w:p>
    <w:p>
      <w:pPr>
        <w:spacing w:after="0" w:line="105" w:lineRule="exact"/>
        <w:rPr>
          <w:rFonts w:ascii="Arial" w:cs="Arial" w:eastAsia="Arial" w:hAnsi="Arial"/>
          <w:sz w:val="22"/>
          <w:szCs w:val="22"/>
          <w:color w:val="auto"/>
        </w:rPr>
      </w:pPr>
    </w:p>
    <w:p>
      <w:pPr>
        <w:ind w:left="5660" w:hanging="126"/>
        <w:spacing w:after="0"/>
        <w:tabs>
          <w:tab w:leader="none" w:pos="5660" w:val="left"/>
        </w:tabs>
        <w:numPr>
          <w:ilvl w:val="1"/>
          <w:numId w:val="285"/>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420"/>
          </w:cols>
          <w:pgMar w:left="240" w:top="266" w:right="239" w:bottom="1440" w:gutter="0" w:footer="0" w:header="0"/>
        </w:sectPr>
      </w:pPr>
    </w:p>
    <w:bookmarkStart w:id="325" w:name="page326"/>
    <w:bookmarkEnd w:id="325"/>
    <w:p>
      <w:pPr>
        <w:jc w:val="both"/>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124" w:lineRule="exact"/>
        <w:rPr>
          <w:sz w:val="20"/>
          <w:szCs w:val="20"/>
          <w:color w:val="auto"/>
        </w:rPr>
      </w:pPr>
    </w:p>
    <w:p>
      <w:pPr>
        <w:jc w:val="both"/>
        <w:ind w:firstLine="807"/>
        <w:spacing w:after="0"/>
        <w:tabs>
          <w:tab w:leader="none" w:pos="1123"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This Agreement is subject to all terms and provisions of the Plan. In the event of a conflict between one or more provisions of this Agreement and one or more provisions of the Plan, the provisions of the Plan will govern. Capitalized terms used and not defined in this Agreement will have the meaning set forth in the Plan.</w:t>
      </w:r>
    </w:p>
    <w:p>
      <w:pPr>
        <w:spacing w:after="0" w:line="132" w:lineRule="exact"/>
        <w:rPr>
          <w:rFonts w:ascii="Arial" w:cs="Arial" w:eastAsia="Arial" w:hAnsi="Arial"/>
          <w:sz w:val="22"/>
          <w:szCs w:val="22"/>
          <w:color w:val="auto"/>
        </w:rPr>
      </w:pPr>
    </w:p>
    <w:p>
      <w:pPr>
        <w:jc w:val="both"/>
        <w:ind w:firstLine="807"/>
        <w:spacing w:after="0" w:line="279" w:lineRule="auto"/>
        <w:tabs>
          <w:tab w:leader="none" w:pos="1123" w:val="left"/>
        </w:tabs>
        <w:numPr>
          <w:ilvl w:val="0"/>
          <w:numId w:val="286"/>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Agreement.</w:t>
      </w:r>
    </w:p>
    <w:p>
      <w:pPr>
        <w:spacing w:after="0" w:line="96" w:lineRule="exact"/>
        <w:rPr>
          <w:rFonts w:ascii="Arial" w:cs="Arial" w:eastAsia="Arial" w:hAnsi="Arial"/>
          <w:sz w:val="19"/>
          <w:szCs w:val="19"/>
          <w:color w:val="auto"/>
        </w:rPr>
      </w:pPr>
    </w:p>
    <w:p>
      <w:pPr>
        <w:jc w:val="both"/>
        <w:ind w:firstLine="807"/>
        <w:spacing w:after="0" w:line="236" w:lineRule="auto"/>
        <w:tabs>
          <w:tab w:leader="none" w:pos="115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33" w:lineRule="exact"/>
        <w:rPr>
          <w:rFonts w:ascii="Arial" w:cs="Arial" w:eastAsia="Arial" w:hAnsi="Arial"/>
          <w:sz w:val="22"/>
          <w:szCs w:val="22"/>
          <w:color w:val="auto"/>
        </w:rPr>
      </w:pPr>
    </w:p>
    <w:p>
      <w:pPr>
        <w:ind w:right="20" w:firstLine="807"/>
        <w:spacing w:after="0" w:line="251" w:lineRule="auto"/>
        <w:tabs>
          <w:tab w:leader="none" w:pos="1150"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Agreement.</w:t>
      </w:r>
    </w:p>
    <w:p>
      <w:pPr>
        <w:spacing w:after="0" w:line="119" w:lineRule="exact"/>
        <w:rPr>
          <w:rFonts w:ascii="Arial" w:cs="Arial" w:eastAsia="Arial" w:hAnsi="Arial"/>
          <w:sz w:val="22"/>
          <w:szCs w:val="22"/>
          <w:color w:val="auto"/>
        </w:rPr>
      </w:pPr>
    </w:p>
    <w:p>
      <w:pPr>
        <w:jc w:val="both"/>
        <w:ind w:firstLine="807"/>
        <w:spacing w:after="0"/>
        <w:tabs>
          <w:tab w:leader="none" w:pos="1136" w:val="left"/>
        </w:tabs>
        <w:numPr>
          <w:ilvl w:val="0"/>
          <w:numId w:val="286"/>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32" w:lineRule="exact"/>
        <w:rPr>
          <w:rFonts w:ascii="Arial" w:cs="Arial" w:eastAsia="Arial" w:hAnsi="Arial"/>
          <w:sz w:val="22"/>
          <w:szCs w:val="22"/>
          <w:color w:val="auto"/>
        </w:rPr>
      </w:pPr>
    </w:p>
    <w:p>
      <w:pPr>
        <w:jc w:val="both"/>
        <w:ind w:firstLine="807"/>
        <w:spacing w:after="0" w:line="248" w:lineRule="auto"/>
        <w:tabs>
          <w:tab w:leader="none" w:pos="1136"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This Agreement constitutes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w:t>
      </w:r>
    </w:p>
    <w:p>
      <w:pPr>
        <w:spacing w:after="0" w:line="109" w:lineRule="exact"/>
        <w:rPr>
          <w:rFonts w:ascii="Arial" w:cs="Arial" w:eastAsia="Arial" w:hAnsi="Arial"/>
          <w:sz w:val="21"/>
          <w:szCs w:val="21"/>
          <w:color w:val="auto"/>
        </w:rPr>
      </w:pPr>
    </w:p>
    <w:p>
      <w:pPr>
        <w:ind w:left="5660" w:hanging="126"/>
        <w:spacing w:after="0"/>
        <w:tabs>
          <w:tab w:leader="none" w:pos="566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420"/>
          </w:cols>
          <w:pgMar w:left="240" w:top="267" w:right="239" w:bottom="1440" w:gutter="0" w:footer="0" w:header="0"/>
        </w:sectPr>
      </w:pPr>
    </w:p>
    <w:bookmarkStart w:id="326" w:name="page327"/>
    <w:bookmarkEnd w:id="326"/>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 with Code Section 409A or to otherwise avoid imposition of any additional tax or income recognition under Section 409A of the Code in connection to this Option.</w:t>
      </w:r>
    </w:p>
    <w:p>
      <w:pPr>
        <w:spacing w:after="0" w:line="119" w:lineRule="exact"/>
        <w:rPr>
          <w:sz w:val="20"/>
          <w:szCs w:val="20"/>
          <w:color w:val="auto"/>
        </w:rPr>
      </w:pPr>
    </w:p>
    <w:p>
      <w:pPr>
        <w:jc w:val="both"/>
        <w:ind w:firstLine="807"/>
        <w:spacing w:after="0" w:line="297" w:lineRule="auto"/>
        <w:tabs>
          <w:tab w:leader="none" w:pos="1136"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80" w:lineRule="exact"/>
        <w:rPr>
          <w:rFonts w:ascii="Arial" w:cs="Arial" w:eastAsia="Arial" w:hAnsi="Arial"/>
          <w:sz w:val="19"/>
          <w:szCs w:val="19"/>
          <w:color w:val="auto"/>
        </w:rPr>
      </w:pPr>
    </w:p>
    <w:p>
      <w:pPr>
        <w:jc w:val="both"/>
        <w:ind w:firstLine="807"/>
        <w:spacing w:after="0" w:line="236" w:lineRule="auto"/>
        <w:tabs>
          <w:tab w:leader="none" w:pos="1123" w:val="left"/>
        </w:tabs>
        <w:numPr>
          <w:ilvl w:val="0"/>
          <w:numId w:val="28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without giving effect to the conflict of law principles thereof. For purposes of litigating any dispute that arises under this Option or this Agreement, the parties hereby submit to and consent to the jurisdiction of the State of California</w:t>
      </w:r>
      <w:r>
        <w:rPr>
          <w:rFonts w:ascii="Arial" w:cs="Arial" w:eastAsia="Arial" w:hAnsi="Arial"/>
          <w:sz w:val="22"/>
          <w:szCs w:val="22"/>
          <w:b w:val="1"/>
          <w:bCs w:val="1"/>
          <w:color w:val="auto"/>
        </w:rPr>
        <w:t>,</w:t>
      </w:r>
      <w:r>
        <w:rPr>
          <w:rFonts w:ascii="Arial" w:cs="Arial" w:eastAsia="Arial" w:hAnsi="Arial"/>
          <w:sz w:val="22"/>
          <w:szCs w:val="22"/>
          <w:color w:val="auto"/>
        </w:rPr>
        <w:t xml:space="preserve">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20" w:lineRule="exact"/>
        <w:rPr>
          <w:rFonts w:ascii="Arial" w:cs="Arial" w:eastAsia="Arial" w:hAnsi="Arial"/>
          <w:sz w:val="22"/>
          <w:szCs w:val="22"/>
          <w:color w:val="auto"/>
        </w:rPr>
      </w:pPr>
    </w:p>
    <w:p>
      <w:pPr>
        <w:ind w:left="5660" w:hanging="126"/>
        <w:spacing w:after="0"/>
        <w:tabs>
          <w:tab w:leader="none" w:pos="566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420"/>
          </w:cols>
          <w:pgMar w:left="240" w:top="267"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EXERCISE NOTICE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38" w:lineRule="auto"/>
        <w:rPr>
          <w:sz w:val="20"/>
          <w:szCs w:val="20"/>
          <w:color w:val="auto"/>
        </w:rPr>
      </w:pPr>
      <w:r>
        <w:rPr>
          <w:rFonts w:ascii="Arial" w:cs="Arial" w:eastAsia="Arial" w:hAnsi="Arial"/>
          <w:sz w:val="22"/>
          <w:szCs w:val="22"/>
          <w:color w:val="auto"/>
        </w:rPr>
        <w:t>7000 Shoreline Court, Suite 100</w:t>
      </w:r>
    </w:p>
    <w:p>
      <w:pPr>
        <w:spacing w:after="0"/>
        <w:rPr>
          <w:sz w:val="20"/>
          <w:szCs w:val="20"/>
          <w:color w:val="auto"/>
        </w:rPr>
      </w:pPr>
      <w:r>
        <w:rPr>
          <w:rFonts w:ascii="Arial" w:cs="Arial" w:eastAsia="Arial" w:hAnsi="Arial"/>
          <w:sz w:val="22"/>
          <w:szCs w:val="22"/>
          <w:color w:val="auto"/>
        </w:rPr>
        <w:t>South San Francisco, CA 94080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w w:val="98"/>
              </w:rPr>
              <w:t>Attention:</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1060" w:type="dxa"/>
            <w:vAlign w:val="bottom"/>
            <w:gridSpan w:val="2"/>
          </w:tcPr>
          <w:p>
            <w:pPr>
              <w:ind w:left="800"/>
              <w:spacing w:after="0"/>
              <w:rPr>
                <w:sz w:val="20"/>
                <w:szCs w:val="20"/>
                <w:color w:val="auto"/>
              </w:rPr>
            </w:pPr>
            <w:r>
              <w:rPr>
                <w:rFonts w:ascii="Arial" w:cs="Arial" w:eastAsia="Arial" w:hAnsi="Arial"/>
                <w:sz w:val="22"/>
                <w:szCs w:val="22"/>
                <w:color w:val="auto"/>
              </w:rPr>
              <w:t>1.</w:t>
            </w:r>
          </w:p>
        </w:tc>
        <w:tc>
          <w:tcPr>
            <w:tcW w:w="2260" w:type="dxa"/>
            <w:vAlign w:val="bottom"/>
            <w:gridSpan w:val="5"/>
          </w:tcPr>
          <w:p>
            <w:pPr>
              <w:ind w:left="360"/>
              <w:spacing w:after="0"/>
              <w:rPr>
                <w:sz w:val="20"/>
                <w:szCs w:val="20"/>
                <w:color w:val="auto"/>
              </w:rPr>
            </w:pPr>
            <w:r>
              <w:rPr>
                <w:rFonts w:ascii="Arial" w:cs="Arial" w:eastAsia="Arial" w:hAnsi="Arial"/>
                <w:sz w:val="22"/>
                <w:szCs w:val="22"/>
                <w:color w:val="auto"/>
              </w:rPr>
              <w:t>Exercise of Option.</w:t>
            </w:r>
          </w:p>
        </w:tc>
        <w:tc>
          <w:tcPr>
            <w:tcW w:w="2020" w:type="dxa"/>
            <w:vAlign w:val="bottom"/>
            <w:gridSpan w:val="2"/>
          </w:tcPr>
          <w:p>
            <w:pPr>
              <w:ind w:left="120"/>
              <w:spacing w:after="0"/>
              <w:rPr>
                <w:sz w:val="20"/>
                <w:szCs w:val="20"/>
                <w:color w:val="auto"/>
              </w:rPr>
            </w:pPr>
            <w:r>
              <w:rPr>
                <w:rFonts w:ascii="Arial" w:cs="Arial" w:eastAsia="Arial" w:hAnsi="Arial"/>
                <w:sz w:val="22"/>
                <w:szCs w:val="22"/>
                <w:color w:val="auto"/>
                <w:w w:val="92"/>
              </w:rPr>
              <w:t>Effective as of today,</w:t>
            </w:r>
          </w:p>
        </w:tc>
        <w:tc>
          <w:tcPr>
            <w:tcW w:w="146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4"/>
                <w:szCs w:val="24"/>
                <w:color w:val="auto"/>
              </w:rPr>
            </w:pPr>
          </w:p>
        </w:tc>
        <w:tc>
          <w:tcPr>
            <w:tcW w:w="3940" w:type="dxa"/>
            <w:vAlign w:val="bottom"/>
            <w:gridSpan w:val="3"/>
          </w:tcPr>
          <w:p>
            <w:pPr>
              <w:jc w:val="right"/>
              <w:spacing w:after="0"/>
              <w:rPr>
                <w:sz w:val="20"/>
                <w:szCs w:val="20"/>
                <w:color w:val="auto"/>
              </w:rPr>
            </w:pPr>
            <w:r>
              <w:rPr>
                <w:rFonts w:ascii="Arial" w:cs="Arial" w:eastAsia="Arial" w:hAnsi="Arial"/>
                <w:sz w:val="22"/>
                <w:szCs w:val="22"/>
                <w:color w:val="auto"/>
                <w:w w:val="88"/>
              </w:rPr>
              <w:t>, the undersigned (“Purchaser”) hereby elects</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w w:val="90"/>
              </w:rPr>
              <w:t>to purchase</w:t>
            </w: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80" w:type="dxa"/>
            <w:vAlign w:val="bottom"/>
            <w:gridSpan w:val="11"/>
          </w:tcPr>
          <w:p>
            <w:pPr>
              <w:jc w:val="right"/>
              <w:spacing w:after="0" w:line="223" w:lineRule="exact"/>
              <w:rPr>
                <w:sz w:val="20"/>
                <w:szCs w:val="20"/>
                <w:color w:val="auto"/>
              </w:rPr>
            </w:pPr>
            <w:r>
              <w:rPr>
                <w:rFonts w:ascii="Arial" w:cs="Arial" w:eastAsia="Arial" w:hAnsi="Arial"/>
                <w:sz w:val="22"/>
                <w:szCs w:val="22"/>
                <w:color w:val="auto"/>
                <w:w w:val="90"/>
              </w:rPr>
              <w:t>shares (the “Shares”) of the Common Stock of Fluidigm Corporation (the “Company”) under and pursuant</w:t>
            </w:r>
          </w:p>
        </w:tc>
        <w:tc>
          <w:tcPr>
            <w:tcW w:w="0" w:type="dxa"/>
            <w:vAlign w:val="bottom"/>
          </w:tcPr>
          <w:p>
            <w:pPr>
              <w:spacing w:after="0"/>
              <w:rPr>
                <w:sz w:val="1"/>
                <w:szCs w:val="1"/>
                <w:color w:val="auto"/>
              </w:rPr>
            </w:pPr>
          </w:p>
        </w:tc>
      </w:tr>
      <w:tr>
        <w:trPr>
          <w:trHeight w:val="223"/>
        </w:trPr>
        <w:tc>
          <w:tcPr>
            <w:tcW w:w="7740" w:type="dxa"/>
            <w:vAlign w:val="bottom"/>
            <w:gridSpan w:val="13"/>
          </w:tcPr>
          <w:p>
            <w:pPr>
              <w:spacing w:after="0" w:line="223" w:lineRule="exact"/>
              <w:rPr>
                <w:sz w:val="20"/>
                <w:szCs w:val="20"/>
                <w:color w:val="auto"/>
              </w:rPr>
            </w:pPr>
            <w:r>
              <w:rPr>
                <w:rFonts w:ascii="Arial" w:cs="Arial" w:eastAsia="Arial" w:hAnsi="Arial"/>
                <w:sz w:val="22"/>
                <w:szCs w:val="22"/>
                <w:color w:val="auto"/>
                <w:w w:val="93"/>
              </w:rPr>
              <w:t>to the 2011 Equity Incentive Plan (the “Plan”) and the Stock Option Agreement dated</w:t>
            </w:r>
          </w:p>
        </w:tc>
        <w:tc>
          <w:tcPr>
            <w:tcW w:w="1500" w:type="dxa"/>
            <w:vAlign w:val="bottom"/>
            <w:tcBorders>
              <w:bottom w:val="single" w:sz="8" w:color="auto"/>
            </w:tcBorders>
          </w:tcPr>
          <w:p>
            <w:pPr>
              <w:spacing w:after="0"/>
              <w:rPr>
                <w:sz w:val="19"/>
                <w:szCs w:val="19"/>
                <w:color w:val="auto"/>
              </w:rPr>
            </w:pPr>
          </w:p>
        </w:tc>
        <w:tc>
          <w:tcPr>
            <w:tcW w:w="2180" w:type="dxa"/>
            <w:vAlign w:val="bottom"/>
          </w:tcPr>
          <w:p>
            <w:pPr>
              <w:jc w:val="right"/>
              <w:spacing w:after="0" w:line="223" w:lineRule="exact"/>
              <w:rPr>
                <w:sz w:val="20"/>
                <w:szCs w:val="20"/>
                <w:color w:val="auto"/>
              </w:rPr>
            </w:pPr>
            <w:r>
              <w:rPr>
                <w:rFonts w:ascii="Arial" w:cs="Arial" w:eastAsia="Arial" w:hAnsi="Arial"/>
                <w:sz w:val="22"/>
                <w:szCs w:val="22"/>
                <w:color w:val="auto"/>
                <w:w w:val="96"/>
              </w:rPr>
              <w:t>(the “Agreement”). The</w:t>
            </w:r>
          </w:p>
        </w:tc>
        <w:tc>
          <w:tcPr>
            <w:tcW w:w="0" w:type="dxa"/>
            <w:vAlign w:val="bottom"/>
          </w:tcPr>
          <w:p>
            <w:pPr>
              <w:spacing w:after="0"/>
              <w:rPr>
                <w:sz w:val="1"/>
                <w:szCs w:val="1"/>
                <w:color w:val="auto"/>
              </w:rPr>
            </w:pPr>
          </w:p>
        </w:tc>
      </w:tr>
      <w:tr>
        <w:trPr>
          <w:trHeight w:val="223"/>
        </w:trPr>
        <w:tc>
          <w:tcPr>
            <w:tcW w:w="3320" w:type="dxa"/>
            <w:vAlign w:val="bottom"/>
            <w:gridSpan w:val="7"/>
          </w:tcPr>
          <w:p>
            <w:pPr>
              <w:spacing w:after="0" w:line="223" w:lineRule="exact"/>
              <w:rPr>
                <w:sz w:val="20"/>
                <w:szCs w:val="20"/>
                <w:color w:val="auto"/>
              </w:rPr>
            </w:pPr>
            <w:r>
              <w:rPr>
                <w:rFonts w:ascii="Arial" w:cs="Arial" w:eastAsia="Arial" w:hAnsi="Arial"/>
                <w:sz w:val="22"/>
                <w:szCs w:val="22"/>
                <w:color w:val="auto"/>
                <w:w w:val="88"/>
              </w:rPr>
              <w:t>purchase price for the Shares will be $</w:t>
            </w:r>
          </w:p>
        </w:tc>
        <w:tc>
          <w:tcPr>
            <w:tcW w:w="1080" w:type="dxa"/>
            <w:vAlign w:val="bottom"/>
            <w:tcBorders>
              <w:bottom w:val="single" w:sz="8" w:color="auto"/>
            </w:tcBorders>
          </w:tcPr>
          <w:p>
            <w:pPr>
              <w:spacing w:after="0"/>
              <w:rPr>
                <w:sz w:val="19"/>
                <w:szCs w:val="19"/>
                <w:color w:val="auto"/>
              </w:rPr>
            </w:pPr>
          </w:p>
        </w:tc>
        <w:tc>
          <w:tcPr>
            <w:tcW w:w="3080" w:type="dxa"/>
            <w:vAlign w:val="bottom"/>
            <w:gridSpan w:val="4"/>
          </w:tcPr>
          <w:p>
            <w:pPr>
              <w:spacing w:after="0" w:line="223" w:lineRule="exact"/>
              <w:rPr>
                <w:sz w:val="20"/>
                <w:szCs w:val="20"/>
                <w:color w:val="auto"/>
              </w:rPr>
            </w:pPr>
            <w:r>
              <w:rPr>
                <w:rFonts w:ascii="Arial" w:cs="Arial" w:eastAsia="Arial" w:hAnsi="Arial"/>
                <w:sz w:val="22"/>
                <w:szCs w:val="22"/>
                <w:color w:val="auto"/>
                <w:w w:val="99"/>
              </w:rPr>
              <w:t>, as required by the Agreement.</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firstLine="807"/>
        <w:spacing w:after="0" w:line="251" w:lineRule="auto"/>
        <w:tabs>
          <w:tab w:leader="none" w:pos="1447"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Delivery of Payment</w:t>
      </w:r>
      <w:r>
        <w:rPr>
          <w:rFonts w:ascii="Arial" w:cs="Arial" w:eastAsia="Arial" w:hAnsi="Arial"/>
          <w:sz w:val="22"/>
          <w:szCs w:val="22"/>
          <w:color w:val="auto"/>
        </w:rPr>
        <w:t>. Purchaser herewith delivers to the Company the full purchase price of the Shares and any required tax withholding to be paid in connection with the exercise of the Option.</w:t>
      </w:r>
    </w:p>
    <w:p>
      <w:pPr>
        <w:spacing w:after="0" w:line="119" w:lineRule="exact"/>
        <w:rPr>
          <w:rFonts w:ascii="Arial" w:cs="Arial" w:eastAsia="Arial" w:hAnsi="Arial"/>
          <w:sz w:val="22"/>
          <w:szCs w:val="22"/>
          <w:color w:val="auto"/>
        </w:rPr>
      </w:pPr>
    </w:p>
    <w:p>
      <w:pPr>
        <w:ind w:firstLine="807"/>
        <w:spacing w:after="0" w:line="251" w:lineRule="auto"/>
        <w:tabs>
          <w:tab w:leader="none" w:pos="1406"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Representations of Purchaser</w:t>
      </w:r>
      <w:r>
        <w:rPr>
          <w:rFonts w:ascii="Arial" w:cs="Arial" w:eastAsia="Arial" w:hAnsi="Arial"/>
          <w:sz w:val="22"/>
          <w:szCs w:val="22"/>
          <w:color w:val="auto"/>
        </w:rPr>
        <w:t>. Purchaser acknowledges that Purchaser has received, read and understood the Plan and the Agreement and agrees to abide by and be bound by their terms and conditions.</w:t>
      </w:r>
    </w:p>
    <w:p>
      <w:pPr>
        <w:spacing w:after="0" w:line="119" w:lineRule="exact"/>
        <w:rPr>
          <w:rFonts w:ascii="Arial" w:cs="Arial" w:eastAsia="Arial" w:hAnsi="Arial"/>
          <w:sz w:val="22"/>
          <w:szCs w:val="22"/>
          <w:color w:val="auto"/>
        </w:rPr>
      </w:pPr>
    </w:p>
    <w:p>
      <w:pPr>
        <w:jc w:val="both"/>
        <w:ind w:firstLine="807"/>
        <w:spacing w:after="0" w:line="282" w:lineRule="auto"/>
        <w:tabs>
          <w:tab w:leader="none" w:pos="1420"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93" w:lineRule="exact"/>
        <w:rPr>
          <w:rFonts w:ascii="Arial" w:cs="Arial" w:eastAsia="Arial" w:hAnsi="Arial"/>
          <w:sz w:val="19"/>
          <w:szCs w:val="19"/>
          <w:color w:val="auto"/>
        </w:rPr>
      </w:pPr>
    </w:p>
    <w:p>
      <w:pPr>
        <w:jc w:val="both"/>
        <w:ind w:firstLine="807"/>
        <w:spacing w:after="0" w:line="238" w:lineRule="auto"/>
        <w:tabs>
          <w:tab w:leader="none" w:pos="1596"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17" w:lineRule="exact"/>
        <w:rPr>
          <w:rFonts w:ascii="Arial" w:cs="Arial" w:eastAsia="Arial" w:hAnsi="Arial"/>
          <w:sz w:val="22"/>
          <w:szCs w:val="22"/>
          <w:color w:val="auto"/>
        </w:rPr>
      </w:pPr>
    </w:p>
    <w:p>
      <w:pPr>
        <w:ind w:left="5680" w:hanging="119"/>
        <w:spacing w:after="0"/>
        <w:tabs>
          <w:tab w:leader="none" w:pos="568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1-</w:t>
      </w:r>
    </w:p>
    <w:p>
      <w:pPr>
        <w:sectPr>
          <w:pgSz w:w="11900" w:h="16838" w:orient="portrait"/>
          <w:cols w:equalWidth="0" w:num="1">
            <w:col w:w="11420"/>
          </w:cols>
          <w:pgMar w:left="240" w:top="260" w:right="239" w:bottom="1440" w:gutter="0" w:footer="0" w:header="0"/>
        </w:sectPr>
      </w:pPr>
    </w:p>
    <w:bookmarkStart w:id="328" w:name="page329"/>
    <w:bookmarkEnd w:id="328"/>
    <w:p>
      <w:pPr>
        <w:jc w:val="both"/>
        <w:ind w:firstLine="807"/>
        <w:spacing w:after="0" w:line="282" w:lineRule="auto"/>
        <w:tabs>
          <w:tab w:leader="none" w:pos="1461"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Governing Law</w:t>
      </w:r>
      <w:r>
        <w:rPr>
          <w:rFonts w:ascii="Arial" w:cs="Arial" w:eastAsia="Arial" w:hAnsi="Arial"/>
          <w:sz w:val="19"/>
          <w:szCs w:val="19"/>
          <w:color w:val="auto"/>
        </w:rPr>
        <w:t>. The Plan and Agreement are incorporated herein by reference. This Exercise Notice, the Plan and the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ectPr>
          <w:pgSz w:w="11900" w:h="16838" w:orient="portrait"/>
          <w:cols w:equalWidth="0" w:num="1">
            <w:col w:w="11420"/>
          </w:cols>
          <w:pgMar w:left="240" w:top="266"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Submitted by: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33362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3362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Address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33362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33362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457835</wp:posOffset>
            </wp:positionV>
            <wp:extent cx="34048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299085</wp:posOffset>
            </wp:positionV>
            <wp:extent cx="34048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5140"/>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1512570</wp:posOffset>
            </wp:positionV>
            <wp:extent cx="34048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93" w:lineRule="exact"/>
        <w:rPr>
          <w:sz w:val="20"/>
          <w:szCs w:val="20"/>
          <w:color w:val="auto"/>
        </w:rPr>
      </w:pPr>
    </w:p>
    <w:p>
      <w:pPr>
        <w:sectPr>
          <w:pgSz w:w="11900" w:h="16838" w:orient="portrait"/>
          <w:cols w:equalWidth="0" w:num="2">
            <w:col w:w="5340" w:space="720"/>
            <w:col w:w="5360"/>
          </w:cols>
          <w:pgMar w:left="240" w:top="2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100"/>
        <w:spacing w:after="0"/>
        <w:rPr>
          <w:sz w:val="20"/>
          <w:szCs w:val="20"/>
          <w:color w:val="auto"/>
        </w:rPr>
      </w:pPr>
      <w:r>
        <w:rPr>
          <w:rFonts w:ascii="Arial" w:cs="Arial" w:eastAsia="Arial" w:hAnsi="Arial"/>
          <w:sz w:val="22"/>
          <w:szCs w:val="22"/>
          <w:color w:val="auto"/>
        </w:rPr>
        <w:t>Date Received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- 2 -</w:t>
      </w:r>
    </w:p>
    <w:p>
      <w:pPr>
        <w:sectPr>
          <w:pgSz w:w="11900" w:h="16838" w:orient="portrait"/>
          <w:cols w:equalWidth="0" w:num="1">
            <w:col w:w="11420"/>
          </w:cols>
          <w:pgMar w:left="240" w:top="266" w:right="239" w:bottom="1440" w:gutter="0" w:footer="0" w:header="0"/>
          <w:type w:val="continuous"/>
        </w:sectPr>
      </w:pPr>
    </w:p>
    <w:bookmarkStart w:id="329" w:name="page330"/>
    <w:bookmarkEnd w:id="32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FLUIDIGM CORPORATION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58" w:lineRule="exact"/>
        <w:rPr>
          <w:sz w:val="20"/>
          <w:szCs w:val="20"/>
          <w:color w:val="auto"/>
        </w:rPr>
      </w:pPr>
    </w:p>
    <w:p>
      <w:pPr>
        <w:jc w:val="both"/>
        <w:ind w:firstLine="799"/>
        <w:spacing w:after="0" w:line="274" w:lineRule="auto"/>
        <w:rPr>
          <w:sz w:val="20"/>
          <w:szCs w:val="20"/>
          <w:color w:val="auto"/>
        </w:rPr>
      </w:pPr>
      <w:r>
        <w:rPr>
          <w:rFonts w:ascii="Arial" w:cs="Arial" w:eastAsia="Arial" w:hAnsi="Arial"/>
          <w:sz w:val="21"/>
          <w:szCs w:val="21"/>
          <w:color w:val="auto"/>
        </w:rPr>
        <w:t>Unless otherwise defined herein, the terms defined in the Fluidigm Corporation 2011 Equity Incentive Plan (the “Plan”) will have the same defined meanings in this Restricted Stock Unit Award Agreement (the “Award Agreement”).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Participant Name:</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Address: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You have been granted the right to receive an Award of Restricted Stock Units, subject to the terms and conditions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Plan and this Award Agreement, as follows: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wp:posOffset>
            </wp:positionV>
            <wp:extent cx="18008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wp:posOffset>
            </wp:positionV>
            <wp:extent cx="18008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wp:posOffset>
            </wp:positionV>
            <wp:extent cx="18008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wp:posOffset>
            </wp:positionV>
            <wp:extent cx="18008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152" w:lineRule="exact"/>
        <w:rPr>
          <w:sz w:val="20"/>
          <w:szCs w:val="20"/>
          <w:color w:val="auto"/>
        </w:rPr>
      </w:pPr>
    </w:p>
    <w:p>
      <w:pPr>
        <w:jc w:val="both"/>
        <w:ind w:firstLine="799"/>
        <w:spacing w:after="0" w:line="251" w:lineRule="auto"/>
        <w:rPr>
          <w:sz w:val="20"/>
          <w:szCs w:val="20"/>
          <w:color w:val="auto"/>
        </w:rPr>
      </w:pPr>
      <w:r>
        <w:rPr>
          <w:rFonts w:ascii="Arial" w:cs="Arial" w:eastAsia="Arial" w:hAnsi="Arial"/>
          <w:sz w:val="22"/>
          <w:szCs w:val="22"/>
          <w:color w:val="auto"/>
        </w:rPr>
        <w:t>Subject to any acceleration provisions contained in the Plan or set forth below, the Restricted Stock Unit will vest in accordance with the following schedule:</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[INSERT VESTING SCHEDULE.]</w:t>
      </w:r>
    </w:p>
    <w:p>
      <w:pPr>
        <w:spacing w:after="0" w:line="314" w:lineRule="exact"/>
        <w:rPr>
          <w:sz w:val="20"/>
          <w:szCs w:val="20"/>
          <w:color w:val="auto"/>
        </w:rPr>
      </w:pPr>
    </w:p>
    <w:p>
      <w:pPr>
        <w:jc w:val="both"/>
        <w:ind w:firstLine="799"/>
        <w:spacing w:after="0" w:line="328"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the Restricted Stock Unit, the Restricted Stock Unit and Participant’s right to acquire any Shares hereunder will immediately terminate.</w:t>
      </w:r>
    </w:p>
    <w:p>
      <w:pPr>
        <w:spacing w:after="0" w:line="51"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21"/>
          <w:szCs w:val="21"/>
          <w:color w:val="auto"/>
        </w:rPr>
        <w:t xml:space="preserve">By Participant’s signature and the signature of the representative of Fluidigm Corporation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all of which are made a part of this document. Participant has reviewed the Plan and this</w:t>
      </w:r>
    </w:p>
    <w:p>
      <w:pPr>
        <w:sectPr>
          <w:pgSz w:w="11900" w:h="16838" w:orient="portrait"/>
          <w:cols w:equalWidth="0" w:num="1">
            <w:col w:w="11420"/>
          </w:cols>
          <w:pgMar w:left="240" w:top="260" w:right="239" w:bottom="1440" w:gutter="0" w:footer="0" w:header="0"/>
        </w:sectPr>
      </w:pPr>
    </w:p>
    <w:bookmarkStart w:id="330" w:name="page331"/>
    <w:bookmarkEnd w:id="330"/>
    <w:p>
      <w:pPr>
        <w:jc w:val="both"/>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00" w:type="dxa"/>
            <w:vAlign w:val="bottom"/>
            <w:gridSpan w:val="2"/>
          </w:tcPr>
          <w:p>
            <w:pPr>
              <w:spacing w:after="0"/>
              <w:rPr>
                <w:sz w:val="20"/>
                <w:szCs w:val="20"/>
                <w:color w:val="auto"/>
              </w:rPr>
            </w:pPr>
            <w:r>
              <w:rPr>
                <w:rFonts w:ascii="Arial" w:cs="Arial" w:eastAsia="Arial" w:hAnsi="Arial"/>
                <w:sz w:val="22"/>
                <w:szCs w:val="22"/>
                <w:color w:val="auto"/>
              </w:rPr>
              <w:t>PARTICIPANT:</w:t>
            </w:r>
          </w:p>
        </w:tc>
        <w:tc>
          <w:tcPr>
            <w:tcW w:w="5600" w:type="dxa"/>
            <w:vAlign w:val="bottom"/>
            <w:gridSpan w:val="2"/>
          </w:tcPr>
          <w:p>
            <w:pPr>
              <w:ind w:left="360"/>
              <w:spacing w:after="0"/>
              <w:rPr>
                <w:sz w:val="20"/>
                <w:szCs w:val="20"/>
                <w:color w:val="auto"/>
              </w:rPr>
            </w:pPr>
            <w:r>
              <w:rPr>
                <w:rFonts w:ascii="Arial" w:cs="Arial" w:eastAsia="Arial" w:hAnsi="Arial"/>
                <w:sz w:val="22"/>
                <w:szCs w:val="22"/>
                <w:color w:val="auto"/>
              </w:rPr>
              <w:t>FLUIDIGM CORPORATION</w:t>
            </w:r>
          </w:p>
        </w:tc>
      </w:tr>
      <w:tr>
        <w:trPr>
          <w:trHeight w:val="665"/>
        </w:trPr>
        <w:tc>
          <w:tcPr>
            <w:tcW w:w="1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68"/>
        </w:trPr>
        <w:tc>
          <w:tcPr>
            <w:tcW w:w="550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36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By</w:t>
            </w:r>
          </w:p>
        </w:tc>
      </w:tr>
      <w:tr>
        <w:trPr>
          <w:trHeight w:val="441"/>
        </w:trPr>
        <w:tc>
          <w:tcPr>
            <w:tcW w:w="1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68"/>
        </w:trPr>
        <w:tc>
          <w:tcPr>
            <w:tcW w:w="55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Print Name</w:t>
            </w:r>
          </w:p>
        </w:tc>
        <w:tc>
          <w:tcPr>
            <w:tcW w:w="360" w:type="dxa"/>
            <w:vAlign w:val="bottom"/>
          </w:tcPr>
          <w:p>
            <w:pPr>
              <w:spacing w:after="0"/>
              <w:rPr>
                <w:sz w:val="23"/>
                <w:szCs w:val="23"/>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r>
      <w:tr>
        <w:trPr>
          <w:trHeight w:val="401"/>
        </w:trPr>
        <w:tc>
          <w:tcPr>
            <w:tcW w:w="5500" w:type="dxa"/>
            <w:vAlign w:val="bottom"/>
            <w:gridSpan w:val="2"/>
          </w:tcPr>
          <w:p>
            <w:pPr>
              <w:spacing w:after="0"/>
              <w:rPr>
                <w:sz w:val="20"/>
                <w:szCs w:val="20"/>
                <w:color w:val="auto"/>
              </w:rPr>
            </w:pPr>
            <w:r>
              <w:rPr>
                <w:rFonts w:ascii="Arial" w:cs="Arial" w:eastAsia="Arial" w:hAnsi="Arial"/>
                <w:sz w:val="22"/>
                <w:szCs w:val="22"/>
                <w:color w:val="auto"/>
              </w:rPr>
              <w:t>Residence Address:</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80"/>
        </w:trPr>
        <w:tc>
          <w:tcPr>
            <w:tcW w:w="1660" w:type="dxa"/>
            <w:vAlign w:val="bottom"/>
            <w:tcBorders>
              <w:top w:val="single" w:sz="8" w:color="auto"/>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523240</wp:posOffset>
            </wp:positionV>
            <wp:extent cx="34048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267"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 GRANT</w:t>
      </w:r>
    </w:p>
    <w:p>
      <w:pPr>
        <w:spacing w:after="0" w:line="158" w:lineRule="exact"/>
        <w:rPr>
          <w:sz w:val="20"/>
          <w:szCs w:val="20"/>
          <w:color w:val="auto"/>
        </w:rPr>
      </w:pPr>
    </w:p>
    <w:p>
      <w:pPr>
        <w:jc w:val="both"/>
        <w:ind w:right="20" w:firstLine="807"/>
        <w:spacing w:after="0" w:line="236" w:lineRule="auto"/>
        <w:tabs>
          <w:tab w:leader="none" w:pos="1420"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individual named in the Notice of Grant attached as Part I of this Award Agreement (the “Participant”)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33" w:lineRule="exact"/>
        <w:rPr>
          <w:rFonts w:ascii="Arial" w:cs="Arial" w:eastAsia="Arial" w:hAnsi="Arial"/>
          <w:sz w:val="22"/>
          <w:szCs w:val="22"/>
          <w:color w:val="auto"/>
        </w:rPr>
      </w:pPr>
    </w:p>
    <w:p>
      <w:pPr>
        <w:jc w:val="both"/>
        <w:ind w:firstLine="807"/>
        <w:spacing w:after="0" w:line="274" w:lineRule="auto"/>
        <w:tabs>
          <w:tab w:leader="none" w:pos="1528"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xml:space="preserve">.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obligations as set forth in Section 7. Subject to the provisions of Section 4, such vested Restricted Stock Units will be paid in Shares as soon as practicable after vesting, but in each such case within the period ending no later than the date that is two and one-half (2 </w:t>
      </w:r>
      <w:r>
        <w:rPr>
          <w:rFonts w:ascii="Arial" w:cs="Arial" w:eastAsia="Arial" w:hAnsi="Arial"/>
          <w:sz w:val="13"/>
          <w:szCs w:val="13"/>
          <w:color w:val="auto"/>
        </w:rPr>
        <w:t>1</w:t>
      </w:r>
      <w:r>
        <w:rPr>
          <w:rFonts w:ascii="Arial" w:cs="Arial" w:eastAsia="Arial" w:hAnsi="Arial"/>
          <w:sz w:val="19"/>
          <w:szCs w:val="19"/>
          <w:color w:val="auto"/>
        </w:rPr>
        <w:t>/</w:t>
      </w:r>
      <w:r>
        <w:rPr>
          <w:rFonts w:ascii="Arial" w:cs="Arial" w:eastAsia="Arial" w:hAnsi="Arial"/>
          <w:sz w:val="15"/>
          <w:szCs w:val="15"/>
          <w:color w:val="auto"/>
        </w:rPr>
        <w:t>2</w:t>
      </w:r>
      <w:r>
        <w:rPr>
          <w:rFonts w:ascii="Arial" w:cs="Arial" w:eastAsia="Arial" w:hAnsi="Arial"/>
          <w:sz w:val="19"/>
          <w:szCs w:val="19"/>
          <w:color w:val="auto"/>
        </w:rPr>
        <w:t>) months from the end of the Company’s tax year that includes the vesting date.</w:t>
      </w:r>
    </w:p>
    <w:p>
      <w:pPr>
        <w:spacing w:after="0" w:line="104" w:lineRule="exact"/>
        <w:rPr>
          <w:rFonts w:ascii="Arial" w:cs="Arial" w:eastAsia="Arial" w:hAnsi="Arial"/>
          <w:sz w:val="19"/>
          <w:szCs w:val="19"/>
          <w:color w:val="auto"/>
        </w:rPr>
      </w:pPr>
    </w:p>
    <w:p>
      <w:pPr>
        <w:jc w:val="both"/>
        <w:ind w:firstLine="807"/>
        <w:spacing w:after="0" w:line="236" w:lineRule="auto"/>
        <w:tabs>
          <w:tab w:leader="none" w:pos="1393"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33" w:lineRule="exact"/>
        <w:rPr>
          <w:rFonts w:ascii="Arial" w:cs="Arial" w:eastAsia="Arial" w:hAnsi="Arial"/>
          <w:sz w:val="22"/>
          <w:szCs w:val="22"/>
          <w:color w:val="auto"/>
        </w:rPr>
      </w:pPr>
    </w:p>
    <w:p>
      <w:pPr>
        <w:jc w:val="both"/>
        <w:ind w:firstLine="807"/>
        <w:spacing w:after="0" w:line="297" w:lineRule="auto"/>
        <w:tabs>
          <w:tab w:leader="none" w:pos="1461"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Administrator Discretion</w:t>
      </w:r>
      <w:r>
        <w:rPr>
          <w:rFonts w:ascii="Arial" w:cs="Arial" w:eastAsia="Arial" w:hAnsi="Arial"/>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80" w:lineRule="exact"/>
        <w:rPr>
          <w:sz w:val="20"/>
          <w:szCs w:val="20"/>
          <w:color w:val="auto"/>
        </w:rPr>
      </w:pPr>
    </w:p>
    <w:p>
      <w:pPr>
        <w:jc w:val="both"/>
        <w:ind w:firstLine="1484"/>
        <w:spacing w:after="0" w:line="249" w:lineRule="auto"/>
        <w:rPr>
          <w:sz w:val="20"/>
          <w:szCs w:val="20"/>
          <w:color w:val="auto"/>
        </w:rPr>
      </w:pPr>
      <w:r>
        <w:rPr>
          <w:rFonts w:ascii="Arial" w:cs="Arial" w:eastAsia="Arial" w:hAnsi="Arial"/>
          <w:sz w:val="21"/>
          <w:szCs w:val="21"/>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21"/>
          <w:szCs w:val="21"/>
          <w:b w:val="1"/>
          <w:bCs w:val="1"/>
          <w:color w:val="auto"/>
        </w:rPr>
        <w:t>,</w:t>
      </w:r>
      <w:r>
        <w:rPr>
          <w:rFonts w:ascii="Arial" w:cs="Arial" w:eastAsia="Arial" w:hAnsi="Arial"/>
          <w:sz w:val="21"/>
          <w:szCs w:val="21"/>
          <w:color w:val="auto"/>
        </w:rPr>
        <w:t xml:space="preserve"> and if (x) Participant is a “specified employee” within the meaning of Section 409A at the time of such termination as a Service Provider and (y) the payment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261" w:right="239" w:bottom="1440" w:gutter="0" w:footer="0" w:header="0"/>
        </w:sectPr>
      </w:pPr>
    </w:p>
    <w:bookmarkStart w:id="332" w:name="page333"/>
    <w:bookmarkEnd w:id="332"/>
    <w:p>
      <w:pPr>
        <w:jc w:val="both"/>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 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28" w:lineRule="exact"/>
        <w:rPr>
          <w:sz w:val="20"/>
          <w:szCs w:val="20"/>
          <w:color w:val="auto"/>
        </w:rPr>
      </w:pPr>
    </w:p>
    <w:p>
      <w:pPr>
        <w:jc w:val="both"/>
        <w:ind w:firstLine="807"/>
        <w:spacing w:after="0" w:line="297" w:lineRule="auto"/>
        <w:tabs>
          <w:tab w:leader="none" w:pos="1393" w:val="left"/>
        </w:tabs>
        <w:numPr>
          <w:ilvl w:val="0"/>
          <w:numId w:val="291"/>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of Status as a Service Provider</w:t>
      </w:r>
      <w:r>
        <w:rPr>
          <w:rFonts w:ascii="Arial" w:cs="Arial" w:eastAsia="Arial" w:hAnsi="Arial"/>
          <w:sz w:val="19"/>
          <w:szCs w:val="19"/>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80" w:lineRule="exact"/>
        <w:rPr>
          <w:rFonts w:ascii="Arial" w:cs="Arial" w:eastAsia="Arial" w:hAnsi="Arial"/>
          <w:sz w:val="19"/>
          <w:szCs w:val="19"/>
          <w:color w:val="auto"/>
        </w:rPr>
      </w:pPr>
    </w:p>
    <w:p>
      <w:pPr>
        <w:jc w:val="both"/>
        <w:ind w:firstLine="807"/>
        <w:spacing w:after="0" w:line="236" w:lineRule="auto"/>
        <w:tabs>
          <w:tab w:leader="none" w:pos="1488"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33" w:lineRule="exact"/>
        <w:rPr>
          <w:rFonts w:ascii="Arial" w:cs="Arial" w:eastAsia="Arial" w:hAnsi="Arial"/>
          <w:sz w:val="22"/>
          <w:szCs w:val="22"/>
          <w:color w:val="auto"/>
        </w:rPr>
      </w:pPr>
    </w:p>
    <w:p>
      <w:pPr>
        <w:jc w:val="both"/>
        <w:ind w:firstLine="807"/>
        <w:spacing w:after="0" w:line="244" w:lineRule="auto"/>
        <w:tabs>
          <w:tab w:leader="none" w:pos="1785" w:val="left"/>
        </w:tabs>
        <w:numPr>
          <w:ilvl w:val="0"/>
          <w:numId w:val="291"/>
        </w:numPr>
        <w:rPr>
          <w:rFonts w:ascii="Arial" w:cs="Arial" w:eastAsia="Arial" w:hAnsi="Arial"/>
          <w:sz w:val="21"/>
          <w:szCs w:val="21"/>
          <w:color w:val="auto"/>
        </w:rPr>
      </w:pPr>
      <w:r>
        <w:rPr>
          <w:rFonts w:ascii="Arial" w:cs="Arial" w:eastAsia="Arial" w:hAnsi="Arial"/>
          <w:sz w:val="21"/>
          <w:szCs w:val="21"/>
          <w:u w:val="single" w:color="auto"/>
          <w:color w:val="auto"/>
        </w:rPr>
        <w:t>Withholding of Taxes</w:t>
      </w:r>
      <w:r>
        <w:rPr>
          <w:rFonts w:ascii="Arial" w:cs="Arial" w:eastAsia="Arial" w:hAnsi="Arial"/>
          <w:sz w:val="21"/>
          <w:szCs w:val="21"/>
          <w:color w:val="auto"/>
        </w:rPr>
        <w:t>. Notwithstanding any contrary provision of this Award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The Administrator, in its sole discretion and pursuant to such procedures as it may specify from time to time, may permit Participant to satisfy such tax withholding obligation, in whole or in part (without limitation) by (a) paying cash, (b) electing to have the Company withhold otherwise deliverable Shares having a Fair Market Value equal to the minimum amount required to be withheld, (c) 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 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Restricted Stock Units otherwise are scheduled to vest pursuant to Sections 3</w:t>
      </w:r>
    </w:p>
    <w:p>
      <w:pPr>
        <w:spacing w:after="0" w:line="114" w:lineRule="exact"/>
        <w:rPr>
          <w:rFonts w:ascii="Arial" w:cs="Arial" w:eastAsia="Arial" w:hAnsi="Arial"/>
          <w:sz w:val="21"/>
          <w:szCs w:val="21"/>
          <w:color w:val="auto"/>
        </w:rPr>
      </w:pPr>
    </w:p>
    <w:p>
      <w:pPr>
        <w:ind w:left="5660" w:hanging="126"/>
        <w:spacing w:after="0"/>
        <w:tabs>
          <w:tab w:leader="none" w:pos="566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20"/>
          </w:cols>
          <w:pgMar w:left="240" w:top="266" w:right="239" w:bottom="1440" w:gutter="0" w:footer="0" w:header="0"/>
        </w:sectPr>
      </w:pPr>
    </w:p>
    <w:bookmarkStart w:id="333" w:name="page334"/>
    <w:bookmarkEnd w:id="333"/>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4, Participant will permanently forfeit such Restricted Stock Units and any right to receive Shares thereunder and the Restricted Stock Units will be returned to the Company at no cost to the Company.</w:t>
      </w:r>
    </w:p>
    <w:p>
      <w:pPr>
        <w:spacing w:after="0" w:line="119" w:lineRule="exact"/>
        <w:rPr>
          <w:sz w:val="20"/>
          <w:szCs w:val="20"/>
          <w:color w:val="auto"/>
        </w:rPr>
      </w:pPr>
    </w:p>
    <w:p>
      <w:pPr>
        <w:jc w:val="both"/>
        <w:ind w:firstLine="807"/>
        <w:spacing w:after="0" w:line="282" w:lineRule="auto"/>
        <w:tabs>
          <w:tab w:leader="none" w:pos="1461" w:val="left"/>
        </w:tabs>
        <w:numPr>
          <w:ilvl w:val="1"/>
          <w:numId w:val="292"/>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93" w:lineRule="exact"/>
        <w:rPr>
          <w:rFonts w:ascii="Arial" w:cs="Arial" w:eastAsia="Arial" w:hAnsi="Arial"/>
          <w:sz w:val="19"/>
          <w:szCs w:val="19"/>
          <w:color w:val="auto"/>
        </w:rPr>
      </w:pPr>
    </w:p>
    <w:p>
      <w:pPr>
        <w:jc w:val="both"/>
        <w:ind w:firstLine="8"/>
        <w:spacing w:after="0" w:line="244" w:lineRule="auto"/>
        <w:tabs>
          <w:tab w:leader="none" w:pos="1507" w:val="left"/>
        </w:tabs>
        <w:numPr>
          <w:ilvl w:val="0"/>
          <w:numId w:val="293"/>
        </w:numPr>
        <w:rPr>
          <w:rFonts w:ascii="Arial" w:cs="Arial" w:eastAsia="Arial" w:hAnsi="Arial"/>
          <w:sz w:val="21"/>
          <w:szCs w:val="21"/>
          <w:b w:val="1"/>
          <w:bCs w:val="1"/>
          <w:color w:val="auto"/>
        </w:rPr>
      </w:pPr>
      <w:r>
        <w:rPr>
          <w:rFonts w:ascii="Arial" w:cs="Arial" w:eastAsia="Arial" w:hAnsi="Arial"/>
          <w:sz w:val="21"/>
          <w:szCs w:val="21"/>
          <w:color w:val="auto"/>
        </w:rPr>
        <w:t xml:space="preserve">9. </w:t>
      </w:r>
      <w:r>
        <w:rPr>
          <w:rFonts w:ascii="Arial" w:cs="Arial" w:eastAsia="Arial" w:hAnsi="Arial"/>
          <w:sz w:val="21"/>
          <w:szCs w:val="21"/>
          <w:u w:val="single" w:color="auto"/>
          <w:color w:val="auto"/>
        </w:rPr>
        <w:t>No Guarantee of Continued Service</w:t>
      </w:r>
      <w:r>
        <w:rPr>
          <w:rFonts w:ascii="Arial" w:cs="Arial" w:eastAsia="Arial" w:hAnsi="Arial"/>
          <w:sz w:val="21"/>
          <w:szCs w:val="21"/>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35" w:lineRule="exact"/>
        <w:rPr>
          <w:rFonts w:ascii="Arial" w:cs="Arial" w:eastAsia="Arial" w:hAnsi="Arial"/>
          <w:sz w:val="21"/>
          <w:szCs w:val="21"/>
          <w:b w:val="1"/>
          <w:bCs w:val="1"/>
          <w:color w:val="auto"/>
        </w:rPr>
      </w:pPr>
    </w:p>
    <w:p>
      <w:pPr>
        <w:jc w:val="both"/>
        <w:ind w:firstLine="807"/>
        <w:spacing w:after="0"/>
        <w:tabs>
          <w:tab w:leader="none" w:pos="1596" w:val="left"/>
        </w:tabs>
        <w:numPr>
          <w:ilvl w:val="1"/>
          <w:numId w:val="293"/>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Fluidigm Corporation, 7000 Shoreline Court, Suite 100, South San Francisco, CA 94080, or at such other address as the Company may hereafter designate in writing.</w:t>
      </w:r>
    </w:p>
    <w:p>
      <w:pPr>
        <w:spacing w:after="0" w:line="132" w:lineRule="exact"/>
        <w:rPr>
          <w:rFonts w:ascii="Arial" w:cs="Arial" w:eastAsia="Arial" w:hAnsi="Arial"/>
          <w:sz w:val="22"/>
          <w:szCs w:val="22"/>
          <w:color w:val="auto"/>
        </w:rPr>
      </w:pPr>
    </w:p>
    <w:p>
      <w:pPr>
        <w:jc w:val="both"/>
        <w:ind w:firstLine="807"/>
        <w:spacing w:after="0" w:line="235" w:lineRule="auto"/>
        <w:tabs>
          <w:tab w:leader="none" w:pos="1709" w:val="left"/>
        </w:tabs>
        <w:numPr>
          <w:ilvl w:val="1"/>
          <w:numId w:val="293"/>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20" w:lineRule="exact"/>
        <w:rPr>
          <w:rFonts w:ascii="Arial" w:cs="Arial" w:eastAsia="Arial" w:hAnsi="Arial"/>
          <w:sz w:val="22"/>
          <w:szCs w:val="22"/>
          <w:color w:val="auto"/>
        </w:rPr>
      </w:pPr>
    </w:p>
    <w:p>
      <w:pPr>
        <w:ind w:left="5660" w:hanging="126"/>
        <w:spacing w:after="0"/>
        <w:tabs>
          <w:tab w:leader="none" w:pos="5660" w:val="left"/>
        </w:tabs>
        <w:numPr>
          <w:ilvl w:val="2"/>
          <w:numId w:val="293"/>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420"/>
          </w:cols>
          <w:pgMar w:left="240" w:top="266" w:right="239" w:bottom="1440" w:gutter="0" w:footer="0" w:header="0"/>
        </w:sectPr>
      </w:pPr>
    </w:p>
    <w:bookmarkStart w:id="334" w:name="page335"/>
    <w:bookmarkEnd w:id="334"/>
    <w:p>
      <w:pPr>
        <w:jc w:val="both"/>
        <w:ind w:left="-807" w:firstLine="807"/>
        <w:spacing w:after="0"/>
        <w:tabs>
          <w:tab w:leader="none" w:pos="802"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Binding Agreement</w:t>
      </w:r>
      <w:r>
        <w:rPr>
          <w:rFonts w:ascii="Arial" w:cs="Arial" w:eastAsia="Arial" w:hAnsi="Arial"/>
          <w:sz w:val="22"/>
          <w:szCs w:val="22"/>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32" w:lineRule="exact"/>
        <w:rPr>
          <w:rFonts w:ascii="Arial" w:cs="Arial" w:eastAsia="Arial" w:hAnsi="Arial"/>
          <w:sz w:val="22"/>
          <w:szCs w:val="22"/>
          <w:color w:val="auto"/>
        </w:rPr>
      </w:pPr>
    </w:p>
    <w:p>
      <w:pPr>
        <w:jc w:val="both"/>
        <w:ind w:left="-807" w:firstLine="807"/>
        <w:spacing w:after="0" w:line="274" w:lineRule="auto"/>
        <w:tabs>
          <w:tab w:leader="none" w:pos="694"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04" w:lineRule="exact"/>
        <w:rPr>
          <w:rFonts w:ascii="Arial" w:cs="Arial" w:eastAsia="Arial" w:hAnsi="Arial"/>
          <w:sz w:val="19"/>
          <w:szCs w:val="19"/>
          <w:color w:val="auto"/>
        </w:rPr>
      </w:pPr>
    </w:p>
    <w:p>
      <w:pPr>
        <w:jc w:val="both"/>
        <w:ind w:left="-807" w:firstLine="807"/>
        <w:spacing w:after="0" w:line="297" w:lineRule="auto"/>
        <w:tabs>
          <w:tab w:leader="none" w:pos="735"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80" w:lineRule="exact"/>
        <w:rPr>
          <w:rFonts w:ascii="Arial" w:cs="Arial" w:eastAsia="Arial" w:hAnsi="Arial"/>
          <w:sz w:val="19"/>
          <w:szCs w:val="19"/>
          <w:color w:val="auto"/>
        </w:rPr>
      </w:pPr>
    </w:p>
    <w:p>
      <w:pPr>
        <w:jc w:val="both"/>
        <w:ind w:left="-807" w:firstLine="807"/>
        <w:spacing w:after="0" w:line="279" w:lineRule="auto"/>
        <w:tabs>
          <w:tab w:leader="none" w:pos="762" w:val="left"/>
        </w:tabs>
        <w:numPr>
          <w:ilvl w:val="0"/>
          <w:numId w:val="294"/>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96" w:lineRule="exact"/>
        <w:rPr>
          <w:rFonts w:ascii="Arial" w:cs="Arial" w:eastAsia="Arial" w:hAnsi="Arial"/>
          <w:sz w:val="19"/>
          <w:szCs w:val="19"/>
          <w:color w:val="auto"/>
        </w:rPr>
      </w:pPr>
    </w:p>
    <w:p>
      <w:pPr>
        <w:jc w:val="both"/>
        <w:ind w:left="-807" w:firstLine="807"/>
        <w:spacing w:after="0" w:line="249" w:lineRule="auto"/>
        <w:tabs>
          <w:tab w:leader="none" w:pos="978" w:val="left"/>
        </w:tabs>
        <w:numPr>
          <w:ilvl w:val="0"/>
          <w:numId w:val="294"/>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24" w:lineRule="exact"/>
        <w:rPr>
          <w:rFonts w:ascii="Arial" w:cs="Arial" w:eastAsia="Arial" w:hAnsi="Arial"/>
          <w:sz w:val="21"/>
          <w:szCs w:val="21"/>
          <w:color w:val="auto"/>
        </w:rPr>
      </w:pPr>
    </w:p>
    <w:p>
      <w:pPr>
        <w:ind w:left="-807" w:right="20" w:firstLine="807"/>
        <w:spacing w:after="0" w:line="251" w:lineRule="auto"/>
        <w:tabs>
          <w:tab w:leader="none" w:pos="775"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05" w:lineRule="exact"/>
        <w:rPr>
          <w:rFonts w:ascii="Arial" w:cs="Arial" w:eastAsia="Arial" w:hAnsi="Arial"/>
          <w:sz w:val="22"/>
          <w:szCs w:val="22"/>
          <w:color w:val="auto"/>
        </w:rPr>
      </w:pPr>
    </w:p>
    <w:p>
      <w:pPr>
        <w:ind w:left="4853" w:hanging="126"/>
        <w:spacing w:after="0"/>
        <w:tabs>
          <w:tab w:leader="none" w:pos="4853" w:val="left"/>
        </w:tabs>
        <w:numPr>
          <w:ilvl w:val="1"/>
          <w:numId w:val="294"/>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0613"/>
          </w:cols>
          <w:pgMar w:left="1047" w:top="267" w:right="239" w:bottom="1440" w:gutter="0" w:footer="0" w:header="0"/>
        </w:sectPr>
      </w:pPr>
    </w:p>
    <w:bookmarkStart w:id="335" w:name="page336"/>
    <w:bookmarkEnd w:id="335"/>
    <w:p>
      <w:pPr>
        <w:jc w:val="both"/>
        <w:ind w:left="-807" w:firstLine="807"/>
        <w:spacing w:after="0"/>
        <w:tabs>
          <w:tab w:leader="none" w:pos="1032"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Severable</w:t>
      </w:r>
      <w:r>
        <w:rPr>
          <w:rFonts w:ascii="Arial" w:cs="Arial" w:eastAsia="Arial" w:hAnsi="Arial"/>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32" w:lineRule="exact"/>
        <w:rPr>
          <w:rFonts w:ascii="Arial" w:cs="Arial" w:eastAsia="Arial" w:hAnsi="Arial"/>
          <w:sz w:val="22"/>
          <w:szCs w:val="22"/>
          <w:color w:val="auto"/>
        </w:rPr>
      </w:pPr>
    </w:p>
    <w:p>
      <w:pPr>
        <w:jc w:val="both"/>
        <w:ind w:left="-807" w:firstLine="807"/>
        <w:spacing w:after="0" w:line="277" w:lineRule="auto"/>
        <w:tabs>
          <w:tab w:leader="none" w:pos="708"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98" w:lineRule="exact"/>
        <w:rPr>
          <w:rFonts w:ascii="Arial" w:cs="Arial" w:eastAsia="Arial" w:hAnsi="Arial"/>
          <w:sz w:val="19"/>
          <w:szCs w:val="19"/>
          <w:color w:val="auto"/>
        </w:rPr>
      </w:pPr>
    </w:p>
    <w:p>
      <w:pPr>
        <w:jc w:val="both"/>
        <w:ind w:left="-807" w:firstLine="807"/>
        <w:spacing w:after="0" w:line="238" w:lineRule="auto"/>
        <w:tabs>
          <w:tab w:leader="none" w:pos="789"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31" w:lineRule="exact"/>
        <w:rPr>
          <w:rFonts w:ascii="Arial" w:cs="Arial" w:eastAsia="Arial" w:hAnsi="Arial"/>
          <w:sz w:val="22"/>
          <w:szCs w:val="22"/>
          <w:color w:val="auto"/>
        </w:rPr>
      </w:pPr>
    </w:p>
    <w:p>
      <w:pPr>
        <w:jc w:val="both"/>
        <w:ind w:left="-807" w:firstLine="807"/>
        <w:spacing w:after="0" w:line="235" w:lineRule="auto"/>
        <w:tabs>
          <w:tab w:leader="none" w:pos="762"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will be governed by the laws of the State of California, without giving effect to the conflict of law principles thereof. For purposes of litigating any dispute that arises under this Award of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of Restricted Stock Units is made and/or to be performed.</w:t>
      </w:r>
    </w:p>
    <w:p>
      <w:pPr>
        <w:spacing w:after="0" w:line="120" w:lineRule="exact"/>
        <w:rPr>
          <w:rFonts w:ascii="Arial" w:cs="Arial" w:eastAsia="Arial" w:hAnsi="Arial"/>
          <w:sz w:val="22"/>
          <w:szCs w:val="22"/>
          <w:color w:val="auto"/>
        </w:rPr>
      </w:pPr>
    </w:p>
    <w:p>
      <w:pPr>
        <w:ind w:left="4853" w:hanging="126"/>
        <w:spacing w:after="0"/>
        <w:tabs>
          <w:tab w:leader="none" w:pos="4853" w:val="left"/>
        </w:tabs>
        <w:numPr>
          <w:ilvl w:val="1"/>
          <w:numId w:val="295"/>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0613"/>
          </w:cols>
          <w:pgMar w:left="1047" w:top="267"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4060.LICI.006 Harvard</w:t>
      </w:r>
    </w:p>
    <w:p>
      <w:pPr>
        <w:spacing w:after="0" w:line="17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CO-EXCLUSIVE LICENSE AGREEMENT</w:t>
      </w:r>
    </w:p>
    <w:p>
      <w:pPr>
        <w:spacing w:after="0" w:line="171"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Between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President and Fellows of Harvard College</w:t>
      </w:r>
    </w:p>
    <w:p>
      <w:pPr>
        <w:spacing w:after="0" w:line="1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Mycometrix Corporation</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Effective as of October 15, 2000</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 Harvard Case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and covenants set forth below, the parties hereto agree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5" w:lineRule="exact"/>
        <w:rPr>
          <w:sz w:val="20"/>
          <w:szCs w:val="20"/>
          <w:color w:val="auto"/>
        </w:rPr>
      </w:pPr>
    </w:p>
    <w:p>
      <w:pPr>
        <w:ind w:left="800" w:right="400" w:hanging="792"/>
        <w:spacing w:after="0" w:line="268" w:lineRule="auto"/>
        <w:tabs>
          <w:tab w:leader="none" w:pos="8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90"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1.1</w:t>
        <w:tab/>
        <w:t>ACADEMIC RESEARCH PURPOSES: use of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59"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1.2</w:t>
        <w:tab/>
        <w:t>AFFILIATE: any entity which controls, is controlled by, or is under common control with a party by ownership or control of at least fifty percent (50%) of the voting stock or other ownership. Unless otherwise specified, the term LICENSEE includes AFFILIATES.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FIELD: use of PATENT RIGHTS to develop, manufacture, use, offer for sale, sell, or import components and products in FIELD I and/or FIELD II: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FIELD I: [***]</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FIELD II: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38" w:name="page339"/>
    <w:bookmarkEnd w:id="338"/>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68"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1.4</w:t>
        <w:tab/>
        <w:t>HARVARD: President and Fellows of Harvard College, a nonprofit Massachusetts educational corporation having offices at the Office for Technology and Trademark Licensing, Holyoke Center, Suite 727, 1350 Massachusetts Avenue, Cambridge, Massachusetts 02138.</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LICENSED PROCESSES: the processes covered by at least one VALID CLAIM included within the PATENT RIGHTS.</w:t>
      </w:r>
    </w:p>
    <w:p>
      <w:pPr>
        <w:spacing w:after="0" w:line="90"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1.6</w:t>
        <w:tab/>
        <w:t>LICENSED PRODUCTS: products covered by at least one VALID CLAIM included within the PATENT RIGHTS or products made or services provided in accordance with or by means of LICENSED PROCESSES.</w:t>
      </w:r>
    </w:p>
    <w:p>
      <w:pPr>
        <w:spacing w:after="0" w:line="51"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1.7</w:t>
        <w:tab/>
        <w:t>LICENSEE: Mycometrix Corporation, a corporation organized under the laws of Califonia having its principal offices at 213 East Grand Avenue, South San Francisco, CA 94080.</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NET SERVICE INCOME: SERVICE INCOME less LICENSEE’s actual direct and indirect cost for research, development and/or services provided.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NET SALES: the amount actually received for sales, leases, or other transfers of LICENSED PRODUCTS, less:</w:t>
      </w:r>
    </w:p>
    <w:p>
      <w:pPr>
        <w:spacing w:after="0" w:line="90" w:lineRule="exact"/>
        <w:rPr>
          <w:sz w:val="20"/>
          <w:szCs w:val="20"/>
          <w:color w:val="auto"/>
        </w:rPr>
      </w:pPr>
    </w:p>
    <w:p>
      <w:pPr>
        <w:ind w:left="1480" w:hanging="567"/>
        <w:spacing w:after="0"/>
        <w:tabs>
          <w:tab w:leader="none" w:pos="14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customary trade, quantity or cash discounts and non-affiliated brokers’ or agents’ commissions actually allowed and taken;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90" w:lineRule="exact"/>
        <w:rPr>
          <w:rFonts w:ascii="Arial" w:cs="Arial" w:eastAsia="Arial" w:hAnsi="Arial"/>
          <w:sz w:val="18"/>
          <w:szCs w:val="18"/>
          <w:color w:val="auto"/>
        </w:rPr>
      </w:pPr>
    </w:p>
    <w:p>
      <w:pPr>
        <w:ind w:left="1480" w:right="240" w:hanging="567"/>
        <w:spacing w:after="0" w:line="332" w:lineRule="auto"/>
        <w:tabs>
          <w:tab w:leader="none" w:pos="14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to the extent separately stated on purchase orders, invoices, or other documents of sale, taxes levied on and/or other governmental charges made as to production, sale, transportation, delivery or use and paid by or on behalf of LICENSEE;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reasonable charges for delivery or transportation provided by third parties and cost of insurance in transit, if separately stated.</w:t>
      </w:r>
    </w:p>
    <w:p>
      <w:pPr>
        <w:spacing w:after="0" w:line="11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NET SALES also includes the fair market value of any non-cash consideration received by LICENSEE for the sale, lease, or transfer of LICENSED PRODUCTS.</w:t>
      </w:r>
    </w:p>
    <w:p>
      <w:pPr>
        <w:spacing w:after="0" w:line="51"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If a LICENSED PRODUCT is sold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39" w:name="page340"/>
    <w:bookmarkEnd w:id="339"/>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320"/>
        <w:spacing w:after="0" w:line="256" w:lineRule="auto"/>
        <w:rPr>
          <w:sz w:val="20"/>
          <w:szCs w:val="20"/>
          <w:color w:val="auto"/>
        </w:rPr>
      </w:pPr>
      <w:r>
        <w:rPr>
          <w:rFonts w:ascii="Arial" w:cs="Arial" w:eastAsia="Arial" w:hAnsi="Arial"/>
          <w:sz w:val="18"/>
          <w:szCs w:val="18"/>
          <w:color w:val="auto"/>
        </w:rPr>
        <w:t>In the event that LICENSEE grants a sublicensee hereunder, and receives payments based upon SUBLICENSEE’s sales of LICENSED PRODUCTS, LICENSEE may upon approval from HARVARD (which shall not be unreasonably withheld) modify the definition of NET SALES for the purposes of calculating royalties payable to HARVARD on such SUBLICENSEE’s sales to be the same as the definition of NET SALES on which such royalties to LICENSEE are calculated.</w:t>
      </w:r>
    </w:p>
    <w:p>
      <w:pPr>
        <w:spacing w:after="0" w:line="62" w:lineRule="exact"/>
        <w:rPr>
          <w:sz w:val="20"/>
          <w:szCs w:val="20"/>
          <w:color w:val="auto"/>
        </w:rPr>
      </w:pPr>
    </w:p>
    <w:p>
      <w:pPr>
        <w:ind w:left="460" w:right="180" w:hanging="445"/>
        <w:spacing w:after="0" w:line="291" w:lineRule="auto"/>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SERVICE INCOME: the total financial consideration received by LICENSEE for commercial services performed on a fee-for-service basis using the LICENSED PRODUCTS or LICENSED PROCESSES by LICENSEE under a contract with a third party, where such services are based primarily on the use of fully functional LICENSED PRODUCTS or LICENSED PROCESSES (as applicable) for their intended commercial use (such as, for example, where LICENSEE performs commercial-scale genotyping services for a pharmaceutical company on a fee-for-service basis using fully developed microfluidics chips comprising LICENSED PRODUCTS). SERVICE INCOME shall not include amounts received in connection with research and/or development of LICENSED PRODUCTS or LICENSED PROCESSES themselves.</w:t>
      </w:r>
    </w:p>
    <w:p>
      <w:pPr>
        <w:spacing w:after="0" w:line="39" w:lineRule="exact"/>
        <w:rPr>
          <w:sz w:val="20"/>
          <w:szCs w:val="20"/>
          <w:color w:val="auto"/>
        </w:rPr>
      </w:pPr>
    </w:p>
    <w:p>
      <w:pPr>
        <w:ind w:left="460" w:right="200" w:hanging="445"/>
        <w:spacing w:after="0" w:line="294"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PATENT RIGHTS: The applications and patents as listed in Appendix A of this Agreement, the allowed claims of such applications, the inventions described and claimed therein, and any divisions or continuations of the applications and patents as listed in Appendix A, and specific claims of any continuations-in-part of such applications to the extent the specific claims are directed to subject matter described in the applications and patents listed in Appendix A in a manner sufficient to support such specific claims under 35 U.S.C., patents issuing thereon or reissues thereof, and any and all foreign patents and patent applications corresponding thereto, all to the extent owned or controlled by HARVARD.</w:t>
      </w:r>
    </w:p>
    <w:p>
      <w:pPr>
        <w:spacing w:after="0" w:line="35" w:lineRule="exact"/>
        <w:rPr>
          <w:sz w:val="20"/>
          <w:szCs w:val="20"/>
          <w:color w:val="auto"/>
        </w:rPr>
      </w:pPr>
    </w:p>
    <w:p>
      <w:pPr>
        <w:ind w:left="460" w:right="140" w:hanging="445"/>
        <w:spacing w:after="0" w:line="291"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SUBLICENSE INCOME: the amount paid to LICENSEE by a third party (other than an AFFILIATE of LICENSEE) (a) for the sublicening of PATENT RIGHTS to a third party as well as (b) for the related licensing of LICENSEE’s own patent rights or know-how or LICENSEE’s in-licensed non-HARVARD technologies, including but not limited to (i) license fees, (ii) milestone payments, (iii) royalties, (iv) the fair market value in cash of any non-cash consideration for such sublicense, and (v) in the event that LICENSEE receives any payment for equity in consideration for the grant of sublicense rights that included a premium over the fair market value of such equity, the amount of such premium. LICENSEE shall be responsible for determining such fair market value with reasonable business judgment.</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SUBLICENSEE: any non-AFFILIATE granted a sublicense of any of the rights HARVARD has granted to LICENSEE under Section 3.1.</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TERRITORY: Worldwide.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366"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1.15</w:t>
        <w:tab/>
        <w:t>VALID CLAIM: either (i) a claim of an issued patent that has not been held unenforceable or invalid by an agency or a court of competent jurisdiction in any unappealable or unappealed decision or (ii) a claim of a published, pending patent application, which claim is substantially identical to a corresponding claim in a subsequently issued patent having priority to the patent application.</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terms “Public Law 96-517” and “Public Law 98-620” include all amendments to those statutes.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The terms “sold” and “sell” include, without limitation, leases and other transfers and similar transactions.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w:t>
      </w:r>
    </w:p>
    <w:p>
      <w:pPr>
        <w:spacing w:after="0" w:line="205" w:lineRule="exact"/>
        <w:rPr>
          <w:sz w:val="20"/>
          <w:szCs w:val="20"/>
          <w:color w:val="auto"/>
        </w:rPr>
      </w:pPr>
    </w:p>
    <w:p>
      <w:pPr>
        <w:ind w:left="460" w:right="520" w:hanging="445"/>
        <w:spacing w:after="0" w:line="268" w:lineRule="auto"/>
        <w:tabs>
          <w:tab w:leader="none" w:pos="440" w:val="left"/>
        </w:tabs>
        <w:rPr>
          <w:sz w:val="20"/>
          <w:szCs w:val="20"/>
          <w:color w:val="auto"/>
        </w:rPr>
      </w:pPr>
      <w:r>
        <w:rPr>
          <w:rFonts w:ascii="Arial" w:cs="Arial" w:eastAsia="Arial" w:hAnsi="Arial"/>
          <w:sz w:val="18"/>
          <w:szCs w:val="18"/>
          <w:color w:val="auto"/>
        </w:rPr>
        <w:t>2.1</w:t>
        <w:tab/>
        <w:t>HARVARD is owner by assignment from [***], in the US and foreign patent applications corresponding thereto, and in the inventions described and claimed therein. Inventorship will be finalized in the near future.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HARVARD has authority to issue licenses under PATENT RIGHTS.</w:t>
      </w:r>
    </w:p>
    <w:p>
      <w:pPr>
        <w:spacing w:after="0" w:line="90" w:lineRule="exact"/>
        <w:rPr>
          <w:sz w:val="20"/>
          <w:szCs w:val="20"/>
          <w:color w:val="auto"/>
        </w:rPr>
      </w:pPr>
    </w:p>
    <w:p>
      <w:pPr>
        <w:ind w:left="460" w:right="280" w:hanging="445"/>
        <w:spacing w:after="0" w:line="259" w:lineRule="auto"/>
        <w:tabs>
          <w:tab w:leader="none" w:pos="440" w:val="left"/>
        </w:tabs>
        <w:rPr>
          <w:sz w:val="20"/>
          <w:szCs w:val="20"/>
          <w:color w:val="auto"/>
        </w:rPr>
      </w:pPr>
      <w:r>
        <w:rPr>
          <w:rFonts w:ascii="Arial" w:cs="Arial" w:eastAsia="Arial" w:hAnsi="Arial"/>
          <w:sz w:val="18"/>
          <w:szCs w:val="18"/>
          <w:color w:val="auto"/>
        </w:rPr>
        <w:t>2.3</w:t>
        <w:tab/>
        <w:t>HARVARD is committed to the policy that ideas or creative works produced at HARVARD should be used for the greatest possible public benefit, and believes that every reasonable incentive should be provided for the prompt introduction of such ideas into public use, all in a manner consistent with the public interest.</w:t>
      </w:r>
    </w:p>
    <w:p>
      <w:pPr>
        <w:spacing w:after="0" w:line="59"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2.4</w:t>
        <w:tab/>
        <w:t>LICENSEE is prepared and intends to diligently develop the invention and to bring products to market which are subject to this Agreement, specifically including one or more products in the FIELD selected from a [***].</w:t>
      </w:r>
    </w:p>
    <w:p>
      <w:pPr>
        <w:spacing w:after="0" w:line="51" w:lineRule="exact"/>
        <w:rPr>
          <w:sz w:val="20"/>
          <w:szCs w:val="20"/>
          <w:color w:val="auto"/>
        </w:rPr>
      </w:pPr>
    </w:p>
    <w:p>
      <w:pPr>
        <w:ind w:left="460" w:right="180" w:hanging="445"/>
        <w:spacing w:after="0" w:line="306" w:lineRule="auto"/>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LICENSEE is desirous of obtaining a co-exclusive license in the FIELD and in the TERRITORY in order to practice the PATENT RIGHTS in the United States and in certain foreign countries, and to manufacture, use and sell in the commercial market the products made in accordance therewith, and HARVARD is desirous of granting such a license to LICENSEE in accordance with the terms of this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RIGHTS</w:t>
      </w:r>
    </w:p>
    <w:p>
      <w:pPr>
        <w:spacing w:after="0" w:line="205" w:lineRule="exact"/>
        <w:rPr>
          <w:sz w:val="20"/>
          <w:szCs w:val="20"/>
          <w:color w:val="auto"/>
        </w:rPr>
      </w:pPr>
    </w:p>
    <w:p>
      <w:pPr>
        <w:ind w:left="460" w:right="780" w:hanging="445"/>
        <w:spacing w:after="0" w:line="268" w:lineRule="auto"/>
        <w:tabs>
          <w:tab w:leader="none" w:pos="440" w:val="left"/>
        </w:tabs>
        <w:rPr>
          <w:sz w:val="20"/>
          <w:szCs w:val="20"/>
          <w:color w:val="auto"/>
        </w:rPr>
      </w:pPr>
      <w:r>
        <w:rPr>
          <w:rFonts w:ascii="Arial" w:cs="Arial" w:eastAsia="Arial" w:hAnsi="Arial"/>
          <w:sz w:val="18"/>
          <w:szCs w:val="18"/>
          <w:color w:val="auto"/>
        </w:rPr>
        <w:t>3.1</w:t>
        <w:tab/>
        <w:t>HARVARD hereby grants to LICENSEE and LICENSEE accepts, subject to the terms and conditions hereof, in the TERRITORY a co-exclusive commercial license under PATENT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1" w:name="page342"/>
    <w:bookmarkEnd w:id="341"/>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RIGHTS in FIELD I and in FIELD II to make and have made, to use and have used, to sell and have sold, and to offer for sale and have offered for sale the LICENSED PRODUCTS, and to practice the LICENSED PROCESSES, for the life of the PATENT RIGHTS. HARVARD will grant no more than two commercial licenses in FIELD I at any time and will grant no more than two commercial licenses in FIELD II at any time and HARVARD will not grant other licenses in the FIELD except as required by HARVARD’s obligations in Section 3.2(a) or as permitted Section 3.2(b). Such co-exclusive license shall include the right to grant sublicenses under the following circumstances: (i) LICENSEE can demonstrate that it has added significant value to the PATENT RIGHTS to be sublicensed, and that such a sublicense also contains a substantial and essentially simultaneous license of LICENSEE owned intellectual property, or (ii) LICENSEE grants a sublicense under other HARVARD patent rights licensed exclusively to LICENSEE which are dominated by PATENT RIGHTS, and such sublicense under PATENT RIGHTS is necessary to practice such other HARVARD patent rights.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granting and exercise of this license is subject to the following conditions:</w:t>
      </w:r>
    </w:p>
    <w:p>
      <w:pPr>
        <w:spacing w:after="0" w:line="90" w:lineRule="exact"/>
        <w:rPr>
          <w:sz w:val="20"/>
          <w:szCs w:val="20"/>
          <w:color w:val="auto"/>
        </w:rPr>
      </w:pPr>
    </w:p>
    <w:p>
      <w:pPr>
        <w:ind w:left="900" w:right="260" w:hanging="446"/>
        <w:spacing w:after="0" w:line="298"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HARVARD’s “Statement of Policy in Regard to Inventions, Patents and Copyrights,” dated August 10, 1998, Public Law 96-517, Public Law 98-620. In addition, this Agreement is subject to HARVARD’s obligations under agreements with other sponsors of research, provided that such obligations are not in conflict with the rights granted hereunder. Any right granted in this Agreement greater than that permitted under Public Law 96-517, or Public Law 98-620, shall be subject to modification as may be required to conform to the provisions of those statutes.</w:t>
      </w:r>
    </w:p>
    <w:p>
      <w:pPr>
        <w:spacing w:after="0" w:line="31"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HARVARD reserves the right to make and use, and grant to others non-exclusive licenses to make and use solely for ACADEMIC RESEARCH PURPOSES the subject matter described and claimed in PATENT RIGHTS.</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w:t>
      </w:r>
    </w:p>
    <w:p>
      <w:pPr>
        <w:spacing w:after="0" w:line="59"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At any time after three years from the effective date of this Agreement and as HARVARD’s sole remedy for such non-performance, HARVARD may increase the license maintenance royalty under Section 4.4 to [***] ($[***]) dollars each in FIELD I and in FIELD II in year 2004 and [***] ($[***]) dollars each in FIELD I and FIELD II per year each year beginning in 2005, if in HARVARD’s reasonable judgment, the Progress Reports furnished by LICENSEE do not demonstrate that LICENSEE has satisfied at least one of the following conditions, which non-performance is not cured within ninety (90) days following the written notification of such by HARVARD to LICENSEE: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45" w:lineRule="exact"/>
        <w:rPr>
          <w:sz w:val="20"/>
          <w:szCs w:val="20"/>
          <w:color w:val="auto"/>
        </w:rPr>
      </w:pPr>
    </w:p>
    <w:p>
      <w:pPr>
        <w:ind w:left="1480" w:right="120" w:hanging="567"/>
        <w:spacing w:after="0" w:line="268" w:lineRule="auto"/>
        <w:tabs>
          <w:tab w:leader="none" w:pos="14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has put the licensed subject matter into commercial use in at least one of the countries hereby licensed, directly or through a sublicense, and is keeping the licensed subject matter reasonably available to the public;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is engaged in research, development, manufacturing, marketing or sublicensing activity appropriate to achieving 3.2(d)(i).</w:t>
      </w:r>
    </w:p>
    <w:p>
      <w:pPr>
        <w:spacing w:after="0" w:line="90"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In all sublicenses granted by LICENSEE hereunder, LICENSEE shall include a requirement that the SUBLICENSEE use commercially reasonable efforts to bring the subject matter of the sublicense into commercial use. LICENSEE shall further provide in such sublicenses that such sublicenses are subject and subordinate to the terms and conditions of this Agreement, except: (i) the SUBLICENSEE may not further sublicense; and (ii) the rate of royalty on NET SALES paid by the SUBLICENSEE to the LICENSEE. Copies of the relevant provisions of all sublicense agreements shall be provided promptly to HARVARD. HARVARD agrees to maintain any information contained in such provisions in confidence, except as otherwise required by law, however, HARVARD may include in its usual reports annual amounts of royalties paid.</w:t>
      </w:r>
    </w:p>
    <w:p>
      <w:pPr>
        <w:spacing w:after="0" w:line="39" w:lineRule="exact"/>
        <w:rPr>
          <w:rFonts w:ascii="Arial" w:cs="Arial" w:eastAsia="Arial" w:hAnsi="Arial"/>
          <w:sz w:val="16"/>
          <w:szCs w:val="16"/>
          <w:color w:val="auto"/>
        </w:rPr>
      </w:pPr>
    </w:p>
    <w:p>
      <w:pPr>
        <w:jc w:val="both"/>
        <w:ind w:left="900" w:right="20" w:hanging="446"/>
        <w:spacing w:after="0" w:line="259"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license in any other field of use in addition to the FIELD shall be the subject of a separate agreement and shall require LICENSEE’s submission of evidence, satisfactory to HARVARD, demonstrating LICENSEE’s willingness and ability to develop and commercialize in such other field of use the kinds of products or processes likely to be encompassed in such other fields.</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the extent that federal funds are used to support research leading to a patent or patent application in the PATENT RIGHTS, LICENSEE shall cause any LICENSED PRODUCT produced for sale by LICENSEE or SUBLICENSEES in the United States to be manufactured substantially in the United States during the period of exclusivity of this license in the United States.</w:t>
      </w:r>
    </w:p>
    <w:p>
      <w:pPr>
        <w:spacing w:after="0" w:line="59" w:lineRule="exact"/>
        <w:rPr>
          <w:sz w:val="20"/>
          <w:szCs w:val="20"/>
          <w:color w:val="auto"/>
        </w:rPr>
      </w:pPr>
    </w:p>
    <w:p>
      <w:pPr>
        <w:ind w:left="460" w:right="400" w:hanging="445"/>
        <w:spacing w:after="0" w:line="268" w:lineRule="auto"/>
        <w:tabs>
          <w:tab w:leader="none" w:pos="440" w:val="left"/>
        </w:tabs>
        <w:rPr>
          <w:sz w:val="20"/>
          <w:szCs w:val="20"/>
          <w:color w:val="auto"/>
        </w:rPr>
      </w:pPr>
      <w:r>
        <w:rPr>
          <w:rFonts w:ascii="Arial" w:cs="Arial" w:eastAsia="Arial" w:hAnsi="Arial"/>
          <w:sz w:val="18"/>
          <w:szCs w:val="18"/>
          <w:color w:val="auto"/>
        </w:rPr>
        <w:t>3.4</w:t>
        <w:tab/>
        <w:t>All rights reserved to the United States Government and others under Public Law 96-517, and Public Law 98-620, shall remain and shall in no way be affected by this Agreement.</w:t>
      </w: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ROYALTIES</w:t>
      </w:r>
    </w:p>
    <w:p>
      <w:pPr>
        <w:spacing w:after="0" w:line="205" w:lineRule="exact"/>
        <w:rPr>
          <w:sz w:val="20"/>
          <w:szCs w:val="20"/>
          <w:color w:val="auto"/>
        </w:rPr>
      </w:pPr>
    </w:p>
    <w:p>
      <w:pPr>
        <w:ind w:left="460" w:right="640" w:hanging="445"/>
        <w:spacing w:after="0" w:line="268" w:lineRule="auto"/>
        <w:tabs>
          <w:tab w:leader="none" w:pos="440" w:val="left"/>
        </w:tabs>
        <w:rPr>
          <w:sz w:val="20"/>
          <w:szCs w:val="20"/>
          <w:color w:val="auto"/>
        </w:rPr>
      </w:pPr>
      <w:r>
        <w:rPr>
          <w:rFonts w:ascii="Arial" w:cs="Arial" w:eastAsia="Arial" w:hAnsi="Arial"/>
          <w:sz w:val="18"/>
          <w:szCs w:val="18"/>
          <w:color w:val="auto"/>
        </w:rPr>
        <w:t>4.1</w:t>
        <w:tab/>
        <w:t>LICENSEE shall pay to HARVARD a non-refundable license royalty fee in the sum of [***] dollars ($[***]) payable within thirty (30) days of the execution date of this Agreement.</w:t>
      </w:r>
    </w:p>
    <w:p>
      <w:pPr>
        <w:spacing w:after="0" w:line="51" w:lineRule="exact"/>
        <w:rPr>
          <w:sz w:val="20"/>
          <w:szCs w:val="20"/>
          <w:color w:val="auto"/>
        </w:rPr>
      </w:pPr>
    </w:p>
    <w:p>
      <w:pPr>
        <w:ind w:left="460" w:right="520" w:hanging="445"/>
        <w:spacing w:after="0" w:line="268" w:lineRule="auto"/>
        <w:tabs>
          <w:tab w:leader="none" w:pos="440" w:val="left"/>
        </w:tabs>
        <w:rPr>
          <w:sz w:val="20"/>
          <w:szCs w:val="20"/>
          <w:color w:val="auto"/>
        </w:rPr>
      </w:pPr>
      <w:r>
        <w:rPr>
          <w:rFonts w:ascii="Arial" w:cs="Arial" w:eastAsia="Arial" w:hAnsi="Arial"/>
          <w:sz w:val="18"/>
          <w:szCs w:val="18"/>
          <w:color w:val="auto"/>
        </w:rPr>
        <w:t>4.2</w:t>
        <w:tab/>
        <w:t>(a) In consideration of the right and license granted herein, LICENSEE shall pay to HARVARD during the term of this Agreement a royalty of [***] percent ([***]) on NET SALES of LICENSED PRODUCTS sold by LICENSEE.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460" w:right="80" w:firstLine="4"/>
        <w:spacing w:after="0" w:line="298" w:lineRule="auto"/>
        <w:tabs>
          <w:tab w:leader="none" w:pos="70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the event that a single LICENSED PRODUCT or LICENSED PROCESS is covered by HARVARD intellectual property in addition to PATENT RIGHTS, which is licensed to LICENSEE under other agreements as of the date of this Agreement, then the total royalty payment due HARVARD under all such agreements including this Agreement shall be [***] percent ([***]) of NET SALES. LICENSEE shall notify HARVARD of the identity of each license agreement that includes patent rights covering the product or process, and HARVARD shall distribute the royalties evenly among such agreements.</w:t>
      </w:r>
    </w:p>
    <w:p>
      <w:pPr>
        <w:spacing w:after="0" w:line="31" w:lineRule="exact"/>
        <w:rPr>
          <w:rFonts w:ascii="Arial" w:cs="Arial" w:eastAsia="Arial" w:hAnsi="Arial"/>
          <w:sz w:val="16"/>
          <w:szCs w:val="16"/>
          <w:color w:val="auto"/>
        </w:rPr>
      </w:pPr>
    </w:p>
    <w:p>
      <w:pPr>
        <w:ind w:left="460" w:right="100" w:firstLine="4"/>
        <w:spacing w:after="0" w:line="268" w:lineRule="auto"/>
        <w:tabs>
          <w:tab w:leader="none" w:pos="68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As consideration for the rights granted hereunder, LICENSEE shall pay to HARVARD during the term of this Agreement a royalty in the form of stock of LICENSEE as follows:</w:t>
      </w:r>
    </w:p>
    <w:p>
      <w:pPr>
        <w:spacing w:after="0" w:line="50"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LICENSEE shall issue to HARVARD [***] shares of the Common Stock of LICENSEE (“Shares”) pursuant to the terms of a mutually acceptable Stock Subscription Agreement, provided, however, that HARVARD shall be subject to and enter into appropriate agreements and related documents as required of other stockholders of LICENSEE.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HARVARD represents and warrants to LICENSEE that:</w:t>
      </w:r>
    </w:p>
    <w:p>
      <w:pPr>
        <w:spacing w:after="0" w:line="90" w:lineRule="exact"/>
        <w:rPr>
          <w:sz w:val="20"/>
          <w:szCs w:val="20"/>
          <w:color w:val="auto"/>
        </w:rPr>
      </w:pPr>
    </w:p>
    <w:p>
      <w:pPr>
        <w:ind w:left="460" w:firstLine="4"/>
        <w:spacing w:after="0" w:line="259" w:lineRule="auto"/>
        <w:tabs>
          <w:tab w:leader="none" w:pos="70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HARVARD is acquiring the Shares for its own account for investment and not with a view to, or for sale in connection with any distribution thereof, nor with any present intention of distributing or selling the same; and HARVARD has no present or contemplated agreement, undertaking, arrangement, obligation, indebtedness or commitment providing for the disposition thereof.</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HARVARD has full power and authority to enter into and to perform this Agreement in accordance with its terms.</w:t>
      </w:r>
    </w:p>
    <w:p>
      <w:pPr>
        <w:spacing w:after="0" w:line="90" w:lineRule="exact"/>
        <w:rPr>
          <w:rFonts w:ascii="Arial" w:cs="Arial" w:eastAsia="Arial" w:hAnsi="Arial"/>
          <w:sz w:val="18"/>
          <w:szCs w:val="18"/>
          <w:color w:val="auto"/>
        </w:rPr>
      </w:pPr>
    </w:p>
    <w:p>
      <w:pPr>
        <w:ind w:left="460" w:right="20" w:firstLine="4"/>
        <w:spacing w:after="0" w:line="268" w:lineRule="auto"/>
        <w:tabs>
          <w:tab w:leader="none" w:pos="70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HARVARD has sufficient knowledge and experience in investing in companies similar to LICENSEE so as to be able to evaluate the risks and merits of its investment in LICENSEE and is able financially to bear the risks thereof.</w:t>
      </w:r>
    </w:p>
    <w:p>
      <w:pPr>
        <w:spacing w:after="0" w:line="51" w:lineRule="exact"/>
        <w:rPr>
          <w:sz w:val="20"/>
          <w:szCs w:val="20"/>
          <w:color w:val="auto"/>
        </w:rPr>
      </w:pPr>
    </w:p>
    <w:p>
      <w:pPr>
        <w:ind w:left="5680" w:right="3980" w:hanging="5216"/>
        <w:spacing w:after="0" w:line="440" w:lineRule="auto"/>
        <w:tabs>
          <w:tab w:leader="none" w:pos="78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certificate representing the Shares shall bear a legend substantially in the following form: 7</w:t>
      </w:r>
    </w:p>
    <w:p>
      <w:pPr>
        <w:spacing w:after="0" w:line="51" w:lineRule="exact"/>
        <w:rPr>
          <w:rFonts w:ascii="Arial" w:cs="Arial" w:eastAsia="Arial" w:hAnsi="Arial"/>
          <w:sz w:val="18"/>
          <w:szCs w:val="18"/>
          <w:color w:val="auto"/>
        </w:rPr>
      </w:pPr>
    </w:p>
    <w:p>
      <w:pPr>
        <w:ind w:left="800" w:right="400" w:hanging="792"/>
        <w:spacing w:after="0" w:line="268" w:lineRule="auto"/>
        <w:tabs>
          <w:tab w:leader="none" w:pos="8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44" w:name="page345"/>
    <w:bookmarkEnd w:id="344"/>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shares represented by this certificate have not been registered under the Securities Act of 1933 or any state securities law and they may not be sold or otherwise transferred by any person, including a pledgee, unless (1) either (a) a registration statement with respect to such shares shall be effective under the Securities Act of 1933, as amended, or (b) the Corporation shall have received an opinion of counsel satisfactory to the Corporation that an exemption from registration under such Act is then available, and (2) there shall have been compliance with all applicable securities laws.”</w:t>
      </w:r>
    </w:p>
    <w:p>
      <w:pPr>
        <w:spacing w:after="0" w:line="3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shares represented by this certificate are subject to a mutually agree-upon Stock Purchase and Right of First Refusal Agreement with this Corporation, a copy of which Stock Purchase and Right of First Refusal Agreement is available for inspection at the offices of the Corporation or may be made available upon request.”</w:t>
      </w:r>
    </w:p>
    <w:p>
      <w:pPr>
        <w:spacing w:after="0" w:line="59"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foregoing legend shall be removed from the certificates representing any Shares, at the request of the holder thereof, at such time as they become eligible for resale pursuant to the Securities Act of 1933, as amended.</w:t>
      </w:r>
    </w:p>
    <w:p>
      <w:pPr>
        <w:spacing w:after="0" w:line="51" w:lineRule="exact"/>
        <w:rPr>
          <w:sz w:val="20"/>
          <w:szCs w:val="20"/>
          <w:color w:val="auto"/>
        </w:rPr>
      </w:pPr>
    </w:p>
    <w:p>
      <w:pPr>
        <w:ind w:left="460" w:right="40"/>
        <w:spacing w:after="0" w:line="318" w:lineRule="auto"/>
        <w:rPr>
          <w:sz w:val="20"/>
          <w:szCs w:val="20"/>
          <w:color w:val="auto"/>
        </w:rPr>
      </w:pPr>
      <w:r>
        <w:rPr>
          <w:rFonts w:ascii="Arial" w:cs="Arial" w:eastAsia="Arial" w:hAnsi="Arial"/>
          <w:sz w:val="15"/>
          <w:szCs w:val="15"/>
          <w:color w:val="auto"/>
        </w:rPr>
        <w:t>If at any time prior to the time the Shares are eligible for resale pursuant to an exemption from registration under the Securities Act of 1933, as amended, LICENSEE proposes to register any of its Common Stock, under the Securities Act of 1933, except at LICENSEE’s initial public offering or any offering pursuant to Forms S-4 or S-8, LICENSEE shall offer HARVARD the opportunity to have its Shares registered under the registration statement to be filed at such time. HARVARD will be offered the right to register its Shares under the same terms, conditions and restrictions as other shareholders with piggyback registration rights and the inclusion of any Shares in such registration statement shall be subject to the approval of the underwriters of such offering</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(iv) HARVARD’s ownership rights to Shares shall not be affected should the license pursuant to this Agreement be converted to a non-exclusive one.</w:t>
      </w:r>
    </w:p>
    <w:p>
      <w:pPr>
        <w:spacing w:after="0" w:line="113" w:lineRule="exact"/>
        <w:rPr>
          <w:sz w:val="20"/>
          <w:szCs w:val="20"/>
          <w:color w:val="auto"/>
        </w:rPr>
      </w:pPr>
    </w:p>
    <w:p>
      <w:pPr>
        <w:ind w:left="460" w:right="140" w:firstLine="4"/>
        <w:spacing w:after="0" w:line="255" w:lineRule="auto"/>
        <w:tabs>
          <w:tab w:leader="none" w:pos="70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sublicenses, LICENSEE shall also pay to HARVARD a royalty of [***] of SUBLICENSE INCOME. If compensation for such a sublicense of PATENT RIGHTS is bundled with compensation received for the sublicensing of the other HARVARD patent rights licensed to LICENSEE under other agreements as of the date of this Agreement, LICENSEE shall pay HARVARD only [***] of the total compensation received no matter how many license agreements from HARVARD are involved. In such a case, LICENSEE shall notify HARVARD of the identity of each license agreement involved and HARVARD shall distribute its [***]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5" w:name="page346"/>
    <w:bookmarkEnd w:id="345"/>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equally among those license agreements, including this Agreement.</w:t>
      </w:r>
    </w:p>
    <w:p>
      <w:pPr>
        <w:spacing w:after="0" w:line="90" w:lineRule="exact"/>
        <w:rPr>
          <w:sz w:val="20"/>
          <w:szCs w:val="20"/>
          <w:color w:val="auto"/>
        </w:rPr>
      </w:pPr>
    </w:p>
    <w:p>
      <w:pPr>
        <w:ind w:left="460" w:firstLine="4"/>
        <w:spacing w:after="0" w:line="298" w:lineRule="auto"/>
        <w:tabs>
          <w:tab w:leader="none" w:pos="69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LICENSEE shall pay HARVARD [***] of NET SERVICE INCOME. If SERVICE INCOME is bundled with service income under another license to LICENSEE as of the date of this Agreement, LICENSEE shall pay a royalty of [***] of NET SERVICE INCOME received from each and every third party (“Third Party”) to which services are provided. LICENSEE shall notify HARVARD of the identity of each license agreement involved in the services and HARVARD shall distribute its [***] of compensation equally among those license agreements, including this Agreement.</w:t>
      </w:r>
    </w:p>
    <w:p>
      <w:pPr>
        <w:spacing w:after="0" w:line="31" w:lineRule="exact"/>
        <w:rPr>
          <w:rFonts w:ascii="Arial" w:cs="Arial" w:eastAsia="Arial" w:hAnsi="Arial"/>
          <w:sz w:val="16"/>
          <w:szCs w:val="16"/>
          <w:color w:val="auto"/>
        </w:rPr>
      </w:pPr>
    </w:p>
    <w:p>
      <w:pPr>
        <w:ind w:left="460" w:right="300" w:firstLine="4"/>
        <w:spacing w:after="0" w:line="306" w:lineRule="auto"/>
        <w:tabs>
          <w:tab w:leader="none" w:pos="67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other co-exclusive licenses in the same FIELD and TERRITORY are granted after the date this Agreement is executed, the above financial compensation shall not exceed the financial compensation to be paid by other licensees in the same FIELD and TERRITORY during the term of the co-exclusive license provided LICENSEE accepts any less favorable terms included in such other license.</w:t>
      </w:r>
    </w:p>
    <w:p>
      <w:pPr>
        <w:spacing w:after="0" w:line="2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If stock is part of the financial compensation to be paid by other licensees in the same FIELD and TERITORY, the fair market value of the stock shall be the same as the price per share which other investors paid in the last round of financing unless the stock is publicly traded.</w:t>
      </w:r>
    </w:p>
    <w:p>
      <w:pPr>
        <w:spacing w:after="0" w:line="4" w:lineRule="exact"/>
        <w:rPr>
          <w:sz w:val="20"/>
          <w:szCs w:val="20"/>
          <w:color w:val="auto"/>
        </w:rPr>
      </w:pPr>
    </w:p>
    <w:p>
      <w:pPr>
        <w:ind w:left="900" w:right="380" w:hanging="445"/>
        <w:spacing w:after="0" w:line="332"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On sales between LICENSEE and its AFFILIATES for resale or incorporation into products, the royalty shall be paid on the NET SALES of the AFFILIATE. On sales between LICENSEE and sublicensees for resale, the royalty shall be paid on the SUBLICENSE INCOME.</w:t>
      </w:r>
    </w:p>
    <w:p>
      <w:pPr>
        <w:spacing w:after="0" w:line="4" w:lineRule="exact"/>
        <w:rPr>
          <w:sz w:val="20"/>
          <w:szCs w:val="20"/>
          <w:color w:val="auto"/>
        </w:rPr>
      </w:pPr>
    </w:p>
    <w:p>
      <w:pPr>
        <w:ind w:left="900" w:right="240" w:hanging="445"/>
        <w:spacing w:after="0" w:line="298" w:lineRule="auto"/>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 later than January 1 of each calendar year indicated below, LICENSEE shall pay to HARVARD the following non-refundable license maintenance royalty and/or advance on royalties. Such payments shall be credited against running royalties due for that calendar year and Royalty Reports shall reflect such a credit. Such payments shall not be credited against milestone payments (if any) nor against royalties due for any subsequent calendar year nor against such payments due under any other agreements with HARVARD.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520" w:type="dxa"/>
            <w:vAlign w:val="bottom"/>
          </w:tcPr>
          <w:p>
            <w:pPr>
              <w:jc w:val="center"/>
              <w:ind w:left="3296"/>
              <w:spacing w:after="0"/>
              <w:rPr>
                <w:sz w:val="20"/>
                <w:szCs w:val="20"/>
                <w:color w:val="auto"/>
              </w:rPr>
            </w:pPr>
            <w:r>
              <w:rPr>
                <w:rFonts w:ascii="Arial" w:cs="Arial" w:eastAsia="Arial" w:hAnsi="Arial"/>
                <w:sz w:val="14"/>
                <w:szCs w:val="14"/>
                <w:color w:val="auto"/>
                <w:w w:val="96"/>
              </w:rPr>
              <w:t>FIELD I</w:t>
            </w:r>
          </w:p>
        </w:tc>
        <w:tc>
          <w:tcPr>
            <w:tcW w:w="860" w:type="dxa"/>
            <w:vAlign w:val="bottom"/>
          </w:tcPr>
          <w:p>
            <w:pPr>
              <w:jc w:val="center"/>
              <w:ind w:left="276"/>
              <w:spacing w:after="0"/>
              <w:rPr>
                <w:sz w:val="20"/>
                <w:szCs w:val="20"/>
                <w:color w:val="auto"/>
              </w:rPr>
            </w:pPr>
            <w:r>
              <w:rPr>
                <w:rFonts w:ascii="Arial" w:cs="Arial" w:eastAsia="Arial" w:hAnsi="Arial"/>
                <w:sz w:val="14"/>
                <w:szCs w:val="14"/>
                <w:color w:val="auto"/>
                <w:w w:val="97"/>
              </w:rPr>
              <w:t>FIELD II</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January 1, 2002</w:t>
            </w:r>
          </w:p>
        </w:tc>
        <w:tc>
          <w:tcPr>
            <w:tcW w:w="4520" w:type="dxa"/>
            <w:vAlign w:val="bottom"/>
            <w:shd w:val="clear" w:color="auto" w:fill="CCEEFF"/>
          </w:tcPr>
          <w:p>
            <w:pPr>
              <w:jc w:val="center"/>
              <w:ind w:left="32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January 1, 2003</w:t>
            </w:r>
          </w:p>
        </w:tc>
        <w:tc>
          <w:tcPr>
            <w:tcW w:w="4520" w:type="dxa"/>
            <w:vAlign w:val="bottom"/>
          </w:tcPr>
          <w:p>
            <w:pPr>
              <w:jc w:val="center"/>
              <w:ind w:left="3296"/>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276"/>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January 1, 2004</w:t>
            </w:r>
          </w:p>
        </w:tc>
        <w:tc>
          <w:tcPr>
            <w:tcW w:w="4520" w:type="dxa"/>
            <w:vAlign w:val="bottom"/>
            <w:shd w:val="clear" w:color="auto" w:fill="CCEEFF"/>
          </w:tcPr>
          <w:p>
            <w:pPr>
              <w:jc w:val="center"/>
              <w:ind w:left="329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each year thereafter</w:t>
            </w:r>
          </w:p>
        </w:tc>
        <w:tc>
          <w:tcPr>
            <w:tcW w:w="4520" w:type="dxa"/>
            <w:vAlign w:val="bottom"/>
          </w:tcPr>
          <w:p>
            <w:pPr>
              <w:jc w:val="center"/>
              <w:ind w:left="3296"/>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276"/>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REPORTING</w:t>
      </w:r>
    </w:p>
    <w:p>
      <w:pPr>
        <w:spacing w:after="0" w:line="205" w:lineRule="exact"/>
        <w:rPr>
          <w:sz w:val="20"/>
          <w:szCs w:val="20"/>
          <w:color w:val="auto"/>
        </w:rPr>
      </w:pPr>
    </w:p>
    <w:p>
      <w:pPr>
        <w:ind w:left="900" w:hanging="445"/>
        <w:spacing w:after="0" w:line="268" w:lineRule="auto"/>
        <w:tabs>
          <w:tab w:leader="none" w:pos="880" w:val="left"/>
        </w:tabs>
        <w:rPr>
          <w:sz w:val="20"/>
          <w:szCs w:val="20"/>
          <w:color w:val="auto"/>
        </w:rPr>
      </w:pPr>
      <w:r>
        <w:rPr>
          <w:rFonts w:ascii="Arial" w:cs="Arial" w:eastAsia="Arial" w:hAnsi="Arial"/>
          <w:sz w:val="18"/>
          <w:szCs w:val="18"/>
          <w:color w:val="auto"/>
        </w:rPr>
        <w:t>5.1</w:t>
        <w:tab/>
        <w:t>Prior to signing this Agreement, LICENSEE has provided to HARVARD a written business plan under which LICENSEE intends to bring the subject matter of the licenses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6" w:name="page347"/>
    <w:bookmarkEnd w:id="346"/>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granted hereunder into commercial use upon execution of this Agreement. Such plan includes proposed marketing efforts.</w:t>
      </w:r>
    </w:p>
    <w:p>
      <w:pPr>
        <w:spacing w:after="0" w:line="90" w:lineRule="exact"/>
        <w:rPr>
          <w:sz w:val="20"/>
          <w:szCs w:val="20"/>
          <w:color w:val="auto"/>
        </w:rPr>
      </w:pPr>
    </w:p>
    <w:p>
      <w:pPr>
        <w:ind w:left="460" w:right="160" w:hanging="445"/>
        <w:spacing w:after="0" w:line="291"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 later than sixty (60) days after June 30 of each calendar year, LICENSEE shall provide to HARVARD a written annual Progress Report describing progress on research and development, regulatory approvals, manufacturing, sublicensing, marketing and sales during the most recent twelve (12) month period ending June 30 and plans for the forthcoming year. If multiple technologies are covered by the license granted hereunder, the Progress Report shall provide the information set forth above for each technology. If progress differs from that anticipated in the plan required under Section 5.1, LICENSEE shall explain the reasons for the difference and propose a modified plan for HARVARD’s review. LICENSEE shall also provide any reasonable additional data HARVARD requires to evaluate LICENSEE’s performance.</w:t>
      </w:r>
    </w:p>
    <w:p>
      <w:pPr>
        <w:spacing w:after="0" w:line="39" w:lineRule="exact"/>
        <w:rPr>
          <w:sz w:val="20"/>
          <w:szCs w:val="20"/>
          <w:color w:val="auto"/>
        </w:rPr>
      </w:pPr>
    </w:p>
    <w:p>
      <w:pPr>
        <w:ind w:left="460" w:right="260" w:hanging="445"/>
        <w:spacing w:after="0" w:line="268" w:lineRule="auto"/>
        <w:tabs>
          <w:tab w:leader="none" w:pos="440" w:val="left"/>
        </w:tabs>
        <w:rPr>
          <w:sz w:val="20"/>
          <w:szCs w:val="20"/>
          <w:color w:val="auto"/>
        </w:rPr>
      </w:pPr>
      <w:r>
        <w:rPr>
          <w:rFonts w:ascii="Arial" w:cs="Arial" w:eastAsia="Arial" w:hAnsi="Arial"/>
          <w:sz w:val="18"/>
          <w:szCs w:val="18"/>
          <w:color w:val="auto"/>
        </w:rPr>
        <w:t>5.3</w:t>
        <w:tab/>
        <w:t>LICENSEE shall report to HARVARD the date of first sale of LICENSED PRODUCTS (or results of LICENSED PROCESSES) in each country within thirty (30) days of occurrence.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5.4  (a)</w:t>
            </w:r>
          </w:p>
        </w:tc>
        <w:tc>
          <w:tcPr>
            <w:tcW w:w="10220" w:type="dxa"/>
            <w:vAlign w:val="bottom"/>
          </w:tcPr>
          <w:p>
            <w:pPr>
              <w:ind w:left="160"/>
              <w:spacing w:after="0"/>
              <w:rPr>
                <w:sz w:val="20"/>
                <w:szCs w:val="20"/>
                <w:color w:val="auto"/>
              </w:rPr>
            </w:pPr>
            <w:r>
              <w:rPr>
                <w:rFonts w:ascii="Arial" w:cs="Arial" w:eastAsia="Arial" w:hAnsi="Arial"/>
                <w:sz w:val="18"/>
                <w:szCs w:val="18"/>
                <w:color w:val="auto"/>
                <w:w w:val="89"/>
              </w:rPr>
              <w:t>LICENSEE shall submit to HARVARD within sixty (60) days after each calendar half year ending June 30 and December 31, a Royalty Report</w:t>
            </w:r>
          </w:p>
        </w:tc>
      </w:tr>
      <w:tr>
        <w:trPr>
          <w:trHeight w:val="222"/>
        </w:trPr>
        <w:tc>
          <w:tcPr>
            <w:tcW w:w="760" w:type="dxa"/>
            <w:vAlign w:val="bottom"/>
          </w:tcPr>
          <w:p>
            <w:pPr>
              <w:spacing w:after="0"/>
              <w:rPr>
                <w:sz w:val="19"/>
                <w:szCs w:val="19"/>
                <w:color w:val="auto"/>
              </w:rPr>
            </w:pPr>
          </w:p>
        </w:tc>
        <w:tc>
          <w:tcPr>
            <w:tcW w:w="10220" w:type="dxa"/>
            <w:vAlign w:val="bottom"/>
          </w:tcPr>
          <w:p>
            <w:pPr>
              <w:ind w:left="160"/>
              <w:spacing w:after="0"/>
              <w:rPr>
                <w:sz w:val="20"/>
                <w:szCs w:val="20"/>
                <w:color w:val="auto"/>
              </w:rPr>
            </w:pPr>
            <w:r>
              <w:rPr>
                <w:rFonts w:ascii="Arial" w:cs="Arial" w:eastAsia="Arial" w:hAnsi="Arial"/>
                <w:sz w:val="18"/>
                <w:szCs w:val="18"/>
                <w:color w:val="auto"/>
              </w:rPr>
              <w:t>setting forth for such half year at least the following information:</w:t>
            </w:r>
          </w:p>
        </w:tc>
      </w:tr>
    </w:tbl>
    <w:p>
      <w:pPr>
        <w:spacing w:after="0" w:line="75" w:lineRule="exact"/>
        <w:rPr>
          <w:sz w:val="20"/>
          <w:szCs w:val="20"/>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number of LICENSED PRODUCTS sold by LICENSEE in each country;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total billings and amounts actually received for such LICENSED PRODUCTS;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an accounting for all LICENSED PROCESSES used or sold;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deductions applicable to determine the NET SALES thereof;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amount of SERVICE INCOME received by LICENSEE and an accounting of all deductions to yield NET SERVICE INCOME;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amount of SUBLICENSE INCOME received by LICENSEE; and</w:t>
      </w:r>
    </w:p>
    <w:p>
      <w:pPr>
        <w:spacing w:after="0" w:line="90" w:lineRule="exact"/>
        <w:rPr>
          <w:rFonts w:ascii="Arial" w:cs="Arial" w:eastAsia="Arial" w:hAnsi="Arial"/>
          <w:sz w:val="18"/>
          <w:szCs w:val="18"/>
          <w:color w:val="auto"/>
        </w:rPr>
      </w:pPr>
    </w:p>
    <w:p>
      <w:pPr>
        <w:ind w:left="920" w:right="140" w:hanging="7"/>
        <w:spacing w:after="0" w:line="387" w:lineRule="auto"/>
        <w:tabs>
          <w:tab w:leader="none" w:pos="1479"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amount of royalty due thereon, or, if no royalties are due to HARVARD for any reporting period, the statement that no royalties are due. Such report shall be certified as correct by an officer of LICENSEE and shall include a detailed listing of all deductions from royalties.</w:t>
      </w:r>
    </w:p>
    <w:p>
      <w:pPr>
        <w:ind w:left="900" w:right="40" w:hanging="446"/>
        <w:spacing w:after="0" w:line="259" w:lineRule="auto"/>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LICENSEE shall pay to HARVARD with each such Royalty Report the amount of royalty due with respect to such half year. If multiple technologies are covered by the license granted hereunder, LICENSEE shall specify which PATENT RIGHTS are utilized for each LICENSED PRODUCT and LICENSED PROCESS included in the Royalty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45" w:lineRule="exact"/>
        <w:rPr>
          <w:sz w:val="20"/>
          <w:szCs w:val="20"/>
          <w:color w:val="auto"/>
        </w:rPr>
      </w:pPr>
    </w:p>
    <w:p>
      <w:pPr>
        <w:jc w:val="both"/>
        <w:ind w:left="900" w:right="80" w:hanging="446"/>
        <w:spacing w:after="0" w:line="256"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payments due hereunder shall be deemed received when funds are credited to HARVARD’s bank account and shall be payable by check or wire transfer in United States dollars. Conversion of foreign currency to U.S. dollars shall be made at the conversion rate existing in the United States (as reported in the New York Times or the Wall Street Journal) on the last working day of each royalty period. No transfer, exchange, collection or other charges shall be deducted from such payments.</w:t>
      </w:r>
    </w:p>
    <w:p>
      <w:pPr>
        <w:spacing w:after="0" w:line="6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such reports shall be maintained in confidence by HARVARD except as required by law; however, HARVARD may include in its usual reports annual amounts of royalties paid.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Late payments shall be subject to a charge of one and one-half percent (1.5%) per month, or $250, whichever is greater.</w:t>
      </w:r>
    </w:p>
    <w:p>
      <w:pPr>
        <w:spacing w:after="0" w:line="90" w:lineRule="exact"/>
        <w:rPr>
          <w:sz w:val="20"/>
          <w:szCs w:val="20"/>
          <w:color w:val="auto"/>
        </w:rPr>
      </w:pPr>
    </w:p>
    <w:p>
      <w:pPr>
        <w:ind w:left="460" w:right="500" w:hanging="445"/>
        <w:spacing w:after="0" w:line="268" w:lineRule="auto"/>
        <w:tabs>
          <w:tab w:leader="none" w:pos="440" w:val="left"/>
        </w:tabs>
        <w:rPr>
          <w:sz w:val="20"/>
          <w:szCs w:val="20"/>
          <w:color w:val="auto"/>
        </w:rPr>
      </w:pPr>
      <w:r>
        <w:rPr>
          <w:rFonts w:ascii="Arial" w:cs="Arial" w:eastAsia="Arial" w:hAnsi="Arial"/>
          <w:sz w:val="18"/>
          <w:szCs w:val="18"/>
          <w:color w:val="auto"/>
        </w:rPr>
        <w:t>5.5</w:t>
        <w:tab/>
        <w:t>In the event of acquisition, merger, change of corporate name or change in make-up, organization, or identity, LICENSEE shall notify HARVARD in writing within thirty (30) days of such event.</w:t>
      </w:r>
    </w:p>
    <w:p>
      <w:pPr>
        <w:spacing w:after="0" w:line="51" w:lineRule="exact"/>
        <w:rPr>
          <w:sz w:val="20"/>
          <w:szCs w:val="20"/>
          <w:color w:val="auto"/>
        </w:rPr>
      </w:pPr>
    </w:p>
    <w:p>
      <w:pPr>
        <w:ind w:left="460" w:hanging="445"/>
        <w:spacing w:after="0" w:line="287" w:lineRule="auto"/>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If by law, regulation or fiscal policy of a particular country, conversion into United States dollars or transfer of funds of a convertible currency to the United States is restricted or forbidden, LICENSEE shall give HARVARD prompt notice in writing and shall pay the royalty and other amounts due through such means or methods as are lawful in such country as HARVARD may reasonably designate. Failing the designation by HARVARD of such lawful means or methods within thirty (30) days after such notice is given to HARVARD, LICENSEE shall deposit such royalty or other payment in local currency to the credit of HARVARD in a recognized banking institution designated by HARVARD, or if none is designated by HARVARD within the thirty (30) day period described above, in a recognized banking institution selected by LICENSEE and identified in a written notice to HARVARD by LICENSEE, and such deposit shall fulfill all obligations of LICENSEE to HARVARD with respect to such royalties. When in any country in which the law or regulations prohibit both the transmittal and deposit of royalties on sales in such country, royalty payments shall be suspended for as long as such prohibition is in effect, and as soon as such prohibition ceases to be in effect, all royalties which LICENSEE would have been under obligation to transmit or deposit, but for the prohibition, shall be deposited or transmitted promptly to the extent allowable.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RECORD KEEPING</w:t>
      </w:r>
    </w:p>
    <w:p>
      <w:pPr>
        <w:spacing w:after="0" w:line="205"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6.1</w:t>
        <w:tab/>
        <w:t>LICENSEE shall keep, and shall require its SUBLICENSEES to keep, accurate records (together with supporting documentation) of LICENSED PRODUCTS made, used or sold under this Agreement, and SERVICE INCOME and SUBLICENSE INCOME received by LICENSEE under this Agreement, appropriate to determine the amount of royalties due to HARVARD hereunder. Such records shall be retained for three (3) years following the end of the reporting period to which they relate. For such three year period, they shall be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48" w:name="page349"/>
    <w:bookmarkEnd w:id="348"/>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available during normal business hours upon reasonable advance notice for examination by a certified public accountant selected by HARVARD, and reasonably acceptable to LICENSEE, for the sole purpose of verifying reports and payments hereunder. In conducting examinations pursuant to this Section 6.1, HARVARD’s accountant shall have access to all records which HARVARD reasonably believes to be relevant to the calculation of royalties under Article IV. HARVARD agrees to maintain any information contained in such records in confidence, except as otherwise required by law and except information in regarding the amount of royalties due.</w:t>
      </w:r>
    </w:p>
    <w:p>
      <w:pPr>
        <w:spacing w:after="0" w:line="62" w:lineRule="exact"/>
        <w:rPr>
          <w:sz w:val="20"/>
          <w:szCs w:val="20"/>
          <w:color w:val="auto"/>
        </w:rPr>
      </w:pPr>
    </w:p>
    <w:p>
      <w:pPr>
        <w:ind w:left="460" w:right="260" w:hanging="445"/>
        <w:spacing w:after="0" w:line="268" w:lineRule="auto"/>
        <w:tabs>
          <w:tab w:leader="none" w:pos="440" w:val="left"/>
        </w:tabs>
        <w:rPr>
          <w:sz w:val="20"/>
          <w:szCs w:val="20"/>
          <w:color w:val="auto"/>
        </w:rPr>
      </w:pPr>
      <w:r>
        <w:rPr>
          <w:rFonts w:ascii="Arial" w:cs="Arial" w:eastAsia="Arial" w:hAnsi="Arial"/>
          <w:sz w:val="18"/>
          <w:szCs w:val="18"/>
          <w:color w:val="auto"/>
        </w:rPr>
        <w:t>6.2</w:t>
        <w:tab/>
        <w:t>HARVARD’s accountant shall not disclose to HARVARD any information other than information relating to the accuracy of reports and payments made hereunder.</w:t>
      </w:r>
    </w:p>
    <w:p>
      <w:pPr>
        <w:spacing w:after="0" w:line="51" w:lineRule="exact"/>
        <w:rPr>
          <w:sz w:val="20"/>
          <w:szCs w:val="20"/>
          <w:color w:val="auto"/>
        </w:rPr>
      </w:pPr>
    </w:p>
    <w:p>
      <w:pPr>
        <w:jc w:val="both"/>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6.3</w:t>
        <w:tab/>
        <w:t>Such examination by HARVARD’s accountant shall be at HARVARD’s expense, except that if such examination shows an underreporting or underpayment in excess of five percent (5%) for any twelve (12) month period, then LICENSEE shall pay the cost of such examination as well as any additional sum that would have been payable to HARVARD had the LICENSEE reported correctly, plus interest on said sum at the rate of one and one-half percent (1.5%) per month.</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DOMESTIC AND FOREIGN PATENT FILING AND MAINTENANCE</w:t>
      </w:r>
    </w:p>
    <w:p>
      <w:pPr>
        <w:spacing w:after="0" w:line="205"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7.1</w:t>
        <w:tab/>
        <w:t>Upon execution of this Agreement, LICENSEE shall reimburse HARVARD for fifty percent (50%) of all reasonable expenses HARVARD has incurred for the preparation, filing, prosecution, maintenance and counseling with respect to PATENT RIGHTS. Such expenses total [ * * * ] as of October 1, 2000. Thereafter, LICENSEE shall reimburse HARVARD for fifty percent (50%) of all such future reasonable expenses prior to termination of this Agreement upon receipt of invoices from HARVARD.</w:t>
      </w:r>
    </w:p>
    <w:p>
      <w:pPr>
        <w:spacing w:after="0" w:line="62" w:lineRule="exact"/>
        <w:rPr>
          <w:sz w:val="20"/>
          <w:szCs w:val="20"/>
          <w:color w:val="auto"/>
        </w:rPr>
      </w:pPr>
    </w:p>
    <w:p>
      <w:pPr>
        <w:jc w:val="both"/>
        <w:ind w:left="460" w:right="20" w:hanging="445"/>
        <w:spacing w:after="0" w:line="283" w:lineRule="auto"/>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HARVARD shall be responsible for the preparation, filing, prosecution and maintenance of any and all patent applications and patents included in PATENT RIGHTS. HARVARD will instruct counsel to directly notify HARVARD and LICENSEE and provide them copies of any official communications from the United States and foreign patent offices relating to said prosecution, and to provide LICENSEE with advance draft copies of all relevant communications to the various patent offices, so that LICENSEE may be informed and apprised of the continuing prosecution of patent applications in PATENT RIGHTS.</w:t>
      </w:r>
    </w:p>
    <w:p>
      <w:pPr>
        <w:spacing w:after="0" w:line="3"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LICENSEE shall have reasonable opportunities to participate in decision making on all key decisions affecting filing, prosecution and maintenance of patents and patent applications in PATENT RIGHTS. HARVARD will use reasonable efforts to incorporate LICENSEE’s reasonable suggestions regarding said prosecution. HARVARD shall use all reasonable efforts to amend any patent application to include claims reasonably requested by LICENSEE to protect LICENSED PRODUCTS.</w:t>
      </w:r>
    </w:p>
    <w:p>
      <w:pPr>
        <w:spacing w:after="0" w:line="63"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7.3</w:t>
        <w:tab/>
        <w:t>HARVARD and LICENSEE shall cooperate fully in the preparation, filing, prosecution and maintenance of PATENT RIGHTS and of all patents and patent applications licensed to LICENSEE hereunder, executing all papers and instruments or requiring members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49" w:name="page350"/>
    <w:bookmarkEnd w:id="349"/>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HARVARD to execute such papers and instruments so as to enable HARVARD to apply for, to prosecute and to maintain patent applications and patents in HARVARD’s name in any country. Each party shall provide to the other prompt notice as to all matters which come to its attention and which may affect the preparation, filing, prosecution or maintenance of any such patent applications or patents.</w:t>
      </w:r>
    </w:p>
    <w:p>
      <w:pPr>
        <w:spacing w:after="0" w:line="59" w:lineRule="exact"/>
        <w:rPr>
          <w:sz w:val="20"/>
          <w:szCs w:val="20"/>
          <w:color w:val="auto"/>
        </w:rPr>
      </w:pPr>
    </w:p>
    <w:p>
      <w:pPr>
        <w:jc w:val="center"/>
        <w:ind w:right="280"/>
        <w:spacing w:after="0" w:line="332" w:lineRule="auto"/>
        <w:rPr>
          <w:sz w:val="20"/>
          <w:szCs w:val="20"/>
          <w:color w:val="auto"/>
        </w:rPr>
      </w:pPr>
      <w:r>
        <w:rPr>
          <w:rFonts w:ascii="Arial" w:cs="Arial" w:eastAsia="Arial" w:hAnsi="Arial"/>
          <w:sz w:val="16"/>
          <w:szCs w:val="16"/>
          <w:color w:val="auto"/>
        </w:rPr>
        <w:t>7.4   LICENSEE may elect to surrender its PATENT RIGHTS in any country upon sixty (60) days written notice to HARVARD. Such notice shall not relieve LICENSEE from responsibility to reimburse HARVARD for patent-related expenses incurred prior to the expiration of the (60) day notice period.</w:t>
      </w:r>
    </w:p>
    <w:p>
      <w:pPr>
        <w:spacing w:after="0" w:line="4" w:lineRule="exact"/>
        <w:rPr>
          <w:sz w:val="20"/>
          <w:szCs w:val="20"/>
          <w:color w:val="auto"/>
        </w:rPr>
      </w:pPr>
    </w:p>
    <w:p>
      <w:pPr>
        <w:ind w:left="460" w:right="60" w:hanging="445"/>
        <w:spacing w:after="0" w:line="288" w:lineRule="auto"/>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HARVARD elects not to prosecute or maintain any of the patents or patent applications relating to PATENT RIGHTS or any portion thereof in any country, LICENSEE shall be given sufficient notice of HARVARD’s decision so that LICENSEE may request that HARVARD continue prosecuting or maintaining such patents or patent applications, at LICENSEE’s expense. If HARVARD elects not to prosecute or maintain such patents or patent applications after such request by LICENSEE, then LICENSEE shall have the right, but not the obligation, at its own expense to prosecute and maintain such patents and patent applications or portion thereof in such country and in HARVARD’s name. If LICENSEE assumes 100% of the costs to file, prosecute, and maintain certain patents and patent applications relating to the PATENT RIGHTS pursuant to this Section 7.5, and, if HARVARD licenses the PATENT RIGHTS to one or more co-exclusive licensees designated in Section 3.1 after such time, then HARVARD will credit LICENSEE with the costs LICENSEE has paid in excess of fifty percent (50%) if one other licensee, due for the preparation, filing, prosecution and maintenance of patents and patent applications relating to PATENT RIGHTS pursuant to Section 7.1 above.</w:t>
      </w:r>
    </w:p>
    <w:p>
      <w:pPr>
        <w:spacing w:after="0" w:line="39" w:lineRule="exact"/>
        <w:rPr>
          <w:sz w:val="20"/>
          <w:szCs w:val="20"/>
          <w:color w:val="auto"/>
        </w:rPr>
      </w:pPr>
    </w:p>
    <w:p>
      <w:pPr>
        <w:ind w:left="460" w:right="580" w:hanging="445"/>
        <w:spacing w:after="0" w:line="298"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LICENSEE can demonstrate that it is not being adequately informed or apprised of the continuing prosecution of patents or patent applications in PATENT RIGHTS, or that it is not being provided with reasonable opportunities to participate in decision making or that its interests are not being adequately protected, LICENSEE shall be entitled to engage, at LICENSEE’s expense, independent patent counsel to review and evaluate patent prosecution and filing of patents and patent applications included in PATENT RIGHTS.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INFRINGEMENT</w:t>
      </w:r>
    </w:p>
    <w:p>
      <w:pPr>
        <w:spacing w:after="0" w:line="205" w:lineRule="exact"/>
        <w:rPr>
          <w:sz w:val="20"/>
          <w:szCs w:val="20"/>
          <w:color w:val="auto"/>
        </w:rPr>
      </w:pPr>
    </w:p>
    <w:p>
      <w:pPr>
        <w:ind w:left="460" w:right="120" w:hanging="445"/>
        <w:spacing w:after="0" w:line="255" w:lineRule="auto"/>
        <w:tabs>
          <w:tab w:leader="none" w:pos="440" w:val="left"/>
        </w:tabs>
        <w:rPr>
          <w:sz w:val="20"/>
          <w:szCs w:val="20"/>
          <w:color w:val="auto"/>
        </w:rPr>
      </w:pPr>
      <w:r>
        <w:rPr>
          <w:rFonts w:ascii="Arial" w:cs="Arial" w:eastAsia="Arial" w:hAnsi="Arial"/>
          <w:sz w:val="18"/>
          <w:szCs w:val="18"/>
          <w:color w:val="auto"/>
        </w:rPr>
        <w:t>8.1</w:t>
        <w:tab/>
        <w:t>With respect to any PATENT RIGHTS that are licensed to LICENSEE pursuant to this Agreement, LICENSEE shall have the right to prosecute in its own name and at its own expense any infringement of such patent. HARVARD agrees to notify LICENSEE promptly of each infringement of such patents of which HARVARD, as applicable, is or becomes aware. Before LICENSEE commences an action with respect to any infringement of such patents, LICENSEE shall give careful consideration to the views of HARVARD and to potential effects on the public interest in making its decision whether or not to sue.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0" w:name="page351"/>
    <w:bookmarkEnd w:id="350"/>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100" w:hanging="445"/>
        <w:spacing w:after="0" w:line="288"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LICENSEE acknowledges that other co-exclusive licensees of PATENT RIGHTS designated in Section 3.1 shall have rights identical to LICENSEE to prosecute infringers and that co- exclusive licensees will be bound by the identical terms of this Section 8.2. In any prosecution instigated by LICENSEE and in which HARVARD, as necessary, is also named plaintiff as owner of the PATENT RIGHTS, LICENSEE must notify other co-exclusive licensees of the existence of such legal action and allow other co-exclusive licensees to join as a plaintiff upon co-exclusive licensees’ request. In addition, in the event other co- exclusive licensees instigate an infringement prosecution, LICENSEE hereby consents to being joined as a plaintiff in such suit solely for the purpose of procuring standing to bring the action and at the sole expense of the instigating co-exclusive licensee. To the extent that LICENSEE desires to participate in any strategic decisions affecting the prosecution of the action brought by other co-exclusive licensees, LICENSEE acknowledges that it and co- exclusive licensees will necessarily have to reach a mutual agreement concerning litigation expenses and strategy. In no event shall HARVARD incur any liability or expense in connection with any action of co-exclusive licensees, joint or otherwise.</w:t>
      </w:r>
    </w:p>
    <w:p>
      <w:pPr>
        <w:spacing w:after="0" w:line="39"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During any such litigation, HARVARD will agree to not license any defendant or accused infringer of the PATENT RIGHTS in the litigation, without LICENSEE’s prior written consent.</w:t>
      </w:r>
    </w:p>
    <w:p>
      <w:pPr>
        <w:spacing w:after="0" w:line="51"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8.3</w:t>
        <w:tab/>
        <w:t>(a)</w:t>
      </w:r>
      <w:r>
        <w:rPr>
          <w:sz w:val="20"/>
          <w:szCs w:val="20"/>
          <w:color w:val="auto"/>
        </w:rPr>
        <w:tab/>
      </w:r>
      <w:r>
        <w:rPr>
          <w:rFonts w:ascii="Arial" w:cs="Arial" w:eastAsia="Arial" w:hAnsi="Arial"/>
          <w:sz w:val="15"/>
          <w:szCs w:val="15"/>
          <w:color w:val="auto"/>
        </w:rPr>
        <w:t>If LICENSEE elects to commence an action as described above, HARVARD may, to the extent permitted by law, elect to join as parties in that action.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Regardless of whether HARVARD elects to join as parties, HARVARD shall cooperate fully with LICENSEE in connection with any such action.</w:t>
      </w:r>
    </w:p>
    <w:p>
      <w:pPr>
        <w:spacing w:after="0" w:line="134" w:lineRule="exact"/>
        <w:rPr>
          <w:sz w:val="20"/>
          <w:szCs w:val="20"/>
          <w:color w:val="auto"/>
        </w:rPr>
      </w:pPr>
    </w:p>
    <w:p>
      <w:pPr>
        <w:ind w:left="820" w:hanging="339"/>
        <w:spacing w:after="0"/>
        <w:tabs>
          <w:tab w:leader="none" w:pos="8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HARVARD agrees to join as a party in any action if required by law to do so in order to bring an action under the PATENT RIGHTS.</w:t>
      </w:r>
    </w:p>
    <w:p>
      <w:pPr>
        <w:spacing w:after="0" w:line="117" w:lineRule="exact"/>
        <w:rPr>
          <w:rFonts w:ascii="Arial" w:cs="Arial" w:eastAsia="Arial" w:hAnsi="Arial"/>
          <w:sz w:val="18"/>
          <w:szCs w:val="18"/>
          <w:color w:val="auto"/>
        </w:rPr>
      </w:pPr>
    </w:p>
    <w:p>
      <w:pPr>
        <w:ind w:left="820" w:right="320" w:hanging="339"/>
        <w:spacing w:after="0" w:line="268" w:lineRule="auto"/>
        <w:tabs>
          <w:tab w:leader="none" w:pos="8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LICENSEE shall reimburse HARVARD for any costs incurs with LICENSEE’s approval, including reasonable attorneys’ fees, as part of an action brought by LICENSEE, irrespective of whether HARVARD becomes a co-plaintiff.</w:t>
      </w:r>
    </w:p>
    <w:p>
      <w:pPr>
        <w:spacing w:after="0" w:line="51" w:lineRule="exact"/>
        <w:rPr>
          <w:sz w:val="20"/>
          <w:szCs w:val="20"/>
          <w:color w:val="auto"/>
        </w:rPr>
      </w:pPr>
    </w:p>
    <w:p>
      <w:pPr>
        <w:ind w:left="460" w:right="60" w:hanging="445"/>
        <w:spacing w:after="0" w:line="291"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LICENSEE elects to commence an action as described above, LICENSEE may deduct from its royalty payments to HARVARD with respect to the patent(s) subject to suit an amount not exceeding fifty percent (50%) of LICENSEE’s expenses and costs of such action, including reasonable attorneys’ fees; provided, however, that such reduction shall not exceed fifty percent (50%) of the total royalty due to HARVARD with respect to the patent(s) subject to suit for each calendar year. If such fifty percent (50%) of LICENSEE’s expenses and costs exceeds the amount of royalties deducted by LICENSEE for any calendar year, LICENSEE may to that extent reduce the royalties due to HARVARD from LICENSEE in succeeding calendar years, but never by more than fifty percent (50%) of the total royalty due in any one year with respect to the patent(s) subject to suit.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51" w:name="page352"/>
    <w:bookmarkEnd w:id="351"/>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8.5</w:t>
        <w:tab/>
        <w:t>No settlement, consent judgment or other voluntary final disposition of the suit may be entered into without the prior written consent of HARVARD which consent shall not be unreasonably withheld.</w:t>
      </w:r>
    </w:p>
    <w:p>
      <w:pPr>
        <w:spacing w:after="0" w:line="51" w:lineRule="exact"/>
        <w:rPr>
          <w:sz w:val="20"/>
          <w:szCs w:val="20"/>
          <w:color w:val="auto"/>
        </w:rPr>
      </w:pPr>
    </w:p>
    <w:p>
      <w:pPr>
        <w:jc w:val="both"/>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8.6</w:t>
        <w:tab/>
        <w:t>Recoveries or reimbursements from actions commenced by LICENSEE pursuant to this Article shall first be applied to reimburse LICENSEE, HARVARD for litigation costs not paid from royalties and then to reimburse HARVARD for royalties deducted by LICENSEE pursuant to Section 8.4. Any remaining recoveries or reimbursements shall be shared as follows:</w:t>
      </w:r>
    </w:p>
    <w:p>
      <w:pPr>
        <w:spacing w:after="0" w:line="59" w:lineRule="exact"/>
        <w:rPr>
          <w:sz w:val="20"/>
          <w:szCs w:val="20"/>
          <w:color w:val="auto"/>
        </w:rPr>
      </w:pPr>
    </w:p>
    <w:p>
      <w:pPr>
        <w:ind w:left="900" w:right="80" w:hanging="446"/>
        <w:spacing w:after="0" w:line="256" w:lineRule="auto"/>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the amount is lost profits or lost royalties, LICENSEE shall receive an amount equal to the damages the court determines LICENSEE has suffered as a result of the infringement less the amount of any royalties that would have been due HARVARD on sales of LICENSED PRODUCTS lost by LICENSEE as a result of the infringement had LICENSEE made such sales, and HARVARD shall receive an amount equal to the royalties it would have received if such sales had been made by LICENSEE,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to awards other than lost profits or lost royalties, fifty percent (50%) to LICENSEE and fifty percent (50%) to HARVARD.</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two or more co-exclusive licensees undertake the suit, the provision of this Section 8.6 will be modified to take into account each co-exclusive licensee’s expenses and lost profits.</w:t>
      </w:r>
    </w:p>
    <w:p>
      <w:pPr>
        <w:spacing w:after="0" w:line="51"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8.7</w:t>
        <w:tab/>
        <w:t>If LICENSEE elects not to exercise its right to prosecute an infringement of the PATENT RIGHTS pursuant to this Article, HARVARD may do so at its own expense, controlling such action and retaining all recoveries therefrom. LICENSEE shall cooperate fully with HARVARD in connection with any such action.</w:t>
      </w:r>
    </w:p>
    <w:p>
      <w:pPr>
        <w:spacing w:after="0" w:line="59"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8.8</w:t>
        <w:tab/>
        <w:t>If a declaratory judgment action is brought naming LICENSEE as a defendant and alleging invalidity of any of the PATENT RIGHTS, HARVARD may elect to take over the sole defense of the action at its own expense. LICENSEE shall cooperate fully with HARVARD in connection with any such action. HARVARD shall consult with LICENSEE regarding such defense.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OF AGREEMENT</w:t>
      </w:r>
    </w:p>
    <w:p>
      <w:pPr>
        <w:spacing w:after="0" w:line="205"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9.1</w:t>
        <w:tab/>
        <w:t>This Agreement, unless terminated as provided herein, shall remain in effect until the last patent or patent application in PATENT RIGHTS has expired or been abandoned.</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HARVARD may terminate this Agreement as follows:</w:t>
      </w:r>
    </w:p>
    <w:p>
      <w:pPr>
        <w:spacing w:after="0" w:line="90" w:lineRule="exact"/>
        <w:rPr>
          <w:sz w:val="20"/>
          <w:szCs w:val="20"/>
          <w:color w:val="auto"/>
        </w:rPr>
      </w:pPr>
    </w:p>
    <w:p>
      <w:pPr>
        <w:ind w:left="900" w:right="360" w:hanging="446"/>
        <w:spacing w:after="0" w:line="268"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LICENSEE does not make a payment due hereunder and fails to cure such non-payment (including the payment of interest in accordance with Section 5.4(e)) within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2" w:name="page353"/>
    <w:bookmarkEnd w:id="352"/>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thirty (30) days after the date of notice in writing of such non-payment by HARVARD.</w:t>
      </w:r>
    </w:p>
    <w:p>
      <w:pPr>
        <w:spacing w:after="0" w:line="90" w:lineRule="exact"/>
        <w:rPr>
          <w:sz w:val="20"/>
          <w:szCs w:val="20"/>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LICENSEE defaults in its obligations under Sections 10.3(c) and 10.3(d) to procure and maintain insurance.</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LICENSEE shall become insolvent, shall make an assignment for the benefit of creditors, or shall have a petition in bankruptcy filed for or against it. Such termination shall be effective immediately upon HARVARD giving written notice to LICENSEE.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an examination by HARVARD’s accountant pursuant to Article V shows an underreporting or underpayment by LICENSEE in excess of twenty percent (20%) for any twelve (12) month period, provided that such underreporting or underpayment is not determined to be inadvertent or the result of an honest mistake.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LICENSEE is convicted of a felony relating to the manufacture, use, or sale of LICENSED PRODUCTS.</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Except as provided in Subsections (a), (b), and (c) above, if LICENSEE defaults in the performance of any material obligations under this Agreement and the default has not been remedied within forty-five (45) days after the date of notice in writing of such default by HARVARD.</w:t>
      </w:r>
    </w:p>
    <w:p>
      <w:pPr>
        <w:spacing w:after="0" w:line="4" w:lineRule="exact"/>
        <w:rPr>
          <w:sz w:val="20"/>
          <w:szCs w:val="20"/>
          <w:color w:val="auto"/>
        </w:rPr>
      </w:pPr>
    </w:p>
    <w:p>
      <w:pPr>
        <w:ind w:left="460" w:hanging="445"/>
        <w:spacing w:after="0" w:line="288"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LICENSEE shall provide, in all sublicenses granted by it under this Agreement, that LICENSEE’s interest in such sublicenses shall at HARVARD’s option terminate or be assigned to HARVARD upon termination of this Agreement; however, LICENSEE shall have the option to nominate one of its sublicensees as a substitute for LICENSEE. The proposed substitute must (i) have a net worth of at least equivalent to the net worth LICENSEE had as of the date of this Agreement and (ii) have available resources and sufficient scientific, business and other expertise comparable to LICENSEE in order to satisfy its obligations under this Agreement. At least sixty (60) days prior to termination of this Agreement, LICENSEE shall provide HARVARD with written notice of LICENSEE’s nominee together with documentation sufficient to demonstrate the requirements set forth in subparagraphs (i) and (ii) above for HARVARD’s approval, which shall not be unreasonably withheld. HARVARD shall notify LICENSEE in writing of its decision prior to termination of this Agreement. If HARVARD approves LICENSEE’s nominee, LICENSEE shall assign this Agreement to its nominee and its nominee shall accept the assignment no later than thirty (30) days after the termination date of this Agreement.</w:t>
      </w:r>
    </w:p>
    <w:p>
      <w:pPr>
        <w:spacing w:after="0" w:line="3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In the event that HARVARD disapproved LICENSEE’s first nominee, prior to the termination date of this Agreement, LICENSEE shall have the option to nominate one of its other sublicensees for HARVARD’s approval which shall not be unreasonably withheld.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53" w:name="page354"/>
    <w:bookmarkEnd w:id="353"/>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68"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9.4</w:t>
        <w:tab/>
        <w:t>LICENSEE may terminate this Agreement by giving ninety (90) days advance written notice of termination to HARVARD. Upon termination, LICENSEE shall submit a final Royalty Report to HARVARD and any royalty payments and unreimbursed patent expenses invoiced by HARVARD shall become immediately payable.</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Sections 6.1, 6.2, 6.3, 7.1, 9.4, 9.5, 10.2, 10.3, 10.4, and 10.7 of this Agreement shall survive termination.</w:t>
      </w:r>
    </w:p>
    <w:p>
      <w:pPr>
        <w:spacing w:after="0" w:line="33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205" w:lineRule="exact"/>
        <w:rPr>
          <w:sz w:val="20"/>
          <w:szCs w:val="20"/>
          <w:color w:val="auto"/>
        </w:rPr>
      </w:pPr>
    </w:p>
    <w:p>
      <w:pPr>
        <w:ind w:left="460" w:right="100" w:hanging="445"/>
        <w:spacing w:after="0" w:line="294"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HARVARD does not warrant the validity of the PATENT RIGHTS licensed hereunder and make no representations whatsoever with regard to the scope of the licensed PATENT RIGHTS or that such PATENT RIGHTS may be exploited by LICENSEE, an AFFILIATE, or SUBLICENSEE without infringing other patents, provided, however, HARVARD represents that it has no knowledge of any facts or circumstances as of the execution date of this Agreement that would render any of the PATENT RIGHTS invalid or unenforceable. HARVARD represents and warrants, to the best of its knowledge, that HARVARD owns all right, title and interest in and to the PATENT RIGHTS.</w:t>
      </w:r>
    </w:p>
    <w:p>
      <w:pPr>
        <w:spacing w:after="0" w:line="35" w:lineRule="exact"/>
        <w:rPr>
          <w:sz w:val="20"/>
          <w:szCs w:val="20"/>
          <w:color w:val="auto"/>
        </w:rPr>
      </w:pPr>
    </w:p>
    <w:p>
      <w:pPr>
        <w:ind w:left="460" w:right="300" w:hanging="445"/>
        <w:spacing w:after="0" w:line="306" w:lineRule="auto"/>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HARVARD EXPRESSLY DISCLAIMS ANY AND ALL IMPLIED WARRANTIES AND MAKES NO EXPRESS OR IMPLIED WARRANTIES OF MERCHANTABILITY OR FITNESS FOR ANY PARTICULAR PURPOSE OF THE PATENT RIGHTS OR INFORMATION SUPPLIED BY HARVARD, LICENSED PROCESSES OR LICENSED PRODUCTS CONTEMPLATED BY THIS AGREEMENT.</w:t>
      </w:r>
    </w:p>
    <w:p>
      <w:pPr>
        <w:spacing w:after="0" w:line="26" w:lineRule="exact"/>
        <w:rPr>
          <w:sz w:val="20"/>
          <w:szCs w:val="20"/>
          <w:color w:val="auto"/>
        </w:rPr>
      </w:pPr>
    </w:p>
    <w:p>
      <w:pPr>
        <w:ind w:left="480" w:right="40" w:hanging="809"/>
        <w:spacing w:after="0" w:line="253" w:lineRule="auto"/>
        <w:tabs>
          <w:tab w:leader="none" w:pos="460" w:val="left"/>
        </w:tabs>
        <w:rPr>
          <w:sz w:val="20"/>
          <w:szCs w:val="20"/>
          <w:color w:val="auto"/>
        </w:rPr>
      </w:pPr>
      <w:r>
        <w:rPr>
          <w:rFonts w:ascii="Arial" w:cs="Arial" w:eastAsia="Arial" w:hAnsi="Arial"/>
          <w:sz w:val="18"/>
          <w:szCs w:val="18"/>
          <w:color w:val="auto"/>
        </w:rPr>
        <w:t>10.3</w:t>
        <w:tab/>
        <w:t>(a) LICENSEE shall indemnify, defend and hold harmless HARVARD and its current or former directors, governing board members, trustees, officers, faculty, medical and professional staff, employees, students, and agents and their respective successors, heirs and assigns (collectively, the “INDEMNITEES”), from and against any claim, liability, cost, expense, damage, deficiency, loss or obligation of any kind or nature (including, without limitation, reasonable attorney’s fees and other costs and expenses of litigation) (collectively, “Claims”), based upon, arising out of, or otherwise relating to this Agreement, including without limitation any cause of action relating to product liability concerning any product, process, or service made, used or sold pursuant to any right or license granted under this Agreement, provided, however, that such indemnification shall not apply to any liability, damage, loss, or expense to the extent directly attributable to the negligent activities, reckless misconduct or intentional misconduct of Indemnitees.</w:t>
      </w:r>
    </w:p>
    <w:p>
      <w:pPr>
        <w:spacing w:after="0" w:line="91" w:lineRule="exact"/>
        <w:rPr>
          <w:sz w:val="20"/>
          <w:szCs w:val="20"/>
          <w:color w:val="auto"/>
        </w:rPr>
      </w:pPr>
    </w:p>
    <w:p>
      <w:pPr>
        <w:ind w:left="820" w:right="220" w:hanging="339"/>
        <w:spacing w:after="0" w:line="306" w:lineRule="auto"/>
        <w:tabs>
          <w:tab w:leader="none" w:pos="8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Each Indemnitee that intends to claim indemnification under Section 10.3(a) shall promptly notify LICENSEE of any claim or action in respect of which the Indemnitee intends to claim such indemnification, and LICENSEE shall assume the defense thereof with counsel mutually satisfactory to LICENSEE and HARVARD. The failure to deliver notice to LICENSEE within a reasonable time after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4" w:name="page355"/>
    <w:bookmarkEnd w:id="354"/>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820" w:right="20"/>
        <w:spacing w:after="0" w:line="255" w:lineRule="auto"/>
        <w:rPr>
          <w:sz w:val="20"/>
          <w:szCs w:val="20"/>
          <w:color w:val="auto"/>
        </w:rPr>
      </w:pPr>
      <w:r>
        <w:rPr>
          <w:rFonts w:ascii="Arial" w:cs="Arial" w:eastAsia="Arial" w:hAnsi="Arial"/>
          <w:sz w:val="18"/>
          <w:szCs w:val="18"/>
          <w:color w:val="auto"/>
        </w:rPr>
        <w:t>commencement of any such claim or action, if materially prejudicial to its ability to defend such action, shall relieve LICENSEE of any liability to the Indemnitee under Section 10.3(a) with respect to such action, but the omission so to deliver notice to LICENSEE will not relieve it of any liability that it may have to any Indemnitee otherwise than under Section 10.3(a). HARVARD and any other Indemnitee, and their respective employees and agents, shall cooperate fully with LICENSEE and its legal representatives in the investigation of any claim or action covered by the indemnification under Section 10.3(a).</w:t>
      </w:r>
    </w:p>
    <w:p>
      <w:pPr>
        <w:spacing w:after="0" w:line="89" w:lineRule="exact"/>
        <w:rPr>
          <w:sz w:val="20"/>
          <w:szCs w:val="20"/>
          <w:color w:val="auto"/>
        </w:rPr>
      </w:pPr>
    </w:p>
    <w:p>
      <w:pPr>
        <w:ind w:left="820" w:right="120" w:hanging="339"/>
        <w:spacing w:after="0" w:line="286" w:lineRule="auto"/>
        <w:tabs>
          <w:tab w:leader="none" w:pos="8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Beginning at the time any such product, process or service is being commercially distributed or sold (other than for the purpose of obtaining regulatory approvals) by LICENSEE or by a SUBLICENSEE, AFFILIATE or agent of LICENSEE, LICENSEE shall, at its sole cost and expense, procure and maintain commercial general liability insurance in amounts not less than $2,000,000 per incident and $2,000,000 annual aggregate and naming the Indemnitees as additional insureds. During clinical trials of any such product, process or service, LICENSEE shall, at its sole cost and expense, procure and maintain commercial general liability insurance in such equal or lesser amount as HARVARD shall require, naming the Indemnitees as additional insureds. Such commercial general liability insurance shall provide: (i) product liability coverage; and (ii) broad form contractual liability coverage for LICENSEE’s indemnification under this Agreement. If LICENSEE elects to self-insure all or part of the limits described above (including deductibles or retentions which are in excess of $250,000 annual aggregate) such self-insurance program must be acceptable to HARVARD and the Risk Management Foundation of the Harvard Medical Institutions, Inc. in their sole discretion. The minimum amounts of insurance coverage required shall not be construed to create a limit of LICENSEE’s liability with respect to its indemnification under this Agreement.</w:t>
      </w:r>
    </w:p>
    <w:p>
      <w:pPr>
        <w:spacing w:after="0" w:line="73" w:lineRule="exact"/>
        <w:rPr>
          <w:rFonts w:ascii="Arial" w:cs="Arial" w:eastAsia="Arial" w:hAnsi="Arial"/>
          <w:sz w:val="16"/>
          <w:szCs w:val="16"/>
          <w:color w:val="auto"/>
        </w:rPr>
      </w:pPr>
    </w:p>
    <w:p>
      <w:pPr>
        <w:ind w:left="820" w:right="40" w:hanging="339"/>
        <w:spacing w:after="0" w:line="298" w:lineRule="auto"/>
        <w:tabs>
          <w:tab w:leader="none" w:pos="82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LICENSEE shall provide HARVARD with written evidence of such insurance upon request of HARVARD. LICENSEE shall provide HARVARD with written notice at least fifteen (15) days prior to the cancellation, non-renewal or material change in such insurance; if LICENSEE does not obtain replacement insurance providing comparable coverage within such fifteen (15) day period, HARVARD shall have the right to terminate this Agreement effective at the end of such fifteen (15) day period without notice or any additional waiting periods.</w:t>
      </w:r>
    </w:p>
    <w:p>
      <w:pPr>
        <w:spacing w:after="0" w:line="58" w:lineRule="exact"/>
        <w:rPr>
          <w:rFonts w:ascii="Arial" w:cs="Arial" w:eastAsia="Arial" w:hAnsi="Arial"/>
          <w:sz w:val="16"/>
          <w:szCs w:val="16"/>
          <w:color w:val="auto"/>
        </w:rPr>
      </w:pPr>
    </w:p>
    <w:p>
      <w:pPr>
        <w:ind w:left="820" w:right="40" w:hanging="339"/>
        <w:spacing w:after="0" w:line="256" w:lineRule="auto"/>
        <w:tabs>
          <w:tab w:leader="none" w:pos="8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by a SUBLICENSEE, AFFILIATE or agent of LICENSEE; and (ii) a reasonable period after the period referred to in Subsection (e)(i) above which in no event shall be less than fifteen (15)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5" w:name="page356"/>
    <w:bookmarkEnd w:id="355"/>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68" w:lineRule="exact"/>
        <w:rPr>
          <w:sz w:val="20"/>
          <w:szCs w:val="20"/>
          <w:color w:val="auto"/>
        </w:rPr>
      </w:pPr>
    </w:p>
    <w:p>
      <w:pPr>
        <w:ind w:left="460" w:right="480" w:hanging="445"/>
        <w:spacing w:after="0" w:line="268" w:lineRule="auto"/>
        <w:tabs>
          <w:tab w:leader="none" w:pos="440" w:val="left"/>
        </w:tabs>
        <w:rPr>
          <w:sz w:val="20"/>
          <w:szCs w:val="20"/>
          <w:color w:val="auto"/>
        </w:rPr>
      </w:pPr>
      <w:r>
        <w:rPr>
          <w:rFonts w:ascii="Arial" w:cs="Arial" w:eastAsia="Arial" w:hAnsi="Arial"/>
          <w:sz w:val="18"/>
          <w:szCs w:val="18"/>
          <w:color w:val="auto"/>
        </w:rPr>
        <w:t>10.4</w:t>
        <w:tab/>
        <w:t>LICENSEE shall not use HARVARD’s name or insignia, or any adaptation of them, or the name of any of HARVARD’s inventors in any advertising, promotional or sales literature without the prior written approval of HARVARD.</w:t>
      </w:r>
    </w:p>
    <w:p>
      <w:pPr>
        <w:spacing w:after="0" w:line="51" w:lineRule="exact"/>
        <w:rPr>
          <w:sz w:val="20"/>
          <w:szCs w:val="20"/>
          <w:color w:val="auto"/>
        </w:rPr>
      </w:pPr>
    </w:p>
    <w:p>
      <w:pPr>
        <w:ind w:left="460" w:right="80" w:hanging="445"/>
        <w:spacing w:after="0" w:line="298" w:lineRule="auto"/>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Without the prior written approval of HARVARD in each instance, neither this Agreement nor the rights granted hereunder shall be transferred or assigned in whole or in part by LICENSEE to any person whether voluntarily or involuntarily, by operation of law or otherwise, except that each of LICENSEE and its AFFILIATES may assign this Agreement in connection with a merger, consolidation or sale or transfer of all or substantially all of its assets. This Agreement shall be binding upon the respective successors, legal representatives and assignees of HARVARD and LICENSEE.</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The interpretation and application of the provisions of this Agreement shall be governed by the laws of the Commonwealth of Massachusetts.</w:t>
      </w:r>
    </w:p>
    <w:p>
      <w:pPr>
        <w:spacing w:after="0" w:line="90"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LICENSEE shall comply with all applicable laws and regulations. In particular, it is understood and acknowledged that the transfer of certain commodities and technical data is subject to United States laws and regulations controlling the export of such commodities and technical data, including all Export Administration Regulations of the United States Department of Commerce. These laws and regulations among other things, prohibit or require a license for the export of certain types of technical data to certain specified countries. LICENSEE hereby agrees and gives written assurance that it will comply with all United States laws and regulations controlling the export of commodities and technical data, that it will be solely responsible for any violation of such by LICENSEE or its AFFILIATES or SUBLICENSEES, and that it will defend and hold HARVARD, CHILDREN, and MIT harmless in the event of any legal action of any nature occasioned by such violation.</w:t>
      </w:r>
    </w:p>
    <w:p>
      <w:pPr>
        <w:spacing w:after="0" w:line="37" w:lineRule="exact"/>
        <w:rPr>
          <w:sz w:val="20"/>
          <w:szCs w:val="20"/>
          <w:color w:val="auto"/>
        </w:rPr>
      </w:pPr>
    </w:p>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10.8</w:t>
        <w:tab/>
        <w:t>LICENSEE agrees: (i) to obtain all regulatory approvals required for the manufacture and sale of LICENSED PRODUCTS and LICENSED PROCESSES; and (ii) to utilize appropriate patent marking on such LICENSED PRODUCTS. LICENSEE also agrees to register or record this Agreement as is required by law or regulation in any country where the license is in effect.</w:t>
      </w:r>
    </w:p>
    <w:p>
      <w:pPr>
        <w:spacing w:after="0" w:line="59"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10.9</w:t>
        <w:tab/>
        <w:t>Any notices to be given hereunder shall be sufficient if signed by the party (or party’s attorney) giving same and either: (i) delivered in person; (ii) mailed certified mail return receipt requested; or (iii) faxed to other party if the sender has evidence of successful transmission and if the sender promptly sends the original by ordinary mail, in any event to the following addresses: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LICENSEE: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Mycometrix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213 E. Grand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3"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HARVARD: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for Technology and Trademark Licensing</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Holyoke Center, Suite 727</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Cambridge, MA 02138</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 (617) 495-9568</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such notice either party may change their address for future notices.</w:t>
      </w:r>
    </w:p>
    <w:p>
      <w:pPr>
        <w:spacing w:after="0" w:line="90"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Notices delivered in person shall be deemed given on the date delivered. Notices sent by fax shall be deemed given on the date faxed. Notices mailed shall be deemed given on the date postmarked on the envelope.</w:t>
      </w:r>
    </w:p>
    <w:p>
      <w:pPr>
        <w:spacing w:after="0" w:line="51" w:lineRule="exact"/>
        <w:rPr>
          <w:sz w:val="20"/>
          <w:szCs w:val="20"/>
          <w:color w:val="auto"/>
        </w:rPr>
      </w:pPr>
    </w:p>
    <w:p>
      <w:pPr>
        <w:ind w:left="580" w:right="220" w:hanging="566"/>
        <w:spacing w:after="0" w:line="306" w:lineRule="auto"/>
        <w:tabs>
          <w:tab w:leader="none" w:pos="5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Should a court of competent jurisdiction later hold any provision of this Agreement to be invalid, illegal, or unenforceable, and such holding is not reversed on appeal, it shall be considered severed from this Agreement. All other provisions, rights and obligations shall continue without regard to the severed provision, provided that the remaining provisions of this Agreement are in accordance with the intention of the parties.</w:t>
      </w:r>
    </w:p>
    <w:p>
      <w:pPr>
        <w:spacing w:after="0" w:line="26" w:lineRule="exact"/>
        <w:rPr>
          <w:sz w:val="20"/>
          <w:szCs w:val="20"/>
          <w:color w:val="auto"/>
        </w:rPr>
      </w:pPr>
    </w:p>
    <w:p>
      <w:pPr>
        <w:ind w:left="580" w:right="100" w:hanging="566"/>
        <w:spacing w:after="0" w:line="288" w:lineRule="auto"/>
        <w:tabs>
          <w:tab w:leader="none" w:pos="5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 the event of any controversy or claim arising out of or relating to any provision of this Agreement or the breach thereof, the parties shall try to settle such conflict amicably between themselves. Subject to the limitation stated in the final sentence of this Section 10.11, any such conflict which the parties are unable to resolve promptly shall be settled through arbitration conducted in accordance with the rules of the American Arbitration Association. The demand for arbitration shall be filed within a reasonable time after the controversy or claim has arisen, and in no event after the date upon which institution of legal proceedings based on such controversy or claim would be barred by the applicable statute of limitation. Such arbitration shall be held in Boston, Massachusetts. The award through arbitration shall be final and binding. Either party may enter any such award in a court having jurisdiction or may make application to such court for judicial acceptance of the award and an order of enforcement, as the case may be. Notwithstanding the foregoing, either party may, without recourse to arbitration, assert against the other party a third-party claim or cross-claim in any action brought by a third party, to which the subject matter of this Agreement may be relevant.</w:t>
      </w:r>
    </w:p>
    <w:p>
      <w:pPr>
        <w:spacing w:after="0" w:line="39" w:lineRule="exact"/>
        <w:rPr>
          <w:sz w:val="20"/>
          <w:szCs w:val="20"/>
          <w:color w:val="auto"/>
        </w:rPr>
      </w:pPr>
    </w:p>
    <w:p>
      <w:pPr>
        <w:ind w:left="580" w:right="60" w:hanging="566"/>
        <w:spacing w:after="0" w:line="268" w:lineRule="auto"/>
        <w:tabs>
          <w:tab w:leader="none" w:pos="560" w:val="left"/>
        </w:tabs>
        <w:rPr>
          <w:sz w:val="20"/>
          <w:szCs w:val="20"/>
          <w:color w:val="auto"/>
        </w:rPr>
      </w:pPr>
      <w:r>
        <w:rPr>
          <w:rFonts w:ascii="Arial" w:cs="Arial" w:eastAsia="Arial" w:hAnsi="Arial"/>
          <w:sz w:val="18"/>
          <w:szCs w:val="18"/>
          <w:color w:val="auto"/>
        </w:rPr>
        <w:t>10.12</w:t>
        <w:tab/>
        <w:t>This Agreement constitutes the entire understanding between the parties and neither party shall be obligated by any condition or representation other than those expressly stated herein or as may be subsequently agreed to by the parties hereto in writing.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800" w:right="400" w:hanging="792"/>
        <w:spacing w:after="0" w:line="268" w:lineRule="auto"/>
        <w:tabs>
          <w:tab w:leader="none" w:pos="8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7" w:name="page358"/>
    <w:bookmarkEnd w:id="357"/>
    <w:p>
      <w:pPr>
        <w:ind w:left="69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93"/>
              </w:rPr>
              <w:t>PRESIDENT AND FELLOWS</w:t>
            </w:r>
          </w:p>
        </w:tc>
        <w:tc>
          <w:tcPr>
            <w:tcW w:w="18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MYCOMETRIX CORPORATION</w:t>
            </w:r>
          </w:p>
        </w:tc>
      </w:tr>
      <w:tr>
        <w:trPr>
          <w:trHeight w:val="22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OF HARVARD COLLEGE</w:t>
            </w:r>
          </w:p>
        </w:tc>
        <w:tc>
          <w:tcPr>
            <w:tcW w:w="18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3"/>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Joyce Brinton</w:t>
            </w:r>
          </w:p>
        </w:tc>
        <w:tc>
          <w:tcPr>
            <w:tcW w:w="1840" w:type="dxa"/>
            <w:vAlign w:val="bottom"/>
          </w:tcPr>
          <w:p>
            <w:pPr>
              <w:spacing w:after="0"/>
              <w:rPr>
                <w:sz w:val="24"/>
                <w:szCs w:val="24"/>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Gajus Worthington</w:t>
            </w:r>
          </w:p>
        </w:tc>
      </w:t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91"/>
              </w:rPr>
              <w:t>Joyce Brinton, Director</w:t>
            </w:r>
          </w:p>
        </w:tc>
        <w:tc>
          <w:tcPr>
            <w:tcW w:w="18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90"/>
              </w:rPr>
              <w:t>Office for Technology and</w:t>
            </w:r>
          </w:p>
        </w:tc>
        <w:tc>
          <w:tcPr>
            <w:tcW w:w="18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6"/>
              </w:rPr>
              <w:t>President</w:t>
            </w:r>
          </w:p>
        </w:tc>
      </w:tr>
      <w:tr>
        <w:trPr>
          <w:trHeight w:val="222"/>
        </w:trPr>
        <w:tc>
          <w:tcPr>
            <w:tcW w:w="4800" w:type="dxa"/>
            <w:vAlign w:val="bottom"/>
          </w:tcPr>
          <w:p>
            <w:pPr>
              <w:jc w:val="center"/>
              <w:spacing w:after="0"/>
              <w:rPr>
                <w:sz w:val="20"/>
                <w:szCs w:val="20"/>
                <w:color w:val="auto"/>
              </w:rPr>
            </w:pPr>
            <w:r>
              <w:rPr>
                <w:rFonts w:ascii="Arial" w:cs="Arial" w:eastAsia="Arial" w:hAnsi="Arial"/>
                <w:sz w:val="18"/>
                <w:szCs w:val="18"/>
                <w:color w:val="auto"/>
                <w:w w:val="89"/>
              </w:rPr>
              <w:t>Trademark Licensing</w:t>
            </w:r>
          </w:p>
        </w:tc>
        <w:tc>
          <w:tcPr>
            <w:tcW w:w="18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3"/>
        </w:trPr>
        <w:tc>
          <w:tcPr>
            <w:tcW w:w="4800" w:type="dxa"/>
            <w:vAlign w:val="bottom"/>
          </w:tcPr>
          <w:p>
            <w:pPr>
              <w:jc w:val="center"/>
              <w:spacing w:after="0"/>
              <w:rPr>
                <w:sz w:val="20"/>
                <w:szCs w:val="20"/>
                <w:color w:val="auto"/>
              </w:rPr>
            </w:pPr>
            <w:r>
              <w:rPr>
                <w:rFonts w:ascii="Arial" w:cs="Arial" w:eastAsia="Arial" w:hAnsi="Arial"/>
                <w:sz w:val="18"/>
                <w:szCs w:val="18"/>
                <w:color w:val="auto"/>
                <w:w w:val="89"/>
              </w:rPr>
              <w:t>12/7/00</w:t>
            </w:r>
          </w:p>
        </w:tc>
        <w:tc>
          <w:tcPr>
            <w:tcW w:w="6620" w:type="dxa"/>
            <w:vAlign w:val="bottom"/>
            <w:gridSpan w:val="2"/>
          </w:tcPr>
          <w:p>
            <w:pPr>
              <w:jc w:val="center"/>
              <w:ind w:left="1752"/>
              <w:spacing w:after="0"/>
              <w:rPr>
                <w:sz w:val="20"/>
                <w:szCs w:val="20"/>
                <w:color w:val="auto"/>
              </w:rPr>
            </w:pPr>
            <w:r>
              <w:rPr>
                <w:rFonts w:ascii="Arial" w:cs="Arial" w:eastAsia="Arial" w:hAnsi="Arial"/>
                <w:sz w:val="18"/>
                <w:szCs w:val="18"/>
                <w:color w:val="auto"/>
                <w:w w:val="88"/>
              </w:rPr>
              <w:t>12/10/00</w:t>
            </w:r>
          </w:p>
        </w:tc>
      </w:tr>
      <w:tr>
        <w:trPr>
          <w:trHeight w:val="222"/>
        </w:trPr>
        <w:tc>
          <w:tcPr>
            <w:tcW w:w="4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8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365"/>
        </w:trPr>
        <w:tc>
          <w:tcPr>
            <w:tcW w:w="4800" w:type="dxa"/>
            <w:vAlign w:val="bottom"/>
          </w:tcPr>
          <w:p>
            <w:pPr>
              <w:spacing w:after="0"/>
              <w:rPr>
                <w:sz w:val="24"/>
                <w:szCs w:val="24"/>
                <w:color w:val="auto"/>
              </w:rPr>
            </w:pPr>
          </w:p>
        </w:tc>
        <w:tc>
          <w:tcPr>
            <w:tcW w:w="1840" w:type="dxa"/>
            <w:vAlign w:val="bottom"/>
          </w:tcPr>
          <w:p>
            <w:pPr>
              <w:jc w:val="right"/>
              <w:ind w:right="752"/>
              <w:spacing w:after="0"/>
              <w:rPr>
                <w:sz w:val="20"/>
                <w:szCs w:val="20"/>
                <w:color w:val="auto"/>
              </w:rPr>
            </w:pPr>
            <w:r>
              <w:rPr>
                <w:rFonts w:ascii="Arial" w:cs="Arial" w:eastAsia="Arial" w:hAnsi="Arial"/>
                <w:sz w:val="18"/>
                <w:szCs w:val="18"/>
                <w:color w:val="auto"/>
              </w:rPr>
              <w:t>21</w:t>
            </w:r>
          </w:p>
        </w:tc>
        <w:tc>
          <w:tcPr>
            <w:tcW w:w="4780" w:type="dxa"/>
            <w:vAlign w:val="bottom"/>
          </w:tcPr>
          <w:p>
            <w:pPr>
              <w:spacing w:after="0"/>
              <w:rPr>
                <w:sz w:val="24"/>
                <w:szCs w:val="24"/>
                <w:color w:val="auto"/>
              </w:rPr>
            </w:pPr>
          </w:p>
        </w:tc>
      </w:tr>
      <w:tr>
        <w:trPr>
          <w:trHeight w:val="43"/>
        </w:trPr>
        <w:tc>
          <w:tcPr>
            <w:tcW w:w="48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bl>
    <w:p>
      <w:pPr>
        <w:spacing w:after="0" w:line="167" w:lineRule="exact"/>
        <w:rPr>
          <w:sz w:val="20"/>
          <w:szCs w:val="20"/>
          <w:color w:val="auto"/>
        </w:rPr>
      </w:pPr>
    </w:p>
    <w:p>
      <w:pPr>
        <w:ind w:left="800" w:right="400" w:hanging="792"/>
        <w:spacing w:after="0" w:line="268" w:lineRule="auto"/>
        <w:tabs>
          <w:tab w:leader="none" w:pos="8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comprise PATENT RIGHTS:</w:t>
      </w:r>
    </w:p>
    <w:p>
      <w:pPr>
        <w:spacing w:after="0" w:line="171" w:lineRule="exact"/>
        <w:rPr>
          <w:sz w:val="20"/>
          <w:szCs w:val="20"/>
          <w:color w:val="auto"/>
        </w:rPr>
      </w:pPr>
    </w:p>
    <w:p>
      <w:pPr>
        <w:ind w:left="120" w:hanging="112"/>
        <w:spacing w:after="0"/>
        <w:tabs>
          <w:tab w:leader="none" w:pos="120" w:val="left"/>
        </w:tabs>
        <w:numPr>
          <w:ilvl w:val="0"/>
          <w:numId w:val="3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 * ]</w:t>
      </w:r>
    </w:p>
    <w:p>
      <w:pPr>
        <w:spacing w:after="0" w:line="171" w:lineRule="exact"/>
        <w:rPr>
          <w:rFonts w:ascii="Arial" w:cs="Arial" w:eastAsia="Arial" w:hAnsi="Arial"/>
          <w:sz w:val="18"/>
          <w:szCs w:val="18"/>
          <w:u w:val="single" w:color="auto"/>
          <w:color w:val="auto"/>
        </w:rPr>
      </w:pPr>
    </w:p>
    <w:p>
      <w:pPr>
        <w:ind w:left="120" w:hanging="112"/>
        <w:spacing w:after="0"/>
        <w:tabs>
          <w:tab w:leader="none" w:pos="1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58" w:lineRule="exact"/>
        <w:rPr>
          <w:sz w:val="20"/>
          <w:szCs w:val="20"/>
          <w:color w:val="auto"/>
        </w:rPr>
      </w:pPr>
    </w:p>
    <w:p>
      <w:pPr>
        <w:ind w:left="800" w:right="400" w:hanging="792"/>
        <w:spacing w:after="0" w:line="268" w:lineRule="auto"/>
        <w:tabs>
          <w:tab w:leader="none" w:pos="8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December 3, 2010, except for the last paragraph of Note 1, as to which the date is January , 2011, in Amendment No. 3 to the Registration Statement (Form S-1 No. 333-170965) and related Prospectus of Fluidigm Corporation for the registration of shares of its common stock.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foregoing consent is in the form that will be signed upon the completion of the restatement of the capital accounts described in the last paragraph of Note 1 to the consolidated financial statements.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2011</w:t>
      </w:r>
    </w:p>
    <w:p>
      <w:pPr>
        <w:sectPr>
          <w:pgSz w:w="11900" w:h="16838" w:orient="portrait"/>
          <w:cols w:equalWidth="0" w:num="1">
            <w:col w:w="11420"/>
          </w:cols>
          <w:pgMar w:left="240" w:top="125"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FLUIDIGM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FLUIDIGM-0001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28, 2011</w:t>
      </w:r>
    </w:p>
    <w:p>
      <w:pPr>
        <w:spacing w:after="0" w:line="16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color w:val="auto"/>
        </w:rPr>
        <w:t>CERTAIN PORTIONS OF THIS LETTER AND ITS APPENDICES HAVE BEEN OMITTED AND FILED SEPARATELY WITH THE COMMISSION. CONFIDENTIAL TREATMENT HAS BEEN REQUESTED WITH RESPECT TO THE OMITTED PORTIONS. OMITTED INFORMATION HAS BEEN REPLACED IN THIS LETTER WITH A PLACEHOLDER IDENTIFIED BY THE MARK “[***]”.</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Overnight Delivery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20549-1004</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Russell Mancuso, Branch Chief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Joseph McCann, Division of Corporation 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Mary Beth Breslin, Senior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Cascio, 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Jeanne Bennett, Division of Corporation Finance</w:t>
      </w:r>
    </w:p>
    <w:p>
      <w:pPr>
        <w:spacing w:after="0" w:line="200" w:lineRule="exact"/>
        <w:rPr>
          <w:sz w:val="20"/>
          <w:szCs w:val="20"/>
          <w:color w:val="auto"/>
        </w:rPr>
      </w:pPr>
    </w:p>
    <w:p>
      <w:pPr>
        <w:sectPr>
          <w:pgSz w:w="11900" w:h="16838" w:orient="portrait"/>
          <w:cols w:equalWidth="0" w:num="2">
            <w:col w:w="1300" w:space="300"/>
            <w:col w:w="9820"/>
          </w:cols>
          <w:pgMar w:left="240" w:top="125" w:right="239" w:bottom="1440" w:gutter="0" w:footer="0" w:header="0"/>
          <w:type w:val="continuous"/>
        </w:sectPr>
      </w:pPr>
    </w:p>
    <w:p>
      <w:pPr>
        <w:spacing w:after="0" w:line="2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Fluidigm Corporation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Amended January 7, 2011 and January 18, 2011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File No. 333-170965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behalf of Fluidigm Corporation (“Fluidigm” or the “Company”), we submit this letter in response to comments from the staff (the “Staff”) of the Securities and Exchange Commission (“SEC” or the “Commission”) received by letter dated January 25, 2011, relating to Fluidigm’s Registration Statement on Form S-1 (File No. 333-170965) (the “Registration Statement”).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commercially sensitive nature of information contained herein, this submission is accompanied by a request for confidential treatment for selected portions of this letter and the supplemental materials. The Company is requesting confidential treatment for selected portions of this letter and the supplemental materials, including in connection with the Freedom of Information Act, and has filed a separate letter with the Office of Freedom of Information and Privacy Act Operations in connection with that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On behalf of Fluidigm, we are concurrently filing via EDGAR Amendment No. 3 to the Registration Statement (the “Amendment”), and for the convenience of the Staff, we are providing to the Staff by overnight</w:t>
      </w:r>
    </w:p>
    <w:p>
      <w:pPr>
        <w:sectPr>
          <w:pgSz w:w="11900" w:h="16838" w:orient="portrait"/>
          <w:cols w:equalWidth="0" w:num="1">
            <w:col w:w="11420"/>
          </w:cols>
          <w:pgMar w:left="240" w:top="125" w:right="239" w:bottom="1440" w:gutter="0" w:footer="0" w:header="0"/>
          <w:type w:val="continuous"/>
        </w:sectPr>
      </w:pPr>
    </w:p>
    <w:bookmarkStart w:id="361" w:name="page362"/>
    <w:bookmarkEnd w:id="361"/>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right="280"/>
        <w:spacing w:after="0" w:line="268" w:lineRule="auto"/>
        <w:rPr>
          <w:sz w:val="20"/>
          <w:szCs w:val="20"/>
          <w:color w:val="auto"/>
        </w:rPr>
      </w:pPr>
      <w:r>
        <w:rPr>
          <w:rFonts w:ascii="Arial" w:cs="Arial" w:eastAsia="Arial" w:hAnsi="Arial"/>
          <w:sz w:val="18"/>
          <w:szCs w:val="18"/>
          <w:color w:val="auto"/>
        </w:rPr>
        <w:t>delivery copies of this letter and marked copies of the Amendment (against the Amendment No. 1 to the Registration Statement filed on January 7, 2011). The Amendment as filed via EDGAR is marked as specified in Item 310 of Regulation S-T.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Fluidigm’s response. Except as otherwise specifically indicated, page references herein correspond to the page of the Amendment.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Artwork</w:t>
      </w:r>
    </w:p>
    <w:p>
      <w:pPr>
        <w:spacing w:after="0" w:line="90" w:lineRule="exact"/>
        <w:rPr>
          <w:sz w:val="20"/>
          <w:szCs w:val="20"/>
          <w:color w:val="auto"/>
        </w:rPr>
      </w:pPr>
    </w:p>
    <w:p>
      <w:pPr>
        <w:ind w:left="460" w:right="20" w:hanging="452"/>
        <w:spacing w:after="0" w:line="259" w:lineRule="auto"/>
        <w:tabs>
          <w:tab w:leader="none" w:pos="460" w:val="left"/>
        </w:tabs>
        <w:numPr>
          <w:ilvl w:val="0"/>
          <w:numId w:val="3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note that you may include text in your artwork only to the extent necessary to explain briefly the visuals in the presentation. Text such as “Nano-volume Fluid Handling,” “Massively Parallel,” and “Integration” in the inside front cover artwork appears unnecessary in explaining the visuals in your presentation. Please revise accordingly.</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 response to the Staff’s comment, the Company has revised the text included in the artwork to more accurately describe the image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Fluidigm Solution, page 3</w:t>
      </w:r>
    </w:p>
    <w:p>
      <w:pPr>
        <w:spacing w:after="0" w:line="90" w:lineRule="exact"/>
        <w:rPr>
          <w:sz w:val="20"/>
          <w:szCs w:val="20"/>
          <w:color w:val="auto"/>
        </w:rPr>
      </w:pPr>
    </w:p>
    <w:p>
      <w:pPr>
        <w:ind w:left="460" w:right="100" w:hanging="452"/>
        <w:spacing w:after="0" w:line="332" w:lineRule="auto"/>
        <w:tabs>
          <w:tab w:leader="none" w:pos="460" w:val="left"/>
        </w:tabs>
        <w:numPr>
          <w:ilvl w:val="0"/>
          <w:numId w:val="3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revise here or in an appropriate section of your document to disclose the substance of your response to prior comment 4 regarding your current and anticipated continued focus of your research and development efforts on the molecular diagnostic market.</w:t>
      </w:r>
    </w:p>
    <w:p>
      <w:pPr>
        <w:spacing w:after="0" w:line="8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 the Company has revised the disclosure on page 3 under The Fluidigm Solution to include the requested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Offering, page 7</w:t>
      </w:r>
    </w:p>
    <w:p>
      <w:pPr>
        <w:spacing w:after="0" w:line="90" w:lineRule="exact"/>
        <w:rPr>
          <w:sz w:val="20"/>
          <w:szCs w:val="20"/>
          <w:color w:val="auto"/>
        </w:rPr>
      </w:pPr>
    </w:p>
    <w:p>
      <w:pPr>
        <w:ind w:left="460" w:right="40" w:hanging="452"/>
        <w:spacing w:after="0" w:line="332" w:lineRule="auto"/>
        <w:tabs>
          <w:tab w:leader="none" w:pos="460" w:val="left"/>
        </w:tabs>
        <w:numPr>
          <w:ilvl w:val="0"/>
          <w:numId w:val="3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 intend to use a portion of the offering proceeds to repay a portion of the notes issued in January 2011. Please revise to quantify the portion of the offering proceeds to be used to repay notes held by affiliates. In this regard, we note your disclosure on page 119.</w:t>
      </w:r>
    </w:p>
    <w:p>
      <w:pPr>
        <w:spacing w:after="0" w:line="85"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In response to the Staff’s comment, the Company has added the requested disclosure under The Offering on page 7 and Use of Proceeds on page 33.</w:t>
      </w:r>
    </w:p>
    <w:p>
      <w:pPr>
        <w:spacing w:after="0" w:line="113" w:lineRule="exact"/>
        <w:rPr>
          <w:rFonts w:ascii="Arial" w:cs="Arial" w:eastAsia="Arial" w:hAnsi="Arial"/>
          <w:sz w:val="16"/>
          <w:szCs w:val="16"/>
          <w:b w:val="1"/>
          <w:bCs w:val="1"/>
          <w:i w:val="1"/>
          <w:iCs w:val="1"/>
          <w:color w:val="auto"/>
        </w:rPr>
      </w:pPr>
    </w:p>
    <w:p>
      <w:pPr>
        <w:ind w:left="460" w:right="360" w:hanging="452"/>
        <w:spacing w:after="0" w:line="268" w:lineRule="auto"/>
        <w:tabs>
          <w:tab w:leader="none" w:pos="460" w:val="left"/>
        </w:tabs>
        <w:numPr>
          <w:ilvl w:val="0"/>
          <w:numId w:val="3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reconcile your disclosure on page 7 that the conversion of all currently outstanding shares of convertible preferred stock would result in the issuance of 20,784,926 shares of common stock with the 19,860,495 figure disclosed on page 128.</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has revised page 128 of the Description of Capital Stock section to update the number of shares of common stock to be issued upon conversion of the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Capitalization, page 34</w:t>
      </w:r>
    </w:p>
    <w:p>
      <w:pPr>
        <w:spacing w:after="0" w:line="90" w:lineRule="exact"/>
        <w:rPr>
          <w:sz w:val="20"/>
          <w:szCs w:val="20"/>
          <w:color w:val="auto"/>
        </w:rPr>
      </w:pPr>
    </w:p>
    <w:p>
      <w:pPr>
        <w:ind w:left="460" w:right="60" w:hanging="452"/>
        <w:spacing w:after="0" w:line="268" w:lineRule="auto"/>
        <w:tabs>
          <w:tab w:leader="none" w:pos="460" w:val="left"/>
        </w:tabs>
        <w:numPr>
          <w:ilvl w:val="0"/>
          <w:numId w:val="3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your basis for the assumed net exercise of your Series E-1 preferred stock warrants issued January 6, 2011. Please clarify whether there are any contractual agreements for the exercise</w:t>
      </w:r>
    </w:p>
    <w:p>
      <w:pPr>
        <w:sectPr>
          <w:pgSz w:w="11900" w:h="16838" w:orient="portrait"/>
          <w:cols w:equalWidth="0" w:num="1">
            <w:col w:w="11420"/>
          </w:cols>
          <w:pgMar w:left="240" w:top="274" w:right="239" w:bottom="1440" w:gutter="0" w:footer="0" w:header="0"/>
          <w:type w:val="continuous"/>
        </w:sectPr>
      </w:pPr>
    </w:p>
    <w:bookmarkStart w:id="362" w:name="page363"/>
    <w:bookmarkEnd w:id="362"/>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spacing w:after="0"/>
        <w:rPr>
          <w:sz w:val="20"/>
          <w:szCs w:val="20"/>
          <w:color w:val="auto"/>
        </w:rPr>
      </w:pPr>
      <w:r>
        <w:rPr>
          <w:rFonts w:ascii="Arial" w:cs="Arial" w:eastAsia="Arial" w:hAnsi="Arial"/>
          <w:sz w:val="15"/>
          <w:szCs w:val="15"/>
          <w:b w:val="1"/>
          <w:bCs w:val="1"/>
          <w:i w:val="1"/>
          <w:iCs w:val="1"/>
          <w:color w:val="auto"/>
        </w:rPr>
        <w:t>of these warrants. In addition, since there are several pro forma adjustments please revise to separately disclose each of the pro forma adjustments.</w:t>
      </w:r>
    </w:p>
    <w:p>
      <w:pPr>
        <w:spacing w:after="0" w:line="20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supplementally advises the Staff that Section 8 of the Series E-1 preferred stock warrants provides that the warrants will expire immediately prior to the closing of a firm commitment underwritten initial public offering of the Company. The Series E-1 preferred stock warrants further provide in Section 2(e) under “Automatic Exercise” that the warrants shall be automatically exercised pursuant to the net exercise provisions in Section 2(b) immediately prior to the expiration of the warrant. The form of Series E-1 preferred stock warrant has been filed as Exhibit B to Exhibit 4.7 to the Registration Statement. Accordingly, the Company has assumed the net exercise of the Series E-1 preferred stock warrants in connection with this offering. The exercise price of the Series E-1 preferred stock warrants is $0.02 per share. As discussed with the Staff on January 26, 2011, the Company has revised the description of the pro forma adjustments on page 34 to disclose the exercise price of the Series E-1 preferred stock warrants in order to clarify that the net exercise of the warrants is not expected to result in a material reduction in the number of shares issuable under the warrants.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Non-invasive Prenatal Diagnostics Collaboration, page 79</w:t>
      </w:r>
    </w:p>
    <w:p>
      <w:pPr>
        <w:spacing w:after="0" w:line="90" w:lineRule="exact"/>
        <w:rPr>
          <w:sz w:val="20"/>
          <w:szCs w:val="20"/>
          <w:color w:val="auto"/>
        </w:rPr>
      </w:pPr>
    </w:p>
    <w:p>
      <w:pPr>
        <w:ind w:left="460" w:right="480" w:hanging="452"/>
        <w:spacing w:after="0" w:line="370" w:lineRule="auto"/>
        <w:tabs>
          <w:tab w:leader="none" w:pos="460" w:val="left"/>
        </w:tabs>
        <w:numPr>
          <w:ilvl w:val="0"/>
          <w:numId w:val="3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refer to sections 3.1(c) and 9.1 of exhibit 10.21. Please revise to disclose the term of the agreement. Please also revise to disclose the milestone payment amounts set forth in section 6.1(a) of exhibit 10.21 as well as the payment amounts in sections 4.1 and 4.2 of exhibit 10.22.</w:t>
      </w:r>
    </w:p>
    <w:p>
      <w:pPr>
        <w:spacing w:after="0" w:line="62" w:lineRule="exact"/>
        <w:rPr>
          <w:rFonts w:ascii="Arial" w:cs="Arial" w:eastAsia="Arial" w:hAnsi="Arial"/>
          <w:sz w:val="15"/>
          <w:szCs w:val="15"/>
          <w:b w:val="1"/>
          <w:bCs w:val="1"/>
          <w:i w:val="1"/>
          <w:iCs w:val="1"/>
          <w:color w:val="auto"/>
        </w:rPr>
      </w:pPr>
    </w:p>
    <w:p>
      <w:pPr>
        <w:ind w:left="460"/>
        <w:spacing w:after="0"/>
        <w:rPr>
          <w:rFonts w:ascii="Arial" w:cs="Arial" w:eastAsia="Arial" w:hAnsi="Arial"/>
          <w:sz w:val="15"/>
          <w:szCs w:val="15"/>
          <w:b w:val="1"/>
          <w:bCs w:val="1"/>
          <w:i w:val="1"/>
          <w:iCs w:val="1"/>
          <w:color w:val="auto"/>
        </w:rPr>
      </w:pPr>
      <w:r>
        <w:rPr>
          <w:rFonts w:ascii="Arial" w:cs="Arial" w:eastAsia="Arial" w:hAnsi="Arial"/>
          <w:sz w:val="18"/>
          <w:szCs w:val="18"/>
          <w:color w:val="auto"/>
        </w:rPr>
        <w:t>As discussed with the Staff on January 26, 2011, the Company has revised page 79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Environmental Matters, page 88</w:t>
      </w:r>
    </w:p>
    <w:p>
      <w:pPr>
        <w:spacing w:after="0" w:line="90" w:lineRule="exact"/>
        <w:rPr>
          <w:sz w:val="20"/>
          <w:szCs w:val="20"/>
          <w:color w:val="auto"/>
        </w:rPr>
      </w:pPr>
    </w:p>
    <w:p>
      <w:pPr>
        <w:jc w:val="both"/>
        <w:ind w:left="460" w:right="60" w:hanging="452"/>
        <w:spacing w:after="0" w:line="259" w:lineRule="auto"/>
        <w:tabs>
          <w:tab w:leader="none" w:pos="460" w:val="left"/>
        </w:tabs>
        <w:numPr>
          <w:ilvl w:val="0"/>
          <w:numId w:val="3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refer to your disclosure on page 33 concerning the intended use of proceeds for expansion of facilities and manufacturing operations. Please revise to discuss the adequacy of your existing, facilities and manufacturing operations and your current plans for expansion. Please refer to Instruction 1 to Item 102 of Regulation S-K.</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Company has revised page 88 of the Property and Environmental Matters section to add additional disclosure regarding the adequacy of its existing facilities and manufacturing operations and its current plans for expansion. The Company supplementally advises the Staff that a portion of the proceeds of this offering are expected to be used to upgrade and improve the Company’s existing facilities and to purchase capital equipment for such facilities, not to expand its facilities or purchase real property. The disclosure on page 33 has been revised accordingly.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Registration Rights, page 129</w:t>
      </w:r>
    </w:p>
    <w:p>
      <w:pPr>
        <w:spacing w:after="0" w:line="90" w:lineRule="exact"/>
        <w:rPr>
          <w:sz w:val="20"/>
          <w:szCs w:val="20"/>
          <w:color w:val="auto"/>
        </w:rPr>
      </w:pPr>
    </w:p>
    <w:p>
      <w:pPr>
        <w:jc w:val="both"/>
        <w:ind w:left="460" w:right="80" w:hanging="452"/>
        <w:spacing w:after="0" w:line="259" w:lineRule="auto"/>
        <w:tabs>
          <w:tab w:leader="none" w:pos="460" w:val="left"/>
        </w:tabs>
        <w:numPr>
          <w:ilvl w:val="0"/>
          <w:numId w:val="3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the aggregate common shares to which registration rights apply includes shares of common stock issued on conversion of outstanding preferred stock; however, the aggregate number of registration rights shares is less than the number of shares of common stock issued on conversion of preferred stock. Please advise or revise.</w:t>
      </w:r>
    </w:p>
    <w:p>
      <w:pPr>
        <w:spacing w:after="0" w:line="14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 has revised page 129 of the Registration Rights section to correct and clarify the number of shares to which registration rights apply.</w:t>
      </w:r>
    </w:p>
    <w:p>
      <w:pPr>
        <w:sectPr>
          <w:pgSz w:w="11900" w:h="16838" w:orient="portrait"/>
          <w:cols w:equalWidth="0" w:num="1">
            <w:col w:w="11420"/>
          </w:cols>
          <w:pgMar w:left="240" w:top="274" w:right="239" w:bottom="1440" w:gutter="0" w:footer="0" w:header="0"/>
          <w:type w:val="continuous"/>
        </w:sectPr>
      </w:pPr>
    </w:p>
    <w:bookmarkStart w:id="363" w:name="page364"/>
    <w:bookmarkEnd w:id="363"/>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spacing w:after="0"/>
        <w:rPr>
          <w:sz w:val="20"/>
          <w:szCs w:val="20"/>
          <w:color w:val="auto"/>
        </w:rPr>
      </w:pPr>
      <w:r>
        <w:rPr>
          <w:rFonts w:ascii="Arial" w:cs="Arial" w:eastAsia="Arial" w:hAnsi="Arial"/>
          <w:sz w:val="18"/>
          <w:szCs w:val="18"/>
          <w:b w:val="1"/>
          <w:bCs w:val="1"/>
          <w:i w:val="1"/>
          <w:iCs w:val="1"/>
          <w:u w:val="single" w:color="auto"/>
          <w:color w:val="auto"/>
        </w:rPr>
        <w:t>Note 3. License Agreement, page F-19</w:t>
      </w:r>
    </w:p>
    <w:p>
      <w:pPr>
        <w:spacing w:after="0" w:line="90" w:lineRule="exact"/>
        <w:rPr>
          <w:sz w:val="20"/>
          <w:szCs w:val="20"/>
          <w:color w:val="auto"/>
        </w:rPr>
      </w:pPr>
    </w:p>
    <w:p>
      <w:pPr>
        <w:ind w:left="460" w:right="80" w:hanging="452"/>
        <w:spacing w:after="0" w:line="323" w:lineRule="auto"/>
        <w:tabs>
          <w:tab w:leader="none" w:pos="460" w:val="left"/>
        </w:tabs>
        <w:numPr>
          <w:ilvl w:val="0"/>
          <w:numId w:val="3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With [sic] see your response to prior comment 27. Please clarify how you determined the $1,676,000 fair value of the sub-licensee’s preferred stock received for the sale of the sub-license, whether this was based on third party sales of similar preferred stock, an independent valuation, or other valuation methodologies. If your valuation is based on third party sales please explain to us why you believe that there were sufficient sales to establish a fair value of this preferred stock. Please also tell us about the sub licensee and whether this is a public or private company.</w:t>
      </w:r>
    </w:p>
    <w:p>
      <w:pPr>
        <w:spacing w:after="0" w:line="9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Company supplementally advises the Staff that it considered several sources of information in determining the fair value as of December 31, 2009 of the Series C-1 Preferred Stock received from the sub-licensee including its capital structure, the enterprise value of the sub-licensee as determined by a contemporaneous valuation of the sub-licensee and recent sales of the sub-licensee’s Series C Preferred Stock. The sub-licensee sold Series C Preferred Stock, including sales to unrelated third parties, at a price of $0.935 per share on October 9, 2009, and sold additional Series C Preferred Stock on December 14, 2009 at $0.935 per share. These equity transactions occurred shortly before and after November 16, 2009, the date the Company entered into a license agreement with the sub-licensee. The terms of the sub-licensee’s Series C and Series C-1 Preferred Stock are virtually identical, except that the Series C-1 Preferred Stock is junior in liquidation preference. The Company utilized the enterprise value of the sub-licensee based on a recent third party valuation received from the sub-licensee, as adjusted by deducting outstanding debt and adding cash on hand at December 31, 2009 to calculate the sub-licensee’s equity value. The Company then allocated the equity value to the various classes of the sub-licensee’s outstanding stock, taking into consideration liquidation preferences to arrive at an estimated fair value per share for the Series C-1 stock of $0.769. The Company believes it is reasonable to apply a minority discount (also referred to as a discount for lack of control) of 10% to 15% to determine the fair value of the Series C-1 shares since the Series C shares represent a controlling interest of approximately 56% of the sub-licensee and are likely to have substantial board representation, whereas the Series C-1 shares represent 3.9% of the sub-licensee and do not have control or board representation. Accordingly, the Company further reduced the value of the Series C-1 stock by applying a minority interest discount of 12.5% to arrive at an estimated fair value per share of $0.673 for the Series C-1 shares, or a total investment value of $1,676,000, which is less than the $0.935 per share liquidation preference of the Series C-1 shares and less than the value of the sub-licensee’s Series C shares.</w:t>
      </w:r>
    </w:p>
    <w:p>
      <w:pPr>
        <w:spacing w:after="0" w:line="12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supplementally advises the Staff that the sub-licensee is an early-stage private company developing clinical diagnostic tests. The sub-licensee does not have any approved products or revenues and is financed by venture capital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10. Stock-Based Compensation, page F-29</w:t>
      </w:r>
    </w:p>
    <w:p>
      <w:pPr>
        <w:spacing w:after="0" w:line="90" w:lineRule="exact"/>
        <w:rPr>
          <w:sz w:val="20"/>
          <w:szCs w:val="20"/>
          <w:color w:val="auto"/>
        </w:rPr>
      </w:pPr>
    </w:p>
    <w:p>
      <w:pPr>
        <w:ind w:left="460" w:right="60" w:hanging="452"/>
        <w:spacing w:after="0" w:line="255" w:lineRule="auto"/>
        <w:tabs>
          <w:tab w:leader="none" w:pos="46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reference your response to prior comment 33. Please clarify the specific nature of the two discounts, “discount rate” and “discount for lack of marketability,” the basis for each discount and how the amount of any discount was determined. Please explain the reason you continued to use significant discounts for options granted in January 2011 after the registration statement was filed and after you received an estimated price range from your underwriters. In addition, clarify your reference to the months to the liquidity event of 12 and how this was considered in your December 15, 2010</w:t>
      </w:r>
    </w:p>
    <w:p>
      <w:pPr>
        <w:sectPr>
          <w:pgSz w:w="11900" w:h="16838" w:orient="portrait"/>
          <w:cols w:equalWidth="0" w:num="1">
            <w:col w:w="11420"/>
          </w:cols>
          <w:pgMar w:left="240" w:top="274" w:right="239" w:bottom="1440" w:gutter="0" w:footer="0" w:header="0"/>
          <w:type w:val="continuous"/>
        </w:sectPr>
      </w:pPr>
    </w:p>
    <w:bookmarkStart w:id="364" w:name="page365"/>
    <w:bookmarkEnd w:id="364"/>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360"/>
        <w:spacing w:after="0" w:line="268" w:lineRule="auto"/>
        <w:rPr>
          <w:sz w:val="20"/>
          <w:szCs w:val="20"/>
          <w:color w:val="auto"/>
        </w:rPr>
      </w:pPr>
      <w:r>
        <w:rPr>
          <w:rFonts w:ascii="Arial" w:cs="Arial" w:eastAsia="Arial" w:hAnsi="Arial"/>
          <w:sz w:val="18"/>
          <w:szCs w:val="18"/>
          <w:b w:val="1"/>
          <w:bCs w:val="1"/>
          <w:i w:val="1"/>
          <w:iCs w:val="1"/>
          <w:color w:val="auto"/>
        </w:rPr>
        <w:t>valuation. We note the discussion in your response that your valuation assumes a successful IPO scenario and the estimated price range from your underwriters assumes an offering in the first quarter 2011.</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the Staff notes in its comment, the December 15, 2010 valuation used for the Company’s January 4, 2011 grants was performed under the assumption that the Company would experience a liquidity event from either an initial public offering in early 2011 or a sale/merger in approximately 12 months. As discussed below, the value of the Company was determined under both scenarios at the enterprise level, and the resulting equity values were each weighted based on the relative respective probabilities of a sale/merger or initial public offering outcome. Specifically, the probability of an initial public offering was weighted at sixty percent (60%), and the probability of a sale/merger of the Company was weighted at forty percent (40%).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880" w:hanging="416"/>
        <w:spacing w:after="0"/>
        <w:tabs>
          <w:tab w:leader="none" w:pos="8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Company initiated the initial public offering process that resulted in the filing of the registration statement on December 3, 2010.[***]</w:t>
      </w:r>
    </w:p>
    <w:p>
      <w:pPr>
        <w:spacing w:after="0" w:line="194" w:lineRule="exact"/>
        <w:rPr>
          <w:rFonts w:ascii="Arial" w:cs="Arial" w:eastAsia="Arial" w:hAnsi="Arial"/>
          <w:sz w:val="16"/>
          <w:szCs w:val="16"/>
          <w:color w:val="auto"/>
        </w:rPr>
      </w:pPr>
    </w:p>
    <w:p>
      <w:pPr>
        <w:spacing w:after="0"/>
        <w:tabs>
          <w:tab w:leader="none" w:pos="0" w:val="left"/>
        </w:tabs>
        <w:numPr>
          <w:ilvl w:val="0"/>
          <w:numId w:val="346"/>
        </w:numPr>
        <w:rPr>
          <w:rFonts w:ascii="Arial" w:cs="Arial" w:eastAsia="Arial" w:hAnsi="Arial"/>
          <w:sz w:val="18"/>
          <w:szCs w:val="18"/>
          <w:color w:val="auto"/>
        </w:rPr>
      </w:pPr>
    </w:p>
    <w:p>
      <w:pPr>
        <w:spacing w:after="0" w:line="171" w:lineRule="exact"/>
        <w:rPr>
          <w:rFonts w:ascii="Arial" w:cs="Arial" w:eastAsia="Arial" w:hAnsi="Arial"/>
          <w:sz w:val="18"/>
          <w:szCs w:val="18"/>
          <w:color w:val="auto"/>
        </w:rPr>
      </w:pPr>
    </w:p>
    <w:p>
      <w:pPr>
        <w:spacing w:after="0"/>
        <w:tabs>
          <w:tab w:leader="none" w:pos="0" w:val="left"/>
        </w:tabs>
        <w:numPr>
          <w:ilvl w:val="0"/>
          <w:numId w:val="346"/>
        </w:numPr>
        <w:rPr>
          <w:rFonts w:ascii="Arial" w:cs="Arial" w:eastAsia="Arial" w:hAnsi="Arial"/>
          <w:sz w:val="18"/>
          <w:szCs w:val="18"/>
          <w:color w:val="auto"/>
        </w:rPr>
      </w:pPr>
    </w:p>
    <w:p>
      <w:pPr>
        <w:sectPr>
          <w:pgSz w:w="11900" w:h="16838" w:orient="portrait"/>
          <w:cols w:equalWidth="0" w:num="1">
            <w:col w:w="11420"/>
          </w:cols>
          <w:pgMar w:left="240" w:top="274" w:right="239" w:bottom="1440" w:gutter="0" w:footer="0" w:header="0"/>
          <w:type w:val="continuous"/>
        </w:sectPr>
      </w:pPr>
    </w:p>
    <w:bookmarkStart w:id="365" w:name="page366"/>
    <w:bookmarkEnd w:id="365"/>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3" w:right="239" w:bottom="1440" w:gutter="0" w:footer="0" w:header="0"/>
        </w:sectPr>
      </w:pPr>
    </w:p>
    <w:p>
      <w:pPr>
        <w:ind w:left="4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73" w:right="239" w:bottom="1440" w:gutter="0" w:footer="0" w:header="0"/>
          <w:type w:val="continuous"/>
        </w:sectPr>
      </w:pP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balance of the Company’s response provides additional detail concerning the valuation methodologies applied.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Sale/Merger Valuation Analysis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valuation of the Company under the sale/merger scenario involved a two step valuation approach using generally accepted valuation methodologies, including discounted cash flow analyses and a separate comparative valuation analysis.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discounted cash flow analysis measured the value of the Company based on estimated future cash flows, discounted to their present value using a rate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commensurate with the associated risks and uncertainties. Estimated future cash flows were based on financial projections provided by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management through 2013 and a terminal value assumption. The discount rate was determined based on venture capital required rates of return for companies at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comparable stage of development to the Company. The Company and its valuation expert determined that the Company’s stage of development fell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and pre-IPO stages based on the venture capital required rate of return data. The terminal value was determined using an exit multiple approach. An exit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multiple of 4.75x revenue was applied to the Company’s 2013 revenue. The exit multiple was selected with reference to the average and median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multiples observed for comparable companies in the industry. The Company and the valuation expert determined that a discount rate in the range of 25-35%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The December 15, 2010 valuation discounted the Company’s expected future cash flows at a rate of 30% to determine the Company’s enterprise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under the sale/merger scenario, resulting in a range of enterprise values between $147.6 million and $185.3 million, with a midpoint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$166.4 million. The relevant enterprise valuation range was developed by running sensitivity analyses on the discount rate and terminal value inputs to the model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in the December 15, 2010 valuation.</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the sale/merger analysis, the comparable public company analysis measured the value of the Company based on multiples of enterprise value to the last-twelve-months and 2011 estimated sales at ten publicly traded companies in the Company’s industry. These multiples were then applied to the Company’s last- twelve-months and 2011 forecast sales. This comparative valuation analysis resulted in an enterprise valuation range of $153.3 million to $171.5 million, with a midpoint of $162.4 million.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determine the equity value of the Company under the sale/merger scenario, the Company equally weighted the midpoint valuation established under the discounted cash flow analysis and the comparable public company analysis to arrive at an enterprise value of $164.4 million. The Company believes equal weighting of the valuations determined under the two methodologies was appropriate given the insignificant deviation between the two valuations. The resulting enterprise value was then adjusted by subtracting interest bearing obligations and adding total cash at December 15, 2010. The equity value was then allocated to the various classes of securities, including common shares outstanding, using the Option-Pricing Method (OPM) consistent with the AICPA guidelines to arrive at an estimated value per common share. A discount for lack of marketability was applied to the per share value of the common stock derived using the OPM to reflect the increased risk and inconvenience of owning a privately-held stock arising from the inability to readily sell the shares. The inability to readily sell shares of a company increases the owner’s exposure to changing market conditions and increases the risk of ownership. Because of the lack of marketability and the resulting increased risk associated with ownership of a privately-held stock, an investor typically demands a higher return or yield in comparison to a similar but publicly-traded stock. An indication of the discount for lack of marketability was developed using a put option model assuming a 12 month holding period until completion of a sale/merger liquidity event. A put option model values what the illiquid security holder lacks, the ability to sell his or her shares. Theoretically, a holder of an illiquid security and a put option and a holder of an identical but liquid security are in the same financial position. The put option model has the benefit of being company-specific (through the use of a company-specific volatility rate) and verifiable and has relatively few inputs (risk free rate, term and volatility). On this basis, the marketability discount rate of 17.6% was utilized in the December 15, 2010 valuation.</w:t>
      </w:r>
    </w:p>
    <w:p>
      <w:pPr>
        <w:sectPr>
          <w:pgSz w:w="11900" w:h="16838" w:orient="portrait"/>
          <w:cols w:equalWidth="0" w:num="1">
            <w:col w:w="11420"/>
          </w:cols>
          <w:pgMar w:left="240" w:top="273" w:right="239" w:bottom="1440" w:gutter="0" w:footer="0" w:header="0"/>
          <w:type w:val="continuous"/>
        </w:sectPr>
      </w:pPr>
    </w:p>
    <w:bookmarkStart w:id="366" w:name="page367"/>
    <w:bookmarkEnd w:id="366"/>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3" w:right="239" w:bottom="1440" w:gutter="0" w:footer="0" w:header="0"/>
        </w:sectPr>
      </w:pPr>
    </w:p>
    <w:p>
      <w:pPr>
        <w:ind w:right="100" w:firstLine="456"/>
        <w:spacing w:after="0" w:line="259" w:lineRule="auto"/>
        <w:rPr>
          <w:sz w:val="20"/>
          <w:szCs w:val="20"/>
          <w:color w:val="auto"/>
        </w:rPr>
      </w:pPr>
      <w:r>
        <w:rPr>
          <w:rFonts w:ascii="Arial" w:cs="Arial" w:eastAsia="Arial" w:hAnsi="Arial"/>
          <w:sz w:val="18"/>
          <w:szCs w:val="18"/>
          <w:color w:val="auto"/>
        </w:rPr>
        <w:t>The Company advises the Staff that the discount for lack of marketability was only applied to the sale/merger scenario and resulted in a per share common stock value of $1.59 (without giving effect to the reverse stock split). The reference to the months to a liquidity event is based on management’s estimate of the time period required to complete a sale/merger.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IPO Valuation Analysis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valuation was also performed under an IPO liquidity event scenario. The intent of this analysis is to mimic the pricing analysis performed by investment bankers for an IPO and is designed to establish the value of the Company’s common stock as of the valuation date by first estimating the value of the Company at the expected IPO date and then discounting that value back to the present. Since the Company had received preliminary valuation materials from its investment bankers, the valuation expert had adequate visibility to perform this analysis as of December 15, 2010.</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valuation of the common stock under the IPO scenario involved a multi-step process. The first step involved estimating the enterprise value of the Company as of an estimated IPO date, in this case January 31, 2011. The enterprise value was estimated based on an analysis of sales multiples for comparable public companies. Based on the observed multiples for traded companies, a range of multiples was selected to apply to the Company’s 2011 and 2012 projected sales. Multiples were selected based on six publicly traded companies in the Company’s industry. Four companies were removed from the comparable companies list (as compared to the list used for purposes of the sale/merger scenario) because the Company’s investment bankers had not used those companies in their valuation models. This analysis resulted in a range of enterprise values from $152.8 million to $187.9 million based on 2011 forecasts and $184.7 to $234.3 million based on 2012 forecasts.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 determine the post-money equity value trading range of the Company, the enterprise value was adjusted by subtracting projected interest bearing obligations and adding projected cash, including IPO proceeds, as of the expected IPO date. This amount was then adjusted for an IPO discount (15%) and for other transaction costs to arrive at an equity value filing range. Next, the amount of IPO proceeds was deducted in order to come to a pre-money equity value filing range. This value was then discounted from the expected IPO date (January 31, 2011) to the valuation date (December 15, 2010) at an appropriate discount rate and divided by fully diluted shares outstanding as of December 15, 2010 to arrive at a per share common stock value of $7.01 (prior to adjustment for the recent reverse stock split).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Conclusion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common stock values resulting from the two scenarios were then weighted based on management’s assessment of the probability of occurrence of each scenario (60% IPO at $7.01 per share and 40% sale/merger at $1.59 per share) with a resulting per share common stock value of $4.84. [***] In addition, the Company believes the substantial difference between the IPO and sale/merger valuations is appropriate and reflective of the Company’s circumstances and the estimated valuation ranges. As of December 15, 2010, the liquidation preference for the Company’s outstanding preferred stock totaled approximately $190 million [***]. The liquidation preference operates by guaranteeing preferred stockholders that the proceeds of any sale or merger will be distributed first to preferred stockholders as a return of their original investments; these mandatory distributions to preferred stockholders must be satisfied prior to any distributions being made to holders of common stock. Accordingly, based on the actual distribution that would occur in any likely sale/merger scenario and the estimated valuation ranges noted above, potentially all of the enterprise value of the Company would be distributed back to preferred stockholders, and distributions, if any, to common stockholders would be </w:t>
      </w:r>
      <w:r>
        <w:rPr>
          <w:rFonts w:ascii="Arial" w:cs="Arial" w:eastAsia="Arial" w:hAnsi="Arial"/>
          <w:sz w:val="16"/>
          <w:szCs w:val="16"/>
          <w:i w:val="1"/>
          <w:iCs w:val="1"/>
          <w:color w:val="auto"/>
        </w:rPr>
        <w:t>de minimus</w:t>
      </w:r>
      <w:r>
        <w:rPr>
          <w:rFonts w:ascii="Arial" w:cs="Arial" w:eastAsia="Arial" w:hAnsi="Arial"/>
          <w:sz w:val="16"/>
          <w:szCs w:val="16"/>
          <w:color w:val="auto"/>
        </w:rPr>
        <w:t>. Only in an IPO scenario does the value of the common stock rise to approach the estimated price range of the IPO because if an IPO is completed, the liquidation preferences of the preferred stock will disappear and no longer apply. [***]</w:t>
      </w:r>
    </w:p>
    <w:p>
      <w:pPr>
        <w:sectPr>
          <w:pgSz w:w="11900" w:h="16838" w:orient="portrait"/>
          <w:cols w:equalWidth="0" w:num="1">
            <w:col w:w="11420"/>
          </w:cols>
          <w:pgMar w:left="240" w:top="273" w:right="239" w:bottom="1440" w:gutter="0" w:footer="0" w:header="0"/>
          <w:type w:val="continuous"/>
        </w:sectPr>
      </w:pPr>
    </w:p>
    <w:bookmarkStart w:id="367" w:name="page368"/>
    <w:bookmarkEnd w:id="367"/>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left="460" w:right="60" w:hanging="452"/>
        <w:spacing w:after="0" w:line="294" w:lineRule="auto"/>
        <w:tabs>
          <w:tab w:leader="none" w:pos="460" w:val="left"/>
        </w:tabs>
        <w:numPr>
          <w:ilvl w:val="0"/>
          <w:numId w:val="3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explain to us why your estimated fair value per common share of $4.84 at January 4, 2011 is significantly lower than the valuation from the underwriters of $6.75 to $8.75 received on January 5, 2011. We note that the estimated price range from your underwriters assumes an offering in the first quarter 2011. In addition, tell us how you considered the preferred stock issuances in your estimate of the fair value of your common stock since these are converted to common on a one-to-one basis. Please also explain to us how you considered the decrease in the conversion price of the Series E preferred stock from $14 per share to $10.77 in January 2011 in the valuation of your common stock.</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referenced in the Company’s response to the Staff’s comment number 10 above, the estimated fair value of $4.84 (pre-split) per common share was based on the weighted average of the IPO scenario fair value of $7.01 (pre-split) per share of common stock and the sale/merger scenario fair value of $1.59 (pre-split) per share of common stock. The weighted average value considers the possibility that the IPO will not occur and the fact that the Company has been considering alternative strategic paths. As of the date of the valuation and the time of the option grants, the Company did not have clear visibility as to the likelihood of either scenario, and the weightings reflected management’s best estimates of the relative likelihoods of two transactions.</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Company considered the decrease in the conversion price of the Series E preferred stock in its calculations because the decrease in the conversion price resulted in an increase in the Company’s fully diluted capitalization. The Company does not believe that the $10.77 (pre-split) should be considered an indication of valuation, however, and is in fact substantially above the banker’s estimates of an offering price range. The Company needed the consent of its outstanding Series E preferred stockholders in order to amend the auto-conversion provisions of its charters, which would have permitted preferred stockholders to block any initial public offering that was concluded at a price less than $19.90 (pre-split). Because the Company sold shares to the Series E preferred stockholders at prices substantially above current valuations, the Company agreed to reduce the conversion of the Series E preferred stock as an incentive for the Series E preferred stockholders to consent to remove the auto-conversion threshold. Again, however, the negotiations and determinations were not based on any current valuation of the Company, as evidenced by the investors’ agreement to a conversion price substantially in excess of the high end of the Company’s estimated offering range.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also supplementally advises the Staff that since January 4, 2011, it has granted a </w:t>
      </w:r>
      <w:r>
        <w:rPr>
          <w:rFonts w:ascii="Arial" w:cs="Arial" w:eastAsia="Arial" w:hAnsi="Arial"/>
          <w:sz w:val="18"/>
          <w:szCs w:val="18"/>
          <w:i w:val="1"/>
          <w:iCs w:val="1"/>
          <w:color w:val="auto"/>
        </w:rPr>
        <w:t>de minimus</w:t>
      </w:r>
      <w:r>
        <w:rPr>
          <w:rFonts w:ascii="Arial" w:cs="Arial" w:eastAsia="Arial" w:hAnsi="Arial"/>
          <w:sz w:val="18"/>
          <w:szCs w:val="18"/>
          <w:color w:val="auto"/>
        </w:rPr>
        <w:t xml:space="preserve"> number of additional options to new employees who are not executive officers. On January 20, 2011, it granted options to acquire an aggregate of 18,010 pre-split shares of common stock to four new employees. On January 24, 2011, it granted 8,000 pre-split shares of common stock to one new employee. The exercise price for these new employee grants was $4.84 (pre-split).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Interim Note 12. Subsequent Events page F-50</w:t>
      </w:r>
    </w:p>
    <w:p>
      <w:pPr>
        <w:spacing w:after="0" w:line="90" w:lineRule="exact"/>
        <w:rPr>
          <w:sz w:val="20"/>
          <w:szCs w:val="20"/>
          <w:color w:val="auto"/>
        </w:rPr>
      </w:pPr>
    </w:p>
    <w:p>
      <w:pPr>
        <w:ind w:left="460" w:right="360" w:hanging="452"/>
        <w:spacing w:after="0" w:line="268" w:lineRule="auto"/>
        <w:tabs>
          <w:tab w:leader="none" w:pos="460" w:val="left"/>
        </w:tabs>
        <w:numPr>
          <w:ilvl w:val="0"/>
          <w:numId w:val="3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to clarify your accounting treatment for the reduction in the conversion price of the Series E convertible preferred stock from $14 per share to $10.77 per share.</w:t>
      </w:r>
    </w:p>
    <w:p>
      <w:pPr>
        <w:spacing w:after="0" w:line="132"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response to the Staff’s comment, the Company has revised page F-52, Interim Note 12, Subsequent Events to clarify the Company’s accounting treatment for the reduction in the conversion price of the Series E convertible preferred stock from $14.00 (pre-split) per share to $10.77 (pre-split) per share and included the pro forma impact of such accounting treatment in the summary financial statements on page 8 and the selected financial statements on page 38.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Exhibits, page II-4</w:t>
      </w:r>
    </w:p>
    <w:p>
      <w:pPr>
        <w:spacing w:after="0" w:line="90" w:lineRule="exact"/>
        <w:rPr>
          <w:sz w:val="20"/>
          <w:szCs w:val="20"/>
          <w:color w:val="auto"/>
        </w:rPr>
      </w:pPr>
    </w:p>
    <w:p>
      <w:pPr>
        <w:ind w:left="460" w:right="240" w:hanging="452"/>
        <w:spacing w:after="0" w:line="268" w:lineRule="auto"/>
        <w:tabs>
          <w:tab w:leader="none" w:pos="460" w:val="left"/>
        </w:tabs>
        <w:numPr>
          <w:ilvl w:val="0"/>
          <w:numId w:val="3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file the bank line of credit agreement that you reference on page F-50 or explain why you believe that it is not required to be filed pursuant to Item 601(b)(10) of Regulation S-K.</w:t>
      </w:r>
    </w:p>
    <w:p>
      <w:pPr>
        <w:spacing w:after="0" w:line="132"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response to the Staff’s comment, the Company has filed the bank line of credit with Bridge Bank, National Association, as Exhibit 4.8 to the Amendment.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420"/>
          </w:cols>
          <w:pgMar w:left="240" w:top="274" w:right="239" w:bottom="1440" w:gutter="0" w:footer="0" w:header="0"/>
          <w:type w:val="continuous"/>
        </w:sectPr>
      </w:pPr>
    </w:p>
    <w:bookmarkStart w:id="368" w:name="page369"/>
    <w:bookmarkEnd w:id="368"/>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-201295</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7040" w:space="720"/>
            <w:col w:w="3660"/>
          </w:cols>
          <w:pgMar w:left="240" w:top="274" w:right="239" w:bottom="1440" w:gutter="0" w:footer="0" w:header="0"/>
        </w:sectPr>
      </w:pPr>
    </w:p>
    <w:p>
      <w:pPr>
        <w:ind w:right="100" w:firstLine="456"/>
        <w:spacing w:after="0" w:line="332" w:lineRule="auto"/>
        <w:rPr>
          <w:sz w:val="20"/>
          <w:szCs w:val="20"/>
          <w:color w:val="auto"/>
        </w:rPr>
      </w:pPr>
      <w:r>
        <w:rPr>
          <w:rFonts w:ascii="Arial" w:cs="Arial" w:eastAsia="Arial" w:hAnsi="Arial"/>
          <w:sz w:val="16"/>
          <w:szCs w:val="16"/>
          <w:color w:val="auto"/>
        </w:rPr>
        <w:t>The Company acknowledges your reference to Rules 460 and 461 relating to requests for acceleration of a registration statement. The Company intends to provide for adequate time after the filing of any amendments for further review before submitting a request for acceleration, if 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Rule 472, the Amendment is filed herewith in response to the Staff’s Comments.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Please acknowledge receipt of this letter and the enclosed materials by stamping the enclosed duplicate of this letter and returning it to the undersigned in the envelope provided.</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Please direct your questions or comments to me (650/320-4557), David Segre (650/320-4554) or Robert Kornegay (650/320-4533). In addition, we respectfully request that you provide a facsimile of any additional comments you may have to my attention as well as that of Messrs. Segre and Kornegay at (650/493-6811). Thank you for your assistance.</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Asaf Kharal, Esq.</w:t>
      </w:r>
    </w:p>
    <w:p>
      <w:pPr>
        <w:spacing w:after="0" w:line="293" w:lineRule="exact"/>
        <w:rPr>
          <w:sz w:val="20"/>
          <w:szCs w:val="20"/>
          <w:color w:val="auto"/>
        </w:rPr>
      </w:pPr>
    </w:p>
    <w:p>
      <w:pPr>
        <w:ind w:left="460" w:right="9440" w:hanging="452"/>
        <w:spacing w:after="0" w:line="284" w:lineRule="auto"/>
        <w:tabs>
          <w:tab w:leader="none" w:pos="449" w:val="left"/>
        </w:tabs>
        <w:numPr>
          <w:ilvl w:val="0"/>
          <w:numId w:val="350"/>
        </w:numPr>
        <w:rPr>
          <w:rFonts w:ascii="Arial" w:cs="Arial" w:eastAsia="Arial" w:hAnsi="Arial"/>
          <w:sz w:val="16"/>
          <w:szCs w:val="16"/>
          <w:color w:val="auto"/>
        </w:rPr>
      </w:pPr>
      <w:r>
        <w:rPr>
          <w:rFonts w:ascii="Arial" w:cs="Arial" w:eastAsia="Arial" w:hAnsi="Arial"/>
          <w:sz w:val="16"/>
          <w:szCs w:val="16"/>
          <w:color w:val="auto"/>
        </w:rPr>
        <w:t>Gajus V. Worthington Vikram Jog William M. Smith</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Fluidigm Corporation</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1)"/>
      <w:numFmt w:val="decimal"/>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
      <w:numFmt w:val="bullet"/>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
      <w:numFmt w:val="bullet"/>
      <w:start w:val="1"/>
    </w:lvl>
  </w:abstractNum>
  <w:abstractNum w:abstractNumId="5">
    <w:nsid w:val="14217E23"/>
    <w:multiLevelType w:val="hybridMultilevel"/>
    <w:lvl w:ilvl="0">
      <w:lvlJc w:val="left"/>
      <w:lvlText w:val="•"/>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
      <w:numFmt w:val="bullet"/>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1)"/>
      <w:numFmt w:val="decimal"/>
      <w:start w:val="1"/>
    </w:lvl>
  </w:abstractNum>
  <w:abstractNum w:abstractNumId="13">
    <w:nsid w:val="327B517E"/>
    <w:multiLevelType w:val="hybridMultilevel"/>
    <w:lvl w:ilvl="0">
      <w:lvlJc w:val="left"/>
      <w:lvlText w:val="(%1)"/>
      <w:numFmt w:val="decimal"/>
      <w:start w:val="1"/>
    </w:lvl>
  </w:abstractNum>
  <w:abstractNum w:abstractNumId="14">
    <w:nsid w:val="1F461B51"/>
    <w:multiLevelType w:val="hybridMultilevel"/>
    <w:lvl w:ilvl="0">
      <w:lvlJc w:val="left"/>
      <w:lvlText w:val="•"/>
      <w:numFmt w:val="bullet"/>
      <w:start w:val="1"/>
    </w:lvl>
  </w:abstractNum>
  <w:abstractNum w:abstractNumId="15">
    <w:nsid w:val="29BACF25"/>
    <w:multiLevelType w:val="hybridMultilevel"/>
    <w:lvl w:ilvl="0">
      <w:lvlJc w:val="left"/>
      <w:lvlText w:val="•"/>
      <w:numFmt w:val="bullet"/>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lvl w:ilvl="1">
      <w:lvlJc w:val="left"/>
      <w:lvlText w:val="•"/>
      <w:numFmt w:val="bullet"/>
      <w:start w:val="1"/>
    </w:lvl>
  </w:abstractNum>
  <w:abstractNum w:abstractNumId="27">
    <w:nsid w:val="EAD6F57"/>
    <w:multiLevelType w:val="hybridMultilevel"/>
    <w:lvl w:ilvl="0">
      <w:lvlJc w:val="left"/>
      <w:lvlText w:val="(%1)"/>
      <w:numFmt w:val="decimal"/>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1)"/>
      <w:numFmt w:val="decimal"/>
      <w:start w:val="1"/>
    </w:lvl>
  </w:abstractNum>
  <w:abstractNum w:abstractNumId="31">
    <w:nsid w:val="397C46BC"/>
    <w:multiLevelType w:val="hybridMultilevel"/>
    <w:lvl w:ilvl="0">
      <w:lvlJc w:val="left"/>
      <w:lvlText w:val="•"/>
      <w:numFmt w:val="bullet"/>
      <w:start w:val="1"/>
    </w:lvl>
  </w:abstractNum>
  <w:abstractNum w:abstractNumId="32">
    <w:nsid w:val="7E448DE9"/>
    <w:multiLevelType w:val="hybridMultilevel"/>
    <w:lvl w:ilvl="0">
      <w:lvlJc w:val="left"/>
      <w:lvlText w:val="(%1)"/>
      <w:numFmt w:val="decimal"/>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
      <w:numFmt w:val="bullet"/>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
      <w:numFmt w:val="bullet"/>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1)"/>
      <w:numFmt w:val="decimal"/>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1)"/>
      <w:numFmt w:val="decimal"/>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
      <w:numFmt w:val="bullet"/>
      <w:start w:val="1"/>
    </w:lvl>
  </w:abstractNum>
  <w:abstractNum w:abstractNumId="54">
    <w:nsid w:val="4C2A7166"/>
    <w:multiLevelType w:val="hybridMultilevel"/>
    <w:lvl w:ilvl="0">
      <w:lvlJc w:val="left"/>
      <w:lvlText w:val="•"/>
      <w:numFmt w:val="bullet"/>
      <w:start w:val="1"/>
    </w:lvl>
  </w:abstractNum>
  <w:abstractNum w:abstractNumId="55">
    <w:nsid w:val="2E534A82"/>
    <w:multiLevelType w:val="hybridMultilevel"/>
    <w:lvl w:ilvl="0">
      <w:lvlJc w:val="left"/>
      <w:lvlText w:val="(%1)"/>
      <w:numFmt w:val="lowerRoman"/>
      <w:start w:val="2"/>
    </w:lvl>
  </w:abstractNum>
  <w:abstractNum w:abstractNumId="56">
    <w:nsid w:val="26F2D364"/>
    <w:multiLevelType w:val="hybridMultilevel"/>
    <w:lvl w:ilvl="0">
      <w:lvlJc w:val="left"/>
      <w:lvlText w:val="(%1)"/>
      <w:numFmt w:val="lowerRoman"/>
      <w:start w:val="1"/>
    </w:lvl>
  </w:abstractNum>
  <w:abstractNum w:abstractNumId="57">
    <w:nsid w:val="71C1AF98"/>
    <w:multiLevelType w:val="hybridMultilevel"/>
    <w:lvl w:ilvl="0">
      <w:lvlJc w:val="left"/>
      <w:lvlText w:val="•"/>
      <w:numFmt w:val="bullet"/>
      <w:start w:val="1"/>
    </w:lvl>
  </w:abstractNum>
  <w:abstractNum w:abstractNumId="58">
    <w:nsid w:val="3D00B9D9"/>
    <w:multiLevelType w:val="hybridMultilevel"/>
    <w:lvl w:ilvl="0">
      <w:lvlJc w:val="left"/>
      <w:lvlText w:val="•"/>
      <w:numFmt w:val="bullet"/>
      <w:start w:val="1"/>
    </w:lvl>
  </w:abstractNum>
  <w:abstractNum w:abstractNumId="59">
    <w:nsid w:val="15BCABA8"/>
    <w:multiLevelType w:val="hybridMultilevel"/>
    <w:lvl w:ilvl="0">
      <w:lvlJc w:val="left"/>
      <w:lvlText w:val="(%1)"/>
      <w:numFmt w:val="decimal"/>
      <w:start w:val="1"/>
    </w:lvl>
  </w:abstractNum>
  <w:abstractNum w:abstractNumId="60">
    <w:nsid w:val="4E0B9A87"/>
    <w:multiLevelType w:val="hybridMultilevel"/>
    <w:lvl w:ilvl="0">
      <w:lvlJc w:val="left"/>
      <w:lvlText w:val="(%1)"/>
      <w:numFmt w:val="decimal"/>
      <w:start w:val="1"/>
    </w:lvl>
  </w:abstractNum>
  <w:abstractNum w:abstractNumId="61">
    <w:nsid w:val="434BAE75"/>
    <w:multiLevelType w:val="hybridMultilevel"/>
    <w:lvl w:ilvl="0">
      <w:lvlJc w:val="left"/>
      <w:lvlText w:val="(%1)"/>
      <w:numFmt w:val="decimal"/>
      <w:start w:val="1"/>
    </w:lvl>
  </w:abstractNum>
  <w:abstractNum w:abstractNumId="62">
    <w:nsid w:val="4F38F265"/>
    <w:multiLevelType w:val="hybridMultilevel"/>
    <w:lvl w:ilvl="0">
      <w:lvlJc w:val="left"/>
      <w:lvlText w:val="(%1)"/>
      <w:numFmt w:val="decimal"/>
      <w:start w:val="4"/>
    </w:lvl>
  </w:abstractNum>
  <w:abstractNum w:abstractNumId="63">
    <w:nsid w:val="4C502870"/>
    <w:multiLevelType w:val="hybridMultilevel"/>
    <w:lvl w:ilvl="0">
      <w:lvlJc w:val="left"/>
      <w:lvlText w:val="•"/>
      <w:numFmt w:val="bullet"/>
      <w:start w:val="1"/>
    </w:lvl>
  </w:abstractNum>
  <w:abstractNum w:abstractNumId="64">
    <w:nsid w:val="1DE8725A"/>
    <w:multiLevelType w:val="hybridMultilevel"/>
    <w:lvl w:ilvl="0">
      <w:lvlJc w:val="left"/>
      <w:lvlText w:val="•"/>
      <w:numFmt w:val="bullet"/>
      <w:start w:val="1"/>
    </w:lvl>
  </w:abstractNum>
  <w:abstractNum w:abstractNumId="65">
    <w:nsid w:val="6A37288A"/>
    <w:multiLevelType w:val="hybridMultilevel"/>
    <w:lvl w:ilvl="0">
      <w:lvlJc w:val="left"/>
      <w:lvlText w:val="•"/>
      <w:numFmt w:val="bullet"/>
      <w:start w:val="1"/>
    </w:lvl>
  </w:abstractNum>
  <w:abstractNum w:abstractNumId="66">
    <w:nsid w:val="8F8B73F"/>
    <w:multiLevelType w:val="hybridMultilevel"/>
    <w:lvl w:ilvl="0">
      <w:lvlJc w:val="left"/>
      <w:lvlText w:val="•"/>
      <w:numFmt w:val="bullet"/>
      <w:start w:val="1"/>
    </w:lvl>
  </w:abstractNum>
  <w:abstractNum w:abstractNumId="67">
    <w:nsid w:val="CA6B462"/>
    <w:multiLevelType w:val="hybridMultilevel"/>
    <w:lvl w:ilvl="0">
      <w:lvlJc w:val="left"/>
      <w:lvlText w:val="•"/>
      <w:numFmt w:val="bullet"/>
      <w:start w:val="1"/>
    </w:lvl>
  </w:abstractNum>
  <w:abstractNum w:abstractNumId="68">
    <w:nsid w:val="763CB680"/>
    <w:multiLevelType w:val="hybridMultilevel"/>
    <w:lvl w:ilvl="0">
      <w:lvlJc w:val="left"/>
      <w:lvlText w:val="(%1)"/>
      <w:numFmt w:val="decimal"/>
      <w:start w:val="1"/>
    </w:lvl>
  </w:abstractNum>
  <w:abstractNum w:abstractNumId="69">
    <w:nsid w:val="15B71329"/>
    <w:multiLevelType w:val="hybridMultilevel"/>
    <w:lvl w:ilvl="0">
      <w:lvlJc w:val="left"/>
      <w:lvlText w:val="•"/>
      <w:numFmt w:val="bullet"/>
      <w:start w:val="1"/>
    </w:lvl>
  </w:abstractNum>
  <w:abstractNum w:abstractNumId="70">
    <w:nsid w:val="3DA97044"/>
    <w:multiLevelType w:val="hybridMultilevel"/>
    <w:lvl w:ilvl="0">
      <w:lvlJc w:val="left"/>
      <w:lvlText w:val="•"/>
      <w:numFmt w:val="bullet"/>
      <w:start w:val="1"/>
    </w:lvl>
  </w:abstractNum>
  <w:abstractNum w:abstractNumId="71">
    <w:nsid w:val="1CDCE2DE"/>
    <w:multiLevelType w:val="hybridMultilevel"/>
    <w:lvl w:ilvl="0">
      <w:lvlJc w:val="left"/>
      <w:lvlText w:val="(%1)"/>
      <w:numFmt w:val="decimal"/>
      <w:start w:val="1"/>
    </w:lvl>
  </w:abstractNum>
  <w:abstractNum w:abstractNumId="72">
    <w:nsid w:val="69D3947C"/>
    <w:multiLevelType w:val="hybridMultilevel"/>
    <w:lvl w:ilvl="0">
      <w:lvlJc w:val="left"/>
      <w:lvlText w:val="(%1)"/>
      <w:numFmt w:val="decimal"/>
      <w:start w:val="2"/>
    </w:lvl>
  </w:abstractNum>
  <w:abstractNum w:abstractNumId="73">
    <w:nsid w:val="2539DFA5"/>
    <w:multiLevelType w:val="hybridMultilevel"/>
    <w:lvl w:ilvl="0">
      <w:lvlJc w:val="left"/>
      <w:lvlText w:val="(%1)"/>
      <w:numFmt w:val="decimal"/>
      <w:start w:val="1"/>
    </w:lvl>
  </w:abstractNum>
  <w:abstractNum w:abstractNumId="74">
    <w:nsid w:val="2DB88089"/>
    <w:multiLevelType w:val="hybridMultilevel"/>
    <w:lvl w:ilvl="0">
      <w:lvlJc w:val="left"/>
      <w:lvlText w:val="(%1)"/>
      <w:numFmt w:val="decimal"/>
      <w:start w:val="1"/>
    </w:lvl>
  </w:abstractNum>
  <w:abstractNum w:abstractNumId="75">
    <w:nsid w:val="706B674E"/>
    <w:multiLevelType w:val="hybridMultilevel"/>
    <w:lvl w:ilvl="0">
      <w:lvlJc w:val="left"/>
      <w:lvlText w:val="(%1)"/>
      <w:numFmt w:val="decimal"/>
      <w:start w:val="7"/>
    </w:lvl>
  </w:abstractNum>
  <w:abstractNum w:abstractNumId="76">
    <w:nsid w:val="2C106A57"/>
    <w:multiLevelType w:val="hybridMultilevel"/>
    <w:lvl w:ilvl="0">
      <w:lvlJc w:val="left"/>
      <w:lvlText w:val="•"/>
      <w:numFmt w:val="bullet"/>
      <w:start w:val="1"/>
    </w:lvl>
  </w:abstractNum>
  <w:abstractNum w:abstractNumId="77">
    <w:nsid w:val="684EED59"/>
    <w:multiLevelType w:val="hybridMultilevel"/>
    <w:lvl w:ilvl="0">
      <w:lvlJc w:val="left"/>
      <w:lvlText w:val="(*)"/>
      <w:numFmt w:val="bullet"/>
      <w:start w:val="1"/>
    </w:lvl>
  </w:abstractNum>
  <w:abstractNum w:abstractNumId="78">
    <w:nsid w:val="545EE5D3"/>
    <w:multiLevelType w:val="hybridMultilevel"/>
    <w:lvl w:ilvl="0">
      <w:lvlJc w:val="left"/>
      <w:lvlText w:val="(%1)"/>
      <w:numFmt w:val="decimal"/>
      <w:start w:val="1"/>
    </w:lvl>
  </w:abstractNum>
  <w:abstractNum w:abstractNumId="79">
    <w:nsid w:val="4A66051"/>
    <w:multiLevelType w:val="hybridMultilevel"/>
    <w:lvl w:ilvl="0">
      <w:lvlJc w:val="left"/>
      <w:lvlText w:val="(%1)"/>
      <w:numFmt w:val="decimal"/>
      <w:start w:val="7"/>
    </w:lvl>
  </w:abstractNum>
  <w:abstractNum w:abstractNumId="80">
    <w:nsid w:val="20F4BDAD"/>
    <w:multiLevelType w:val="hybridMultilevel"/>
    <w:lvl w:ilvl="0">
      <w:lvlJc w:val="left"/>
      <w:lvlText w:val="•"/>
      <w:numFmt w:val="bullet"/>
      <w:start w:val="1"/>
    </w:lvl>
  </w:abstractNum>
  <w:abstractNum w:abstractNumId="81">
    <w:nsid w:val="639DEFAC"/>
    <w:multiLevelType w:val="hybridMultilevel"/>
    <w:lvl w:ilvl="0">
      <w:lvlJc w:val="left"/>
      <w:lvlText w:val="•"/>
      <w:numFmt w:val="bullet"/>
      <w:start w:val="1"/>
    </w:lvl>
  </w:abstractNum>
  <w:abstractNum w:abstractNumId="82">
    <w:nsid w:val="501F9786"/>
    <w:multiLevelType w:val="hybridMultilevel"/>
    <w:lvl w:ilvl="0">
      <w:lvlJc w:val="left"/>
      <w:lvlText w:val="•"/>
      <w:numFmt w:val="bullet"/>
      <w:start w:val="1"/>
    </w:lvl>
  </w:abstractNum>
  <w:abstractNum w:abstractNumId="83">
    <w:nsid w:val="6B057295"/>
    <w:multiLevelType w:val="hybridMultilevel"/>
    <w:lvl w:ilvl="0">
      <w:lvlJc w:val="left"/>
      <w:lvlText w:val="•"/>
      <w:numFmt w:val="bullet"/>
      <w:start w:val="1"/>
    </w:lvl>
  </w:abstractNum>
  <w:abstractNum w:abstractNumId="84">
    <w:nsid w:val="2771AC80"/>
    <w:multiLevelType w:val="hybridMultilevel"/>
    <w:lvl w:ilvl="0">
      <w:lvlJc w:val="left"/>
      <w:lvlText w:val="•"/>
      <w:numFmt w:val="bullet"/>
      <w:start w:val="1"/>
    </w:lvl>
  </w:abstractNum>
  <w:abstractNum w:abstractNumId="85">
    <w:nsid w:val="1C4A08EC"/>
    <w:multiLevelType w:val="hybridMultilevel"/>
    <w:lvl w:ilvl="0">
      <w:lvlJc w:val="left"/>
      <w:lvlText w:val="•"/>
      <w:numFmt w:val="bullet"/>
      <w:start w:val="1"/>
    </w:lvl>
  </w:abstractNum>
  <w:abstractNum w:abstractNumId="86">
    <w:nsid w:val="1958BD17"/>
    <w:multiLevelType w:val="hybridMultilevel"/>
    <w:lvl w:ilvl="0">
      <w:lvlJc w:val="left"/>
      <w:lvlText w:val="•"/>
      <w:numFmt w:val="bullet"/>
      <w:start w:val="1"/>
    </w:lvl>
  </w:abstractNum>
  <w:abstractNum w:abstractNumId="87">
    <w:nsid w:val="4E647FE4"/>
    <w:multiLevelType w:val="hybridMultilevel"/>
    <w:lvl w:ilvl="0">
      <w:lvlJc w:val="left"/>
      <w:lvlText w:val="•"/>
      <w:numFmt w:val="bullet"/>
      <w:start w:val="1"/>
    </w:lvl>
  </w:abstractNum>
  <w:abstractNum w:abstractNumId="88">
    <w:nsid w:val="E0BB885"/>
    <w:multiLevelType w:val="hybridMultilevel"/>
    <w:lvl w:ilvl="0">
      <w:lvlJc w:val="left"/>
      <w:lvlText w:val="•"/>
      <w:numFmt w:val="bullet"/>
      <w:start w:val="1"/>
    </w:lvl>
  </w:abstractNum>
  <w:abstractNum w:abstractNumId="89">
    <w:nsid w:val="565976F1"/>
    <w:multiLevelType w:val="hybridMultilevel"/>
    <w:lvl w:ilvl="0">
      <w:lvlJc w:val="left"/>
      <w:lvlText w:val="•"/>
      <w:numFmt w:val="bullet"/>
      <w:start w:val="1"/>
    </w:lvl>
  </w:abstractNum>
  <w:abstractNum w:abstractNumId="90">
    <w:nsid w:val="64212B8C"/>
    <w:multiLevelType w:val="hybridMultilevel"/>
    <w:lvl w:ilvl="0">
      <w:lvlJc w:val="left"/>
      <w:lvlText w:val="•"/>
      <w:numFmt w:val="bullet"/>
      <w:start w:val="1"/>
    </w:lvl>
  </w:abstractNum>
  <w:abstractNum w:abstractNumId="91">
    <w:nsid w:val="5C17530C"/>
    <w:multiLevelType w:val="hybridMultilevel"/>
    <w:lvl w:ilvl="0">
      <w:lvlJc w:val="left"/>
      <w:lvlText w:val="•"/>
      <w:numFmt w:val="bullet"/>
      <w:start w:val="1"/>
    </w:lvl>
  </w:abstractNum>
  <w:abstractNum w:abstractNumId="92">
    <w:nsid w:val="19A52566"/>
    <w:multiLevelType w:val="hybridMultilevel"/>
    <w:lvl w:ilvl="0">
      <w:lvlJc w:val="left"/>
      <w:lvlText w:val="•"/>
      <w:numFmt w:val="bullet"/>
      <w:start w:val="1"/>
    </w:lvl>
  </w:abstractNum>
  <w:abstractNum w:abstractNumId="93">
    <w:nsid w:val="335A1DF1"/>
    <w:multiLevelType w:val="hybridMultilevel"/>
    <w:lvl w:ilvl="0">
      <w:lvlJc w:val="left"/>
      <w:lvlText w:val="•"/>
      <w:numFmt w:val="bullet"/>
      <w:start w:val="1"/>
    </w:lvl>
  </w:abstractNum>
  <w:abstractNum w:abstractNumId="94">
    <w:nsid w:val="28677B7C"/>
    <w:multiLevelType w:val="hybridMultilevel"/>
    <w:lvl w:ilvl="0">
      <w:lvlJc w:val="left"/>
      <w:lvlText w:val="•"/>
      <w:numFmt w:val="bullet"/>
      <w:start w:val="1"/>
    </w:lvl>
  </w:abstractNum>
  <w:abstractNum w:abstractNumId="95">
    <w:nsid w:val="378D97C0"/>
    <w:multiLevelType w:val="hybridMultilevel"/>
    <w:lvl w:ilvl="0">
      <w:lvlJc w:val="left"/>
      <w:lvlText w:val="(%1)"/>
      <w:numFmt w:val="lowerLetter"/>
      <w:start w:val="1"/>
    </w:lvl>
  </w:abstractNum>
  <w:abstractNum w:abstractNumId="96">
    <w:nsid w:val="1D91467C"/>
    <w:multiLevelType w:val="hybridMultilevel"/>
    <w:lvl w:ilvl="0">
      <w:lvlJc w:val="left"/>
      <w:lvlText w:val="%1."/>
      <w:numFmt w:val="decimal"/>
      <w:start w:val="2"/>
    </w:lvl>
  </w:abstractNum>
  <w:abstractNum w:abstractNumId="97">
    <w:nsid w:val="316032BB"/>
    <w:multiLevelType w:val="hybridMultilevel"/>
    <w:lvl w:ilvl="0">
      <w:lvlJc w:val="left"/>
      <w:lvlText w:val="%1."/>
      <w:numFmt w:val="decimal"/>
      <w:start w:val="3"/>
    </w:lvl>
  </w:abstractNum>
  <w:abstractNum w:abstractNumId="98">
    <w:nsid w:val="44344C22"/>
    <w:multiLevelType w:val="hybridMultilevel"/>
    <w:lvl w:ilvl="0">
      <w:lvlJc w:val="left"/>
      <w:lvlText w:val="%1."/>
      <w:numFmt w:val="decimal"/>
      <w:start w:val="4"/>
    </w:lvl>
  </w:abstractNum>
  <w:abstractNum w:abstractNumId="99">
    <w:nsid w:val="13CDFCFC"/>
    <w:multiLevelType w:val="hybridMultilevel"/>
    <w:lvl w:ilvl="0">
      <w:lvlJc w:val="left"/>
      <w:lvlText w:val="%1."/>
      <w:numFmt w:val="decimal"/>
      <w:start w:val="6"/>
    </w:lvl>
  </w:abstractNum>
  <w:abstractNum w:abstractNumId="100">
    <w:nsid w:val="471745E4"/>
    <w:multiLevelType w:val="hybridMultilevel"/>
    <w:lvl w:ilvl="0">
      <w:lvlJc w:val="left"/>
      <w:lvlText w:val="%1."/>
      <w:numFmt w:val="decimal"/>
      <w:start w:val="7"/>
    </w:lvl>
  </w:abstractNum>
  <w:abstractNum w:abstractNumId="101">
    <w:nsid w:val="1DDBC66"/>
    <w:multiLevelType w:val="hybridMultilevel"/>
    <w:lvl w:ilvl="0">
      <w:lvlJc w:val="left"/>
      <w:lvlText w:val="%1."/>
      <w:numFmt w:val="decimal"/>
      <w:start w:val="8"/>
    </w:lvl>
  </w:abstractNum>
  <w:abstractNum w:abstractNumId="102">
    <w:nsid w:val="30AADFDA"/>
    <w:multiLevelType w:val="hybridMultilevel"/>
    <w:lvl w:ilvl="0">
      <w:lvlJc w:val="left"/>
      <w:lvlText w:val="%1."/>
      <w:numFmt w:val="decimal"/>
      <w:start w:val="10"/>
    </w:lvl>
  </w:abstractNum>
  <w:abstractNum w:abstractNumId="103">
    <w:nsid w:val="30EADA61"/>
    <w:multiLevelType w:val="hybridMultilevel"/>
    <w:lvl w:ilvl="0">
      <w:lvlJc w:val="left"/>
      <w:lvlText w:val="(%1)"/>
      <w:numFmt w:val="decimal"/>
      <w:start w:val="1"/>
    </w:lvl>
  </w:abstractNum>
  <w:abstractNum w:abstractNumId="104">
    <w:nsid w:val="27179C0B"/>
    <w:multiLevelType w:val="hybridMultilevel"/>
    <w:lvl w:ilvl="0">
      <w:lvlJc w:val="left"/>
      <w:lvlText w:val="(%1)"/>
      <w:numFmt w:val="decimal"/>
      <w:start w:val="2"/>
    </w:lvl>
  </w:abstractNum>
  <w:abstractNum w:abstractNumId="105">
    <w:nsid w:val="5E636063"/>
    <w:multiLevelType w:val="hybridMultilevel"/>
    <w:lvl w:ilvl="0">
      <w:lvlJc w:val="left"/>
      <w:lvlText w:val="(%1)"/>
      <w:numFmt w:val="decimal"/>
      <w:start w:val="3"/>
    </w:lvl>
  </w:abstractNum>
  <w:abstractNum w:abstractNumId="106">
    <w:nsid w:val="215641AF"/>
    <w:multiLevelType w:val="hybridMultilevel"/>
    <w:lvl w:ilvl="0">
      <w:lvlJc w:val="left"/>
      <w:lvlText w:val="%1."/>
      <w:numFmt w:val="decimal"/>
      <w:start w:val="11"/>
    </w:lvl>
  </w:abstractNum>
  <w:abstractNum w:abstractNumId="107">
    <w:nsid w:val="53280662"/>
    <w:multiLevelType w:val="hybridMultilevel"/>
    <w:lvl w:ilvl="0">
      <w:lvlJc w:val="left"/>
      <w:lvlText w:val="%1."/>
      <w:numFmt w:val="decimal"/>
      <w:start w:val="15"/>
    </w:lvl>
  </w:abstractNum>
  <w:abstractNum w:abstractNumId="108">
    <w:nsid w:val="46B24DBC"/>
    <w:multiLevelType w:val="hybridMultilevel"/>
    <w:lvl w:ilvl="0">
      <w:lvlJc w:val="left"/>
      <w:lvlText w:val="%1."/>
      <w:numFmt w:val="decimal"/>
      <w:start w:val="1"/>
    </w:lvl>
  </w:abstractNum>
  <w:abstractNum w:abstractNumId="109">
    <w:nsid w:val="75B52783"/>
    <w:multiLevelType w:val="hybridMultilevel"/>
    <w:lvl w:ilvl="0">
      <w:lvlJc w:val="left"/>
      <w:lvlText w:val="%1."/>
      <w:numFmt w:val="decimal"/>
      <w:start w:val="2"/>
    </w:lvl>
  </w:abstractNum>
  <w:abstractNum w:abstractNumId="110">
    <w:nsid w:val="57CE66B4"/>
    <w:multiLevelType w:val="hybridMultilevel"/>
    <w:lvl w:ilvl="0">
      <w:lvlJc w:val="left"/>
      <w:lvlText w:val="%1."/>
      <w:numFmt w:val="decimal"/>
      <w:start w:val="6"/>
    </w:lvl>
  </w:abstractNum>
  <w:abstractNum w:abstractNumId="111">
    <w:nsid w:val="67A70B69"/>
    <w:multiLevelType w:val="hybridMultilevel"/>
    <w:lvl w:ilvl="0">
      <w:lvlJc w:val="left"/>
      <w:lvlText w:val="%1."/>
      <w:numFmt w:val="decimal"/>
      <w:start w:val="11"/>
    </w:lvl>
  </w:abstractNum>
  <w:abstractNum w:abstractNumId="112">
    <w:nsid w:val="5953172F"/>
    <w:multiLevelType w:val="hybridMultilevel"/>
    <w:lvl w:ilvl="0">
      <w:lvlJc w:val="left"/>
      <w:lvlText w:val="%1."/>
      <w:numFmt w:val="decimal"/>
      <w:start w:val="12"/>
    </w:lvl>
  </w:abstractNum>
  <w:abstractNum w:abstractNumId="113">
    <w:nsid w:val="27EDFE3A"/>
    <w:multiLevelType w:val="hybridMultilevel"/>
    <w:lvl w:ilvl="0">
      <w:lvlJc w:val="left"/>
      <w:lvlText w:val="•"/>
      <w:numFmt w:val="bullet"/>
      <w:start w:val="1"/>
    </w:lvl>
  </w:abstractNum>
  <w:abstractNum w:abstractNumId="114">
    <w:nsid w:val="52AC7DFF"/>
    <w:multiLevelType w:val="hybridMultilevel"/>
    <w:lvl w:ilvl="0">
      <w:lvlJc w:val="left"/>
      <w:lvlText w:val="•"/>
      <w:numFmt w:val="bullet"/>
      <w:start w:val="1"/>
    </w:lvl>
  </w:abstractNum>
  <w:abstractNum w:abstractNumId="115">
    <w:nsid w:val="C4C3AF"/>
    <w:multiLevelType w:val="hybridMultilevel"/>
    <w:lvl w:ilvl="0">
      <w:lvlJc w:val="left"/>
      <w:lvlText w:val="(%1)"/>
      <w:numFmt w:val="lowerLetter"/>
      <w:start w:val="1"/>
    </w:lvl>
  </w:abstractNum>
  <w:abstractNum w:abstractNumId="116">
    <w:nsid w:val="44380727"/>
    <w:multiLevelType w:val="hybridMultilevel"/>
    <w:lvl w:ilvl="0">
      <w:lvlJc w:val="left"/>
      <w:lvlText w:val="(%1)"/>
      <w:numFmt w:val="lowerLetter"/>
      <w:start w:val="8"/>
    </w:lvl>
  </w:abstractNum>
  <w:abstractNum w:abstractNumId="117">
    <w:nsid w:val="6C053B16"/>
    <w:multiLevelType w:val="hybridMultilevel"/>
    <w:lvl w:ilvl="0">
      <w:lvlJc w:val="left"/>
      <w:lvlText w:val="(%1)"/>
      <w:numFmt w:val="lowerLetter"/>
      <w:start w:val="20"/>
    </w:lvl>
  </w:abstractNum>
  <w:abstractNum w:abstractNumId="118">
    <w:nsid w:val="4F294393"/>
    <w:multiLevelType w:val="hybridMultilevel"/>
    <w:lvl w:ilvl="0">
      <w:lvlJc w:val="left"/>
      <w:lvlText w:val="•"/>
      <w:numFmt w:val="bullet"/>
      <w:start w:val="1"/>
    </w:lvl>
  </w:abstractNum>
  <w:abstractNum w:abstractNumId="119">
    <w:nsid w:val="5243BFAC"/>
    <w:multiLevelType w:val="hybridMultilevel"/>
    <w:lvl w:ilvl="0">
      <w:lvlJc w:val="left"/>
      <w:lvlText w:val="(%1)"/>
      <w:numFmt w:val="decimal"/>
      <w:start w:val="1"/>
    </w:lvl>
  </w:abstractNum>
  <w:abstractNum w:abstractNumId="120">
    <w:nsid w:val="425EB207"/>
    <w:multiLevelType w:val="hybridMultilevel"/>
    <w:lvl w:ilvl="0">
      <w:lvlJc w:val="left"/>
      <w:lvlText w:val="(%1)"/>
      <w:numFmt w:val="lowerLetter"/>
      <w:start w:val="2"/>
    </w:lvl>
  </w:abstractNum>
  <w:abstractNum w:abstractNumId="121">
    <w:nsid w:val="334A6F1F"/>
    <w:multiLevelType w:val="hybridMultilevel"/>
    <w:lvl w:ilvl="0">
      <w:lvlJc w:val="left"/>
      <w:lvlText w:val="(%1)"/>
      <w:numFmt w:val="decimal"/>
      <w:start w:val="1"/>
    </w:lvl>
  </w:abstractNum>
  <w:abstractNum w:abstractNumId="122">
    <w:nsid w:val="2E5B12B8"/>
    <w:multiLevelType w:val="hybridMultilevel"/>
    <w:lvl w:ilvl="0">
      <w:lvlJc w:val="left"/>
      <w:lvlText w:val="(%1)"/>
      <w:numFmt w:val="decimal"/>
      <w:start w:val="1"/>
    </w:lvl>
  </w:abstractNum>
  <w:abstractNum w:abstractNumId="123">
    <w:nsid w:val="5C03D76D"/>
    <w:multiLevelType w:val="hybridMultilevel"/>
    <w:lvl w:ilvl="0">
      <w:lvlJc w:val="left"/>
      <w:lvlText w:val="%1."/>
      <w:numFmt w:val="upperLetter"/>
      <w:start w:val="1"/>
    </w:lvl>
  </w:abstractNum>
  <w:abstractNum w:abstractNumId="124">
    <w:nsid w:val="66A48D11"/>
    <w:multiLevelType w:val="hybridMultilevel"/>
    <w:lvl w:ilvl="0">
      <w:lvlJc w:val="left"/>
      <w:lvlText w:val="%1."/>
      <w:numFmt w:val="upperLetter"/>
      <w:start w:val="3"/>
    </w:lvl>
  </w:abstractNum>
  <w:abstractNum w:abstractNumId="125">
    <w:nsid w:val="56C28E34"/>
    <w:multiLevelType w:val="hybridMultilevel"/>
    <w:lvl w:ilvl="0">
      <w:lvlJc w:val="left"/>
      <w:lvlText w:val="%1."/>
      <w:numFmt w:val="decimal"/>
      <w:start w:val="1"/>
    </w:lvl>
  </w:abstractNum>
  <w:abstractNum w:abstractNumId="126">
    <w:nsid w:val="13916F2D"/>
    <w:multiLevelType w:val="hybridMultilevel"/>
    <w:lvl w:ilvl="0">
      <w:lvlJc w:val="left"/>
      <w:lvlText w:val="%1."/>
      <w:numFmt w:val="decimal"/>
      <w:start w:val="2"/>
    </w:lvl>
  </w:abstractNum>
  <w:abstractNum w:abstractNumId="127">
    <w:nsid w:val="435D38D"/>
    <w:multiLevelType w:val="hybridMultilevel"/>
    <w:lvl w:ilvl="0">
      <w:lvlJc w:val="left"/>
      <w:lvlText w:val="%1."/>
      <w:numFmt w:val="decimal"/>
      <w:start w:val="3"/>
    </w:lvl>
    <w:lvl w:ilvl="1">
      <w:lvlJc w:val="left"/>
      <w:lvlText w:val="(%2)"/>
      <w:numFmt w:val="lowerLetter"/>
      <w:start w:val="1"/>
    </w:lvl>
  </w:abstractNum>
  <w:abstractNum w:abstractNumId="128">
    <w:nsid w:val="822C0EF"/>
    <w:multiLevelType w:val="hybridMultilevel"/>
    <w:lvl w:ilvl="0">
      <w:lvlJc w:val="left"/>
      <w:lvlText w:val="%1"/>
      <w:numFmt w:val="decimal"/>
      <w:start w:val="1"/>
    </w:lvl>
    <w:lvl w:ilvl="1">
      <w:lvlJc w:val="left"/>
      <w:lvlText w:val="(%2)"/>
      <w:numFmt w:val="lowerLetter"/>
      <w:start w:val="6"/>
    </w:lvl>
  </w:abstractNum>
  <w:abstractNum w:abstractNumId="129">
    <w:nsid w:val="57C5BB4F"/>
    <w:multiLevelType w:val="hybridMultilevel"/>
    <w:lvl w:ilvl="0">
      <w:lvlJc w:val="left"/>
      <w:lvlText w:val="%1."/>
      <w:numFmt w:val="decimal"/>
      <w:start w:val="4"/>
    </w:lvl>
    <w:lvl w:ilvl="1">
      <w:lvlJc w:val="left"/>
      <w:lvlText w:val="(%2)"/>
      <w:numFmt w:val="lowerLetter"/>
      <w:start w:val="1"/>
    </w:lvl>
  </w:abstractNum>
  <w:abstractNum w:abstractNumId="130">
    <w:nsid w:val="1803D089"/>
    <w:multiLevelType w:val="hybridMultilevel"/>
    <w:lvl w:ilvl="0">
      <w:lvlJc w:val="left"/>
      <w:lvlText w:val="(%1)"/>
      <w:numFmt w:val="lowerLetter"/>
      <w:start w:val="3"/>
    </w:lvl>
  </w:abstractNum>
  <w:abstractNum w:abstractNumId="131">
    <w:nsid w:val="4F3A06D4"/>
    <w:multiLevelType w:val="hybridMultilevel"/>
    <w:lvl w:ilvl="0">
      <w:lvlJc w:val="left"/>
      <w:lvlText w:val="(%1)"/>
      <w:numFmt w:val="lowerLetter"/>
      <w:start w:val="6"/>
    </w:lvl>
  </w:abstractNum>
  <w:abstractNum w:abstractNumId="132">
    <w:nsid w:val="59A377B6"/>
    <w:multiLevelType w:val="hybridMultilevel"/>
    <w:lvl w:ilvl="0">
      <w:lvlJc w:val="left"/>
      <w:lvlText w:val="%1."/>
      <w:numFmt w:val="decimal"/>
      <w:start w:val="5"/>
    </w:lvl>
  </w:abstractNum>
  <w:abstractNum w:abstractNumId="133">
    <w:nsid w:val="48AEB063"/>
    <w:multiLevelType w:val="hybridMultilevel"/>
    <w:lvl w:ilvl="0">
      <w:lvlJc w:val="left"/>
      <w:lvlText w:val="(%1)"/>
      <w:numFmt w:val="lowerLetter"/>
      <w:start w:val="1"/>
    </w:lvl>
  </w:abstractNum>
  <w:abstractNum w:abstractNumId="134">
    <w:nsid w:val="24E135"/>
    <w:multiLevelType w:val="hybridMultilevel"/>
    <w:lvl w:ilvl="0">
      <w:lvlJc w:val="left"/>
      <w:lvlText w:val="(%1)"/>
      <w:numFmt w:val="lowerLetter"/>
      <w:start w:val="3"/>
    </w:lvl>
  </w:abstractNum>
  <w:abstractNum w:abstractNumId="135">
    <w:nsid w:val="BB13C1"/>
    <w:multiLevelType w:val="hybridMultilevel"/>
    <w:lvl w:ilvl="0">
      <w:lvlJc w:val="left"/>
      <w:lvlText w:val="(%1)"/>
      <w:numFmt w:val="lowerLetter"/>
      <w:start w:val="6"/>
    </w:lvl>
    <w:lvl w:ilvl="1">
      <w:lvlJc w:val="left"/>
      <w:lvlText w:val="(%2)"/>
      <w:numFmt w:val="lowerLetter"/>
      <w:start w:val="9"/>
    </w:lvl>
  </w:abstractNum>
  <w:abstractNum w:abstractNumId="136">
    <w:nsid w:val="271210C7"/>
    <w:multiLevelType w:val="hybridMultilevel"/>
    <w:lvl w:ilvl="0">
      <w:lvlJc w:val="left"/>
      <w:lvlText w:val="(%1)"/>
      <w:numFmt w:val="lowerRoman"/>
      <w:start w:val="2"/>
    </w:lvl>
  </w:abstractNum>
  <w:abstractNum w:abstractNumId="137">
    <w:nsid w:val="217B22E4"/>
    <w:multiLevelType w:val="hybridMultilevel"/>
    <w:lvl w:ilvl="0">
      <w:lvlJc w:val="left"/>
      <w:lvlText w:val="%1."/>
      <w:numFmt w:val="decimal"/>
      <w:start w:val="6"/>
    </w:lvl>
    <w:lvl w:ilvl="1">
      <w:lvlJc w:val="left"/>
      <w:lvlText w:val="(%2)"/>
      <w:numFmt w:val="lowerLetter"/>
      <w:start w:val="1"/>
    </w:lvl>
  </w:abstractNum>
  <w:abstractNum w:abstractNumId="138">
    <w:nsid w:val="53E31A24"/>
    <w:multiLevelType w:val="hybridMultilevel"/>
    <w:lvl w:ilvl="0">
      <w:lvlJc w:val="left"/>
      <w:lvlText w:val="(%1)"/>
      <w:numFmt w:val="lowerLetter"/>
      <w:start w:val="3"/>
    </w:lvl>
  </w:abstractNum>
  <w:abstractNum w:abstractNumId="139">
    <w:nsid w:val="6DC45E8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0">
    <w:nsid w:val="17304A67"/>
    <w:multiLevelType w:val="hybridMultilevel"/>
    <w:lvl w:ilvl="0">
      <w:lvlJc w:val="left"/>
      <w:lvlText w:val="(%1)"/>
      <w:numFmt w:val="lowerRoman"/>
      <w:start w:val="2"/>
    </w:lvl>
    <w:lvl w:ilvl="1">
      <w:lvlJc w:val="left"/>
      <w:lvlText w:val="(%2)"/>
      <w:numFmt w:val="decimal"/>
      <w:start w:val="1"/>
    </w:lvl>
  </w:abstractNum>
  <w:abstractNum w:abstractNumId="141">
    <w:nsid w:val="2BB180D8"/>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142">
    <w:nsid w:val="556B69ED"/>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43">
    <w:nsid w:val="70836196"/>
    <w:multiLevelType w:val="hybridMultilevel"/>
    <w:lvl w:ilvl="0">
      <w:lvlJc w:val="left"/>
      <w:lvlText w:val="%1"/>
      <w:numFmt w:val="lowerRoman"/>
      <w:start w:val="1"/>
    </w:lvl>
    <w:lvl w:ilvl="1">
      <w:lvlJc w:val="left"/>
      <w:lvlText w:val="(%2)"/>
      <w:numFmt w:val="decimal"/>
      <w:start w:val="2"/>
    </w:lvl>
  </w:abstractNum>
  <w:abstractNum w:abstractNumId="144">
    <w:nsid w:val="539F7F12"/>
    <w:multiLevelType w:val="hybridMultilevel"/>
    <w:lvl w:ilvl="0">
      <w:lvlJc w:val="left"/>
      <w:lvlText w:val="(%1)"/>
      <w:numFmt w:val="lowerRoman"/>
      <w:start w:val="5"/>
    </w:lvl>
    <w:lvl w:ilvl="1">
      <w:lvlJc w:val="left"/>
      <w:lvlText w:val="%2"/>
      <w:numFmt w:val="decimal"/>
      <w:start w:val="1"/>
    </w:lvl>
  </w:abstractNum>
  <w:abstractNum w:abstractNumId="145">
    <w:nsid w:val="2817E7EC"/>
    <w:multiLevelType w:val="hybridMultilevel"/>
    <w:lvl w:ilvl="0">
      <w:lvlJc w:val="left"/>
      <w:lvlText w:val="(%1)"/>
      <w:numFmt w:val="lowerRoman"/>
      <w:start w:val="3"/>
    </w:lvl>
    <w:lvl w:ilvl="1">
      <w:lvlJc w:val="left"/>
      <w:lvlText w:val="(%2)"/>
      <w:numFmt w:val="lowerRoman"/>
      <w:start w:val="6"/>
    </w:lvl>
    <w:lvl w:ilvl="2">
      <w:lvlJc w:val="left"/>
      <w:lvlText w:val="(%3)"/>
      <w:numFmt w:val="decimal"/>
      <w:start w:val="1"/>
    </w:lvl>
  </w:abstractNum>
  <w:abstractNum w:abstractNumId="146">
    <w:nsid w:val="71482545"/>
    <w:multiLevelType w:val="hybridMultilevel"/>
    <w:lvl w:ilvl="0">
      <w:lvlJc w:val="left"/>
      <w:lvlText w:val="(%1)"/>
      <w:numFmt w:val="lowerRoman"/>
      <w:start w:val="7"/>
    </w:lvl>
  </w:abstractNum>
  <w:abstractNum w:abstractNumId="147">
    <w:nsid w:val="17D78639"/>
    <w:multiLevelType w:val="hybridMultilevel"/>
    <w:lvl w:ilvl="0">
      <w:lvlJc w:val="left"/>
      <w:lvlText w:val="%1"/>
      <w:numFmt w:val="lowerLetter"/>
      <w:start w:val="1"/>
    </w:lvl>
    <w:lvl w:ilvl="1">
      <w:lvlJc w:val="left"/>
      <w:lvlText w:val="(%2)"/>
      <w:numFmt w:val="lowerRoman"/>
      <w:start w:val="9"/>
    </w:lvl>
    <w:lvl w:ilvl="2">
      <w:lvlJc w:val="left"/>
      <w:lvlText w:val="(%3)"/>
      <w:numFmt w:val="decimal"/>
      <w:start w:val="1"/>
    </w:lvl>
    <w:lvl w:ilvl="3">
      <w:lvlJc w:val="left"/>
      <w:lvlText w:val="(%4)"/>
      <w:numFmt w:val="upperLetter"/>
      <w:start w:val="1"/>
    </w:lvl>
  </w:abstractNum>
  <w:abstractNum w:abstractNumId="148">
    <w:nsid w:val="141D230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4"/>
    </w:lvl>
  </w:abstractNum>
  <w:abstractNum w:abstractNumId="149">
    <w:nsid w:val="407168D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50">
    <w:nsid w:val="6A1B45E5"/>
    <w:multiLevelType w:val="hybridMultilevel"/>
    <w:lvl w:ilvl="0">
      <w:lvlJc w:val="left"/>
      <w:lvlText w:val="(%1)"/>
      <w:numFmt w:val="lowerLetter"/>
      <w:start w:val="6"/>
    </w:lvl>
  </w:abstractNum>
  <w:abstractNum w:abstractNumId="151">
    <w:nsid w:val="567BD50A"/>
    <w:multiLevelType w:val="hybridMultilevel"/>
    <w:lvl w:ilvl="0">
      <w:lvlJc w:val="left"/>
      <w:lvlText w:val="(%1)"/>
      <w:numFmt w:val="lowerLetter"/>
      <w:start w:val="10"/>
    </w:lvl>
    <w:lvl w:ilvl="1">
      <w:lvlJc w:val="left"/>
      <w:lvlText w:val="(%2)"/>
      <w:numFmt w:val="lowerRoman"/>
      <w:start w:val="1"/>
    </w:lvl>
  </w:abstractNum>
  <w:abstractNum w:abstractNumId="152">
    <w:nsid w:val="73BBD7F8"/>
    <w:multiLevelType w:val="hybridMultilevel"/>
    <w:lvl w:ilvl="0">
      <w:lvlJc w:val="left"/>
      <w:lvlText w:val="("/>
      <w:numFmt w:val="bullet"/>
      <w:start w:val="1"/>
    </w:lvl>
    <w:lvl w:ilvl="1">
      <w:lvlJc w:val="left"/>
      <w:lvlText w:val="(%2)"/>
      <w:numFmt w:val="lowerLetter"/>
      <w:start w:val="11"/>
    </w:lvl>
  </w:abstractNum>
  <w:abstractNum w:abstractNumId="153">
    <w:nsid w:val="1876589D"/>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54">
    <w:nsid w:val="327FAC77"/>
    <w:multiLevelType w:val="hybridMultilevel"/>
    <w:lvl w:ilvl="0">
      <w:lvlJc w:val="left"/>
      <w:lvlText w:val="(%1)"/>
      <w:numFmt w:val="decimal"/>
      <w:start w:val="3"/>
    </w:lvl>
    <w:lvl w:ilvl="1">
      <w:lvlJc w:val="left"/>
      <w:lvlText w:val="%2."/>
      <w:numFmt w:val="decimal"/>
      <w:start w:val="8"/>
    </w:lvl>
    <w:lvl w:ilvl="2">
      <w:lvlJc w:val="left"/>
      <w:lvlText w:val="(%3)"/>
      <w:numFmt w:val="lowerLetter"/>
      <w:start w:val="1"/>
    </w:lvl>
  </w:abstractNum>
  <w:abstractNum w:abstractNumId="155">
    <w:nsid w:val="5A60650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6">
    <w:nsid w:val="6F38E6D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7">
    <w:nsid w:val="46111B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8">
    <w:nsid w:val="5E96389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9">
    <w:nsid w:val="775BA7C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60">
    <w:nsid w:val="1DD6D6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1">
    <w:nsid w:val="769A091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62">
    <w:nsid w:val="4695AE95"/>
    <w:multiLevelType w:val="hybridMultilevel"/>
    <w:lvl w:ilvl="0">
      <w:lvlJc w:val="left"/>
      <w:lvlText w:val="%1"/>
      <w:numFmt w:val="decimal"/>
      <w:start w:val="1"/>
    </w:lvl>
    <w:lvl w:ilvl="1">
      <w:lvlJc w:val="left"/>
      <w:lvlText w:val="(%2)"/>
      <w:numFmt w:val="lowerLetter"/>
      <w:start w:val="2"/>
    </w:lvl>
  </w:abstractNum>
  <w:abstractNum w:abstractNumId="163">
    <w:nsid w:val="777A4EAA"/>
    <w:multiLevelType w:val="hybridMultilevel"/>
    <w:lvl w:ilvl="0">
      <w:lvlJc w:val="left"/>
      <w:lvlText w:val="%1."/>
      <w:numFmt w:val="decimal"/>
      <w:start w:val="13"/>
    </w:lvl>
    <w:lvl w:ilvl="1">
      <w:lvlJc w:val="left"/>
      <w:lvlText w:val="%2"/>
      <w:numFmt w:val="lowerLetter"/>
      <w:start w:val="1"/>
    </w:lvl>
  </w:abstractNum>
  <w:abstractNum w:abstractNumId="164">
    <w:nsid w:val="3F48B982"/>
    <w:multiLevelType w:val="hybridMultilevel"/>
    <w:lvl w:ilvl="0">
      <w:lvlJc w:val="left"/>
      <w:lvlText w:val="%1."/>
      <w:numFmt w:val="decimal"/>
      <w:start w:val="1"/>
    </w:lvl>
  </w:abstractNum>
  <w:abstractNum w:abstractNumId="165">
    <w:nsid w:val="46BA8FCA"/>
    <w:multiLevelType w:val="hybridMultilevel"/>
    <w:lvl w:ilvl="0">
      <w:lvlJc w:val="left"/>
      <w:lvlText w:val="%1."/>
      <w:numFmt w:val="upperLetter"/>
      <w:start w:val="1"/>
    </w:lvl>
  </w:abstractNum>
  <w:abstractNum w:abstractNumId="166">
    <w:nsid w:val="7835626C"/>
    <w:multiLevelType w:val="hybridMultilevel"/>
    <w:lvl w:ilvl="0">
      <w:lvlJc w:val="left"/>
      <w:lvlText w:val="%1"/>
      <w:numFmt w:val="upperLetter"/>
      <w:start w:val="61"/>
    </w:lvl>
  </w:abstractNum>
  <w:abstractNum w:abstractNumId="167">
    <w:nsid w:val="665ACA49"/>
    <w:multiLevelType w:val="hybridMultilevel"/>
    <w:lvl w:ilvl="0">
      <w:lvlJc w:val="left"/>
      <w:lvlText w:val="(%1)"/>
      <w:numFmt w:val="lowerRoman"/>
      <w:start w:val="1"/>
    </w:lvl>
  </w:abstractNum>
  <w:abstractNum w:abstractNumId="168">
    <w:nsid w:val="6835B2AE"/>
    <w:multiLevelType w:val="hybridMultilevel"/>
    <w:lvl w:ilvl="0">
      <w:lvlJc w:val="left"/>
      <w:lvlText w:val="(%1)"/>
      <w:numFmt w:val="lowerRoman"/>
      <w:start w:val="2"/>
    </w:lvl>
  </w:abstractNum>
  <w:abstractNum w:abstractNumId="169">
    <w:nsid w:val="4C187C9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170">
    <w:nsid w:val="541F28CD"/>
    <w:multiLevelType w:val="hybridMultilevel"/>
    <w:lvl w:ilvl="0">
      <w:lvlJc w:val="left"/>
      <w:lvlText w:val="%1"/>
      <w:numFmt w:val="lowerLetter"/>
      <w:start w:val="1"/>
    </w:lvl>
    <w:lvl w:ilvl="1">
      <w:lvlJc w:val="left"/>
      <w:lvlText w:val="(%2)"/>
      <w:numFmt w:val="lowerLetter"/>
      <w:start w:val="3"/>
    </w:lvl>
  </w:abstractNum>
  <w:abstractNum w:abstractNumId="171">
    <w:nsid w:val="7F65FD16"/>
    <w:multiLevelType w:val="hybridMultilevel"/>
    <w:lvl w:ilvl="0">
      <w:lvlJc w:val="left"/>
      <w:lvlText w:val="(%1)"/>
      <w:numFmt w:val="lowerLetter"/>
      <w:start w:val="35"/>
    </w:lvl>
    <w:lvl w:ilvl="1">
      <w:lvlJc w:val="left"/>
      <w:lvlText w:val="%2"/>
      <w:numFmt w:val="lowerLetter"/>
      <w:start w:val="1"/>
    </w:lvl>
  </w:abstractNum>
  <w:abstractNum w:abstractNumId="172">
    <w:nsid w:val="77C9FD6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1"/>
    </w:lvl>
  </w:abstractNum>
  <w:abstractNum w:abstractNumId="173">
    <w:nsid w:val="298A92B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1"/>
    </w:lvl>
  </w:abstractNum>
  <w:abstractNum w:abstractNumId="174">
    <w:nsid w:val="6FE95EA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decimal"/>
      <w:start w:val="2"/>
    </w:lvl>
    <w:lvl w:ilvl="5">
      <w:lvlJc w:val="left"/>
      <w:lvlText w:val="%6"/>
      <w:numFmt w:val="decimal"/>
      <w:start w:val="1"/>
    </w:lvl>
  </w:abstractNum>
  <w:abstractNum w:abstractNumId="175">
    <w:nsid w:val="4B697C7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6">
    <w:nsid w:val="51A27AA6"/>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77">
    <w:nsid w:val="613183F2"/>
    <w:multiLevelType w:val="hybridMultilevel"/>
    <w:lvl w:ilvl="0">
      <w:lvlJc w:val="left"/>
      <w:lvlText w:val="(%1)"/>
      <w:numFmt w:val="lowerRoman"/>
      <w:start w:val="4"/>
    </w:lvl>
    <w:lvl w:ilvl="1">
      <w:lvlJc w:val="left"/>
      <w:lvlText w:val="(%2)"/>
      <w:numFmt w:val="lowerLetter"/>
      <w:start w:val="1"/>
    </w:lvl>
  </w:abstractNum>
  <w:abstractNum w:abstractNumId="178">
    <w:nsid w:val="634102B4"/>
    <w:multiLevelType w:val="hybridMultilevel"/>
    <w:lvl w:ilvl="0">
      <w:lvlJc w:val="left"/>
      <w:lvlText w:val="(%1)"/>
      <w:numFmt w:val="lowerRoman"/>
      <w:start w:val="1"/>
    </w:lvl>
  </w:abstractNum>
  <w:abstractNum w:abstractNumId="179">
    <w:nsid w:val="65BF9DA8"/>
    <w:multiLevelType w:val="hybridMultilevel"/>
    <w:lvl w:ilvl="0">
      <w:lvlJc w:val="left"/>
      <w:lvlText w:val="(%1)"/>
      <w:numFmt w:val="lowerRoman"/>
      <w:start w:val="1"/>
    </w:lvl>
  </w:abstractNum>
  <w:abstractNum w:abstractNumId="180">
    <w:nsid w:val="21A2ECCA"/>
    <w:multiLevelType w:val="hybridMultilevel"/>
    <w:lvl w:ilvl="0">
      <w:lvlJc w:val="left"/>
      <w:lvlText w:val="(%1)"/>
      <w:numFmt w:val="lowerRoman"/>
      <w:start w:val="2"/>
    </w:lvl>
  </w:abstractNum>
  <w:abstractNum w:abstractNumId="181">
    <w:nsid w:val="4D5C4899"/>
    <w:multiLevelType w:val="hybridMultilevel"/>
    <w:lvl w:ilvl="0">
      <w:lvlJc w:val="left"/>
      <w:lvlText w:val="(%1)"/>
      <w:numFmt w:val="lowerRoman"/>
      <w:start w:val="1"/>
    </w:lvl>
  </w:abstractNum>
  <w:abstractNum w:abstractNumId="182">
    <w:nsid w:val="3C3B72B2"/>
    <w:multiLevelType w:val="hybridMultilevel"/>
    <w:lvl w:ilvl="0">
      <w:lvlJc w:val="left"/>
      <w:lvlText w:val="(%1)"/>
      <w:numFmt w:val="lowerRoman"/>
      <w:start w:val="3"/>
    </w:lvl>
  </w:abstractNum>
  <w:abstractNum w:abstractNumId="183">
    <w:nsid w:val="155EC4C2"/>
    <w:multiLevelType w:val="hybridMultilevel"/>
    <w:lvl w:ilvl="0">
      <w:lvlJc w:val="left"/>
      <w:lvlText w:val="(%1)"/>
      <w:numFmt w:val="lowerRoman"/>
      <w:start w:val="1"/>
    </w:lvl>
  </w:abstractNum>
  <w:abstractNum w:abstractNumId="184">
    <w:nsid w:val="65D2A137"/>
    <w:multiLevelType w:val="hybridMultilevel"/>
    <w:lvl w:ilvl="0">
      <w:lvlJc w:val="left"/>
      <w:lvlText w:val="%1"/>
      <w:numFmt w:val="lowerRoman"/>
      <w:start w:val="1"/>
    </w:lvl>
    <w:lvl w:ilvl="1">
      <w:lvlJc w:val="left"/>
      <w:lvlText w:val="(%2)"/>
      <w:numFmt w:val="lowerRoman"/>
      <w:start w:val="1"/>
    </w:lvl>
  </w:abstractNum>
  <w:abstractNum w:abstractNumId="185">
    <w:nsid w:val="6EBB1F2A"/>
    <w:multiLevelType w:val="hybridMultilevel"/>
    <w:lvl w:ilvl="0">
      <w:lvlJc w:val="left"/>
      <w:lvlText w:val="(%1)"/>
      <w:numFmt w:val="lowerRoman"/>
      <w:start w:val="2"/>
    </w:lvl>
    <w:lvl w:ilvl="1">
      <w:lvlJc w:val="left"/>
      <w:lvlText w:val="%2"/>
      <w:numFmt w:val="lowerRoman"/>
      <w:start w:val="1"/>
    </w:lvl>
  </w:abstractNum>
  <w:abstractNum w:abstractNumId="186">
    <w:nsid w:val="6FBF29CB"/>
    <w:multiLevelType w:val="hybridMultilevel"/>
    <w:lvl w:ilvl="0">
      <w:lvlJc w:val="left"/>
      <w:lvlText w:val="(%1)"/>
      <w:numFmt w:val="lowerRoman"/>
      <w:start w:val="1"/>
    </w:lvl>
  </w:abstractNum>
  <w:abstractNum w:abstractNumId="187">
    <w:nsid w:val="550B8808"/>
    <w:multiLevelType w:val="hybridMultilevel"/>
    <w:lvl w:ilvl="0">
      <w:lvlJc w:val="left"/>
      <w:lvlText w:val="(%1)"/>
      <w:numFmt w:val="lowerRoman"/>
      <w:start w:val="2"/>
    </w:lvl>
  </w:abstractNum>
  <w:abstractNum w:abstractNumId="188">
    <w:nsid w:val="34CC3ACF"/>
    <w:multiLevelType w:val="hybridMultilevel"/>
    <w:lvl w:ilvl="0">
      <w:lvlJc w:val="left"/>
      <w:lvlText w:val="(%1)"/>
      <w:numFmt w:val="lowerRoman"/>
      <w:start w:val="3"/>
    </w:lvl>
  </w:abstractNum>
  <w:abstractNum w:abstractNumId="189">
    <w:nsid w:val="4E556261"/>
    <w:multiLevelType w:val="hybridMultilevel"/>
    <w:lvl w:ilvl="0">
      <w:lvlJc w:val="left"/>
      <w:lvlText w:val="(%1)"/>
      <w:numFmt w:val="lowerRoman"/>
      <w:start w:val="1"/>
    </w:lvl>
  </w:abstractNum>
  <w:abstractNum w:abstractNumId="190">
    <w:nsid w:val="4C672FC9"/>
    <w:multiLevelType w:val="hybridMultilevel"/>
    <w:lvl w:ilvl="0">
      <w:lvlJc w:val="left"/>
      <w:lvlText w:val="(%1)"/>
      <w:numFmt w:val="lowerRoman"/>
      <w:start w:val="2"/>
    </w:lvl>
  </w:abstractNum>
  <w:abstractNum w:abstractNumId="191">
    <w:nsid w:val="52A311C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92">
    <w:nsid w:val="44EF6B80"/>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abstractNum>
  <w:abstractNum w:abstractNumId="193">
    <w:nsid w:val="12FCDE5E"/>
    <w:multiLevelType w:val="hybridMultilevel"/>
    <w:lvl w:ilvl="0">
      <w:lvlJc w:val="left"/>
      <w:lvlText w:val="(%1)"/>
      <w:numFmt w:val="lowerRoman"/>
      <w:start w:val="1"/>
    </w:lvl>
    <w:lvl w:ilvl="1">
      <w:lvlJc w:val="left"/>
      <w:lvlText w:val="(%2)"/>
      <w:numFmt w:val="lowerRoman"/>
      <w:start w:val="2"/>
    </w:lvl>
  </w:abstractNum>
  <w:abstractNum w:abstractNumId="194">
    <w:nsid w:val="4A1D606E"/>
    <w:multiLevelType w:val="hybridMultilevel"/>
    <w:lvl w:ilvl="0">
      <w:lvlJc w:val="left"/>
      <w:lvlText w:val="(%1)"/>
      <w:numFmt w:val="lowerRoman"/>
      <w:start w:val="3"/>
    </w:lvl>
  </w:abstractNum>
  <w:abstractNum w:abstractNumId="195">
    <w:nsid w:val="4382503"/>
    <w:multiLevelType w:val="hybridMultilevel"/>
    <w:lvl w:ilvl="0">
      <w:lvlJc w:val="left"/>
      <w:lvlText w:val="(%1)"/>
      <w:numFmt w:val="lowerRoman"/>
      <w:start w:val="5"/>
    </w:lvl>
  </w:abstractNum>
  <w:abstractNum w:abstractNumId="196">
    <w:nsid w:val="59B76E28"/>
    <w:multiLevelType w:val="hybridMultilevel"/>
    <w:lvl w:ilvl="0">
      <w:lvlJc w:val="left"/>
      <w:lvlText w:val="%1."/>
      <w:numFmt w:val="decimal"/>
      <w:start w:val="1"/>
    </w:lvl>
  </w:abstractNum>
  <w:abstractNum w:abstractNumId="197">
    <w:nsid w:val="4252C2DA"/>
    <w:multiLevelType w:val="hybridMultilevel"/>
    <w:lvl w:ilvl="0">
      <w:lvlJc w:val="left"/>
      <w:lvlText w:val="%1."/>
      <w:numFmt w:val="decimal"/>
      <w:start w:val="2"/>
    </w:lvl>
    <w:lvl w:ilvl="1">
      <w:lvlJc w:val="left"/>
      <w:lvlText w:val="(%2)"/>
      <w:numFmt w:val="lowerLetter"/>
      <w:start w:val="1"/>
    </w:lvl>
  </w:abstractNum>
  <w:abstractNum w:abstractNumId="198">
    <w:nsid w:val="6A92EF4C"/>
    <w:multiLevelType w:val="hybridMultilevel"/>
    <w:lvl w:ilvl="0">
      <w:lvlJc w:val="left"/>
      <w:lvlText w:val="%1"/>
      <w:numFmt w:val="decimal"/>
      <w:start w:val="1"/>
    </w:lvl>
    <w:lvl w:ilvl="1">
      <w:lvlJc w:val="left"/>
      <w:lvlText w:val="(%2)"/>
      <w:numFmt w:val="lowerLetter"/>
      <w:start w:val="3"/>
    </w:lvl>
  </w:abstractNum>
  <w:abstractNum w:abstractNumId="199">
    <w:nsid w:val="41ED20D7"/>
    <w:multiLevelType w:val="hybridMultilevel"/>
    <w:lvl w:ilvl="0">
      <w:lvlJc w:val="left"/>
      <w:lvlText w:val="%1."/>
      <w:numFmt w:val="decimal"/>
      <w:start w:val="3"/>
    </w:lvl>
    <w:lvl w:ilvl="1">
      <w:lvlJc w:val="left"/>
      <w:lvlText w:val="%2"/>
      <w:numFmt w:val="lowerLetter"/>
      <w:start w:val="1"/>
    </w:lvl>
  </w:abstractNum>
  <w:abstractNum w:abstractNumId="200">
    <w:nsid w:val="E6B3F6A"/>
    <w:multiLevelType w:val="hybridMultilevel"/>
    <w:lvl w:ilvl="0">
      <w:lvlJc w:val="left"/>
      <w:lvlText w:val="(%1)"/>
      <w:numFmt w:val="lowerLetter"/>
      <w:start w:val="1"/>
    </w:lvl>
  </w:abstractNum>
  <w:abstractNum w:abstractNumId="201">
    <w:nsid w:val="3EB21819"/>
    <w:multiLevelType w:val="hybridMultilevel"/>
    <w:lvl w:ilvl="0">
      <w:lvlJc w:val="left"/>
      <w:lvlText w:val="(%1)"/>
      <w:numFmt w:val="lowerRoman"/>
      <w:start w:val="3"/>
    </w:lvl>
  </w:abstractNum>
  <w:abstractNum w:abstractNumId="202">
    <w:nsid w:val="41531DED"/>
    <w:multiLevelType w:val="hybridMultilevel"/>
    <w:lvl w:ilvl="0">
      <w:lvlJc w:val="left"/>
      <w:lvlText w:val="(%1)"/>
      <w:numFmt w:val="lowerLetter"/>
      <w:start w:val="1"/>
    </w:lvl>
  </w:abstractNum>
  <w:abstractNum w:abstractNumId="203">
    <w:nsid w:val="6353CD2"/>
    <w:multiLevelType w:val="hybridMultilevel"/>
    <w:lvl w:ilvl="0">
      <w:lvlJc w:val="left"/>
      <w:lvlText w:val="(%1)"/>
      <w:numFmt w:val="lowerLetter"/>
      <w:start w:val="7"/>
    </w:lvl>
  </w:abstractNum>
  <w:abstractNum w:abstractNumId="204">
    <w:nsid w:val="683CAA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5">
    <w:nsid w:val="313C7C99"/>
    <w:multiLevelType w:val="hybridMultilevel"/>
    <w:lvl w:ilvl="0">
      <w:lvlJc w:val="left"/>
      <w:lvlText w:val="%1."/>
      <w:numFmt w:val="decimal"/>
      <w:start w:val="5"/>
    </w:lvl>
    <w:lvl w:ilvl="1">
      <w:lvlJc w:val="left"/>
      <w:lvlText w:val="(%2)"/>
      <w:numFmt w:val="lowerLetter"/>
      <w:start w:val="35"/>
    </w:lvl>
    <w:lvl w:ilvl="2">
      <w:lvlJc w:val="left"/>
      <w:lvlText w:val="%3"/>
      <w:numFmt w:val="lowerLetter"/>
      <w:start w:val="1"/>
    </w:lvl>
  </w:abstractNum>
  <w:abstractNum w:abstractNumId="206">
    <w:nsid w:val="519EB94C"/>
    <w:multiLevelType w:val="hybridMultilevel"/>
    <w:lvl w:ilvl="0">
      <w:lvlJc w:val="left"/>
      <w:lvlText w:val="%1."/>
      <w:numFmt w:val="decimal"/>
      <w:start w:val="7"/>
    </w:lvl>
    <w:lvl w:ilvl="1">
      <w:lvlJc w:val="left"/>
      <w:lvlText w:val="(%2)"/>
      <w:numFmt w:val="lowerLetter"/>
      <w:start w:val="1"/>
    </w:lvl>
  </w:abstractNum>
  <w:abstractNum w:abstractNumId="207">
    <w:nsid w:val="39DF2579"/>
    <w:multiLevelType w:val="hybridMultilevel"/>
    <w:lvl w:ilvl="0">
      <w:lvlJc w:val="left"/>
      <w:lvlText w:val="%1."/>
      <w:numFmt w:val="decimal"/>
      <w:start w:val="8"/>
    </w:lvl>
    <w:lvl w:ilvl="1">
      <w:lvlJc w:val="left"/>
      <w:lvlText w:val="(%2)"/>
      <w:numFmt w:val="lowerLetter"/>
      <w:start w:val="4"/>
    </w:lvl>
  </w:abstractNum>
  <w:abstractNum w:abstractNumId="208">
    <w:nsid w:val="126E008B"/>
    <w:multiLevelType w:val="hybridMultilevel"/>
    <w:lvl w:ilvl="0">
      <w:lvlJc w:val="left"/>
      <w:lvlText w:val="%1"/>
      <w:numFmt w:val="decimal"/>
      <w:start w:val="1"/>
    </w:lvl>
    <w:lvl w:ilvl="1">
      <w:lvlJc w:val="left"/>
      <w:lvlText w:val="(%2)"/>
      <w:numFmt w:val="lowerLetter"/>
      <w:start w:val="3"/>
    </w:lvl>
  </w:abstractNum>
  <w:abstractNum w:abstractNumId="209">
    <w:nsid w:val="34DFBC00"/>
    <w:multiLevelType w:val="hybridMultilevel"/>
    <w:lvl w:ilvl="0">
      <w:lvlJc w:val="left"/>
      <w:lvlText w:val="%1."/>
      <w:numFmt w:val="decimal"/>
      <w:start w:val="12"/>
    </w:lvl>
    <w:lvl w:ilvl="1">
      <w:lvlJc w:val="left"/>
      <w:lvlText w:val="%2"/>
      <w:numFmt w:val="lowerLetter"/>
      <w:start w:val="1"/>
    </w:lvl>
  </w:abstractNum>
  <w:abstractNum w:abstractNumId="210">
    <w:nsid w:val="1F9EC322"/>
    <w:multiLevelType w:val="hybridMultilevel"/>
    <w:lvl w:ilvl="0">
      <w:lvlJc w:val="left"/>
      <w:lvlText w:val="(%1)"/>
      <w:numFmt w:val="lowerLetter"/>
      <w:start w:val="1"/>
    </w:lvl>
  </w:abstractNum>
  <w:abstractNum w:abstractNumId="211">
    <w:nsid w:val="3410ED56"/>
    <w:multiLevelType w:val="hybridMultilevel"/>
    <w:lvl w:ilvl="0">
      <w:lvlJc w:val="left"/>
      <w:lvlText w:val="(%1)"/>
      <w:numFmt w:val="lowerLetter"/>
      <w:start w:val="1"/>
    </w:lvl>
  </w:abstractNum>
  <w:abstractNum w:abstractNumId="212">
    <w:nsid w:val="23C049A"/>
    <w:multiLevelType w:val="hybridMultilevel"/>
    <w:lvl w:ilvl="0">
      <w:lvlJc w:val="left"/>
      <w:lvlText w:val="(%1)"/>
      <w:numFmt w:val="lowerLetter"/>
      <w:start w:val="4"/>
    </w:lvl>
  </w:abstractNum>
  <w:abstractNum w:abstractNumId="213">
    <w:nsid w:val="5BDA35D4"/>
    <w:multiLevelType w:val="hybridMultilevel"/>
    <w:lvl w:ilvl="0">
      <w:lvlJc w:val="left"/>
      <w:lvlText w:val="(%1)"/>
      <w:numFmt w:val="lowerLetter"/>
      <w:start w:val="1"/>
    </w:lvl>
  </w:abstractNum>
  <w:abstractNum w:abstractNumId="214">
    <w:nsid w:val="496FB218"/>
    <w:multiLevelType w:val="hybridMultilevel"/>
    <w:lvl w:ilvl="0">
      <w:lvlJc w:val="left"/>
      <w:lvlText w:val="%1"/>
      <w:numFmt w:val="decimal"/>
      <w:start w:val="1"/>
    </w:lvl>
    <w:lvl w:ilvl="1">
      <w:lvlJc w:val="left"/>
      <w:lvlText w:val="(%2)"/>
      <w:numFmt w:val="lowerLetter"/>
      <w:start w:val="1"/>
    </w:lvl>
  </w:abstractNum>
  <w:abstractNum w:abstractNumId="215">
    <w:nsid w:val="680EA5D1"/>
    <w:multiLevelType w:val="hybridMultilevel"/>
    <w:lvl w:ilvl="0">
      <w:lvlJc w:val="left"/>
      <w:lvlText w:val="%1."/>
      <w:numFmt w:val="decimal"/>
      <w:start w:val="13"/>
    </w:lvl>
    <w:lvl w:ilvl="1">
      <w:lvlJc w:val="left"/>
      <w:lvlText w:val="%2"/>
      <w:numFmt w:val="lowerLetter"/>
      <w:start w:val="1"/>
    </w:lvl>
  </w:abstractNum>
  <w:abstractNum w:abstractNumId="216">
    <w:nsid w:val="4A9554FE"/>
    <w:multiLevelType w:val="hybridMultilevel"/>
    <w:lvl w:ilvl="0">
      <w:lvlJc w:val="left"/>
      <w:lvlText w:val="(%1)"/>
      <w:numFmt w:val="decimal"/>
      <w:start w:val="15"/>
    </w:lvl>
  </w:abstractNum>
  <w:abstractNum w:abstractNumId="217">
    <w:nsid w:val="392EDBE4"/>
    <w:multiLevelType w:val="hybridMultilevel"/>
    <w:lvl w:ilvl="0">
      <w:lvlJc w:val="left"/>
      <w:lvlText w:val="§"/>
      <w:numFmt w:val="bullet"/>
      <w:start w:val="1"/>
    </w:lvl>
  </w:abstractNum>
  <w:abstractNum w:abstractNumId="218">
    <w:nsid w:val="3D1A2DD9"/>
    <w:multiLevelType w:val="hybridMultilevel"/>
    <w:lvl w:ilvl="0">
      <w:lvlJc w:val="left"/>
      <w:lvlText w:val="%1."/>
      <w:numFmt w:val="decimal"/>
      <w:start w:val="15"/>
    </w:lvl>
  </w:abstractNum>
  <w:abstractNum w:abstractNumId="219">
    <w:nsid w:val="7F618FCD"/>
    <w:multiLevelType w:val="hybridMultilevel"/>
    <w:lvl w:ilvl="0">
      <w:lvlJc w:val="left"/>
      <w:lvlText w:val="%1."/>
      <w:numFmt w:val="decimal"/>
      <w:start w:val="1"/>
    </w:lvl>
    <w:lvl w:ilvl="1">
      <w:lvlJc w:val="left"/>
      <w:lvlText w:val="(%2)"/>
      <w:numFmt w:val="lowerLetter"/>
      <w:start w:val="1"/>
    </w:lvl>
  </w:abstractNum>
  <w:abstractNum w:abstractNumId="220">
    <w:nsid w:val="7843E45"/>
    <w:multiLevelType w:val="hybridMultilevel"/>
    <w:lvl w:ilvl="0">
      <w:lvlJc w:val="left"/>
      <w:lvlText w:val="(%1)"/>
      <w:numFmt w:val="lowerRoman"/>
      <w:start w:val="1"/>
    </w:lvl>
  </w:abstractNum>
  <w:abstractNum w:abstractNumId="221">
    <w:nsid w:val="9815DA3"/>
    <w:multiLevelType w:val="hybridMultilevel"/>
    <w:lvl w:ilvl="0">
      <w:lvlJc w:val="left"/>
      <w:lvlText w:val="(%1)"/>
      <w:numFmt w:val="lowerRoman"/>
      <w:start w:val="4"/>
    </w:lvl>
  </w:abstractNum>
  <w:abstractNum w:abstractNumId="222">
    <w:nsid w:val="5204A19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23">
    <w:nsid w:val="4C73A9C6"/>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24">
    <w:nsid w:val="1C7E3C01"/>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225">
    <w:nsid w:val="1C2201F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26">
    <w:nsid w:val="50ABCEC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27">
    <w:nsid w:val="7635AA2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28">
    <w:nsid w:val="5E74C4D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229">
    <w:nsid w:val="3B3EBE1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30">
    <w:nsid w:val="3822CB01"/>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31">
    <w:nsid w:val="6CE00443"/>
    <w:multiLevelType w:val="hybridMultilevel"/>
    <w:lvl w:ilvl="0">
      <w:lvlJc w:val="left"/>
      <w:lvlText w:val="(%1)"/>
      <w:numFmt w:val="lowerLetter"/>
      <w:start w:val="2"/>
    </w:lvl>
    <w:lvl w:ilvl="1">
      <w:lvlJc w:val="left"/>
      <w:lvlText w:val="-"/>
      <w:numFmt w:val="bullet"/>
      <w:start w:val="1"/>
    </w:lvl>
  </w:abstractNum>
  <w:abstractNum w:abstractNumId="232">
    <w:nsid w:val="79F0D62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
      <w:numFmt w:val="bullet"/>
      <w:start w:val="1"/>
    </w:lvl>
  </w:abstractNum>
  <w:abstractNum w:abstractNumId="233">
    <w:nsid w:val="7975E8EE"/>
    <w:multiLevelType w:val="hybridMultilevel"/>
    <w:lvl w:ilvl="0">
      <w:lvlJc w:val="left"/>
      <w:lvlText w:val="%1"/>
      <w:numFmt w:val="upperLetter"/>
      <w:start w:val="1"/>
    </w:lvl>
    <w:lvl w:ilvl="1">
      <w:lvlJc w:val="left"/>
      <w:lvlText w:val="%2."/>
      <w:numFmt w:val="decimal"/>
      <w:start w:val="11"/>
    </w:lvl>
    <w:lvl w:ilvl="2">
      <w:lvlJc w:val="left"/>
      <w:lvlText w:val="(%3)"/>
      <w:numFmt w:val="lowerLetter"/>
      <w:start w:val="1"/>
    </w:lvl>
    <w:lvl w:ilvl="3">
      <w:lvlJc w:val="left"/>
      <w:lvlText w:val="-"/>
      <w:numFmt w:val="bullet"/>
      <w:start w:val="1"/>
    </w:lvl>
  </w:abstractNum>
  <w:abstractNum w:abstractNumId="234">
    <w:nsid w:val="7315411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35">
    <w:nsid w:val="622D810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36">
    <w:nsid w:val="2AB26587"/>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37">
    <w:nsid w:val="44B3FA61"/>
    <w:multiLevelType w:val="hybridMultilevel"/>
    <w:lvl w:ilvl="0">
      <w:lvlJc w:val="left"/>
      <w:lvlText w:val="%1."/>
      <w:numFmt w:val="decimal"/>
      <w:start w:val="14"/>
    </w:lvl>
    <w:lvl w:ilvl="1">
      <w:lvlJc w:val="left"/>
      <w:lvlText w:val="-"/>
      <w:numFmt w:val="bullet"/>
      <w:start w:val="1"/>
    </w:lvl>
  </w:abstractNum>
  <w:abstractNum w:abstractNumId="238">
    <w:nsid w:val="1C0CA67C"/>
    <w:multiLevelType w:val="hybridMultilevel"/>
    <w:lvl w:ilvl="0">
      <w:lvlJc w:val="left"/>
      <w:lvlText w:val="%1."/>
      <w:numFmt w:val="decimal"/>
      <w:start w:val="18"/>
    </w:lvl>
    <w:lvl w:ilvl="1">
      <w:lvlJc w:val="left"/>
      <w:lvlText w:val="-"/>
      <w:numFmt w:val="bullet"/>
      <w:start w:val="1"/>
    </w:lvl>
  </w:abstractNum>
  <w:abstractNum w:abstractNumId="239">
    <w:nsid w:val="3D206613"/>
    <w:multiLevelType w:val="hybridMultilevel"/>
    <w:lvl w:ilvl="0">
      <w:lvlJc w:val="left"/>
      <w:lvlText w:val="%1."/>
      <w:numFmt w:val="decimal"/>
      <w:start w:val="22"/>
    </w:lvl>
    <w:lvl w:ilvl="1">
      <w:lvlJc w:val="left"/>
      <w:lvlText w:val="(%2)"/>
      <w:numFmt w:val="lowerLetter"/>
      <w:start w:val="1"/>
    </w:lvl>
  </w:abstractNum>
  <w:abstractNum w:abstractNumId="240">
    <w:nsid w:val="7993B662"/>
    <w:multiLevelType w:val="hybridMultilevel"/>
    <w:lvl w:ilvl="0">
      <w:lvlJc w:val="left"/>
      <w:lvlText w:val="%1."/>
      <w:numFmt w:val="decimal"/>
      <w:start w:val="26"/>
    </w:lvl>
  </w:abstractNum>
  <w:abstractNum w:abstractNumId="241">
    <w:nsid w:val="3BAB699E"/>
    <w:multiLevelType w:val="hybridMultilevel"/>
    <w:lvl w:ilvl="0">
      <w:lvlJc w:val="left"/>
      <w:lvlText w:val="%1."/>
      <w:numFmt w:val="decimal"/>
      <w:start w:val="1"/>
    </w:lvl>
    <w:lvl w:ilvl="1">
      <w:lvlJc w:val="left"/>
      <w:lvlText w:val="•"/>
      <w:numFmt w:val="bullet"/>
      <w:start w:val="1"/>
    </w:lvl>
  </w:abstractNum>
  <w:abstractNum w:abstractNumId="242">
    <w:nsid w:val="7131536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43">
    <w:nsid w:val="7BCFBAFC"/>
    <w:multiLevelType w:val="hybridMultilevel"/>
    <w:lvl w:ilvl="0">
      <w:lvlJc w:val="left"/>
      <w:lvlText w:val="(%1)"/>
      <w:numFmt w:val="lowerRoman"/>
      <w:start w:val="2"/>
    </w:lvl>
  </w:abstractNum>
  <w:abstractNum w:abstractNumId="244">
    <w:nsid w:val="17859F72"/>
    <w:multiLevelType w:val="hybridMultilevel"/>
    <w:lvl w:ilvl="0">
      <w:lvlJc w:val="left"/>
      <w:lvlText w:val="(%1)"/>
      <w:numFmt w:val="lowerLetter"/>
      <w:start w:val="7"/>
    </w:lvl>
  </w:abstractNum>
  <w:abstractNum w:abstractNumId="245">
    <w:nsid w:val="3AA10581"/>
    <w:multiLevelType w:val="hybridMultilevel"/>
    <w:lvl w:ilvl="0">
      <w:lvlJc w:val="left"/>
      <w:lvlText w:val="(%1)"/>
      <w:numFmt w:val="lowerLetter"/>
      <w:start w:val="8"/>
    </w:lvl>
  </w:abstractNum>
  <w:abstractNum w:abstractNumId="246">
    <w:nsid w:val="63DE60CD"/>
    <w:multiLevelType w:val="hybridMultilevel"/>
    <w:lvl w:ilvl="0">
      <w:lvlJc w:val="left"/>
      <w:lvlText w:val="(%1)"/>
      <w:numFmt w:val="lowerRoman"/>
      <w:start w:val="1"/>
    </w:lvl>
  </w:abstractNum>
  <w:abstractNum w:abstractNumId="247">
    <w:nsid w:val="621AF471"/>
    <w:multiLevelType w:val="hybridMultilevel"/>
    <w:lvl w:ilvl="0">
      <w:lvlJc w:val="left"/>
      <w:lvlText w:val="%1"/>
      <w:numFmt w:val="lowerLetter"/>
      <w:start w:val="1"/>
    </w:lvl>
    <w:lvl w:ilvl="1">
      <w:lvlJc w:val="left"/>
      <w:lvlText w:val="(%2)"/>
      <w:numFmt w:val="lowerRoman"/>
      <w:start w:val="2"/>
    </w:lvl>
  </w:abstractNum>
  <w:abstractNum w:abstractNumId="248">
    <w:nsid w:val="73CFE165"/>
    <w:multiLevelType w:val="hybridMultilevel"/>
    <w:lvl w:ilvl="0">
      <w:lvlJc w:val="left"/>
      <w:lvlText w:val="(%1)"/>
      <w:numFmt w:val="lowerLetter"/>
      <w:start w:val="18"/>
    </w:lvl>
    <w:lvl w:ilvl="1">
      <w:lvlJc w:val="left"/>
      <w:lvlText w:val="%2"/>
      <w:numFmt w:val="lowerRoman"/>
      <w:start w:val="1"/>
    </w:lvl>
  </w:abstractNum>
  <w:abstractNum w:abstractNumId="249">
    <w:nsid w:val="20F88EA6"/>
    <w:multiLevelType w:val="hybridMultilevel"/>
    <w:lvl w:ilvl="0">
      <w:lvlJc w:val="left"/>
      <w:lvlText w:val="(%1)"/>
      <w:numFmt w:val="lowerLetter"/>
      <w:start w:val="27"/>
    </w:lvl>
  </w:abstractNum>
  <w:abstractNum w:abstractNumId="250">
    <w:nsid w:val="617C84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0"/>
    </w:lvl>
  </w:abstractNum>
  <w:abstractNum w:abstractNumId="251">
    <w:nsid w:val="7B541FA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52">
    <w:nsid w:val="2A79EC4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53">
    <w:nsid w:val="338125C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254">
    <w:nsid w:val="47C7C97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55">
    <w:nsid w:val="46F8284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256">
    <w:nsid w:val="4FA327C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57">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258">
    <w:nsid w:val="3D2DD27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9">
    <w:nsid w:val="2E17ECA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0">
    <w:nsid w:val="53B2564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61">
    <w:nsid w:val="75509D7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262">
    <w:nsid w:val="1AF7F0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2"/>
    </w:lvl>
  </w:abstractNum>
  <w:abstractNum w:abstractNumId="263">
    <w:nsid w:val="4DA32C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decimal"/>
      <w:start w:val="1"/>
    </w:lvl>
  </w:abstractNum>
  <w:abstractNum w:abstractNumId="264">
    <w:nsid w:val="6EC686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265">
    <w:nsid w:val="E0D31FF"/>
    <w:multiLevelType w:val="hybridMultilevel"/>
    <w:lvl w:ilvl="0">
      <w:lvlJc w:val="left"/>
      <w:lvlText w:val="(%1)"/>
      <w:numFmt w:val="decimal"/>
      <w:start w:val="7"/>
    </w:lvl>
    <w:lvl w:ilvl="1">
      <w:lvlJc w:val="left"/>
      <w:lvlText w:val="(%2)"/>
      <w:numFmt w:val="lowerLetter"/>
      <w:start w:val="4"/>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266">
    <w:nsid w:val="2FD0AD81"/>
    <w:multiLevelType w:val="hybridMultilevel"/>
    <w:lvl w:ilvl="0">
      <w:lvlJc w:val="left"/>
      <w:lvlText w:val="(%1)"/>
      <w:numFmt w:val="lowerRoman"/>
      <w:start w:val="2"/>
    </w:lvl>
  </w:abstractNum>
  <w:abstractNum w:abstractNumId="267">
    <w:nsid w:val="1978EBEB"/>
    <w:multiLevelType w:val="hybridMultilevel"/>
    <w:lvl w:ilvl="0">
      <w:lvlJc w:val="left"/>
      <w:lvlText w:val="%1."/>
      <w:numFmt w:val="decimal"/>
      <w:start w:val="7"/>
    </w:lvl>
    <w:lvl w:ilvl="1">
      <w:lvlJc w:val="left"/>
      <w:lvlText w:val="(%2)"/>
      <w:numFmt w:val="lowerLetter"/>
      <w:start w:val="1"/>
    </w:lvl>
  </w:abstractNum>
  <w:abstractNum w:abstractNumId="268">
    <w:nsid w:val="52C12C61"/>
    <w:multiLevelType w:val="hybridMultilevel"/>
    <w:lvl w:ilvl="0">
      <w:lvlJc w:val="left"/>
      <w:lvlText w:val="%1."/>
      <w:numFmt w:val="decimal"/>
      <w:start w:val="8"/>
    </w:lvl>
    <w:lvl w:ilvl="1">
      <w:lvlJc w:val="left"/>
      <w:lvlText w:val="(%2)"/>
      <w:numFmt w:val="lowerLetter"/>
      <w:start w:val="1"/>
    </w:lvl>
  </w:abstractNum>
  <w:abstractNum w:abstractNumId="269">
    <w:nsid w:val="4BDD53FD"/>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270">
    <w:nsid w:val="569951F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71">
    <w:nsid w:val="4C54E2C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272">
    <w:nsid w:val="788BD9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273">
    <w:nsid w:val="47CAA567"/>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74">
    <w:nsid w:val="48249DBF"/>
    <w:multiLevelType w:val="hybridMultilevel"/>
    <w:lvl w:ilvl="0">
      <w:lvlJc w:val="left"/>
      <w:lvlText w:val="(%1)"/>
      <w:numFmt w:val="lowerLetter"/>
      <w:start w:val="2"/>
    </w:lvl>
  </w:abstractNum>
  <w:abstractNum w:abstractNumId="275">
    <w:nsid w:val="1F0E5D0D"/>
    <w:multiLevelType w:val="hybridMultilevel"/>
    <w:lvl w:ilvl="0">
      <w:lvlJc w:val="left"/>
      <w:lvlText w:val="(%1)"/>
      <w:numFmt w:val="lowerLetter"/>
      <w:start w:val="4"/>
    </w:lvl>
  </w:abstractNum>
  <w:abstractNum w:abstractNumId="276">
    <w:nsid w:val="26BAAE9"/>
    <w:multiLevelType w:val="hybridMultilevel"/>
    <w:lvl w:ilvl="0">
      <w:lvlJc w:val="left"/>
      <w:lvlText w:val="%1."/>
      <w:numFmt w:val="decimal"/>
      <w:start w:val="14"/>
    </w:lvl>
    <w:lvl w:ilvl="1">
      <w:lvlJc w:val="left"/>
      <w:lvlText w:val="(%2)"/>
      <w:numFmt w:val="lowerLetter"/>
      <w:start w:val="1"/>
    </w:lvl>
  </w:abstractNum>
  <w:abstractNum w:abstractNumId="277">
    <w:nsid w:val="2C02FE8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lvl w:ilvl="3">
      <w:lvlJc w:val="left"/>
      <w:lvlText w:val="(%4)"/>
      <w:numFmt w:val="lowerLetter"/>
      <w:start w:val="2"/>
    </w:lvl>
    <w:lvl w:ilvl="4">
      <w:lvlJc w:val="left"/>
      <w:lvlText w:val="(%5)"/>
      <w:numFmt w:val="lowerLetter"/>
      <w:start w:val="2"/>
    </w:lvl>
  </w:abstractNum>
  <w:abstractNum w:abstractNumId="278">
    <w:nsid w:val="129517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79">
    <w:nsid w:val="763B8C4E"/>
    <w:multiLevelType w:val="hybridMultilevel"/>
    <w:lvl w:ilvl="0">
      <w:lvlJc w:val="left"/>
      <w:lvlText w:val="%1"/>
      <w:numFmt w:val="decimal"/>
      <w:start w:val="1"/>
    </w:lvl>
    <w:lvl w:ilvl="1">
      <w:lvlJc w:val="left"/>
      <w:lvlText w:val="%2."/>
      <w:numFmt w:val="decimal"/>
      <w:start w:val="20"/>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80">
    <w:nsid w:val="4CFB8D32"/>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81">
    <w:nsid w:val="62A5D5BD"/>
    <w:multiLevelType w:val="hybridMultilevel"/>
    <w:lvl w:ilvl="0">
      <w:lvlJc w:val="left"/>
      <w:lvlText w:val="%1."/>
      <w:numFmt w:val="decimal"/>
      <w:start w:val="1"/>
    </w:lvl>
  </w:abstractNum>
  <w:abstractNum w:abstractNumId="282">
    <w:nsid w:val="718FABF9"/>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83">
    <w:nsid w:val="7775797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84">
    <w:nsid w:val="1626FB8C"/>
    <w:multiLevelType w:val="hybridMultilevel"/>
    <w:lvl w:ilvl="0">
      <w:lvlJc w:val="left"/>
      <w:lvlText w:val="%1."/>
      <w:numFmt w:val="decimal"/>
      <w:start w:val="7"/>
    </w:lvl>
    <w:lvl w:ilvl="1">
      <w:lvlJc w:val="left"/>
      <w:lvlText w:val="-"/>
      <w:numFmt w:val="bullet"/>
      <w:start w:val="1"/>
    </w:lvl>
  </w:abstractNum>
  <w:abstractNum w:abstractNumId="285">
    <w:nsid w:val="3957756A"/>
    <w:multiLevelType w:val="hybridMultilevel"/>
    <w:lvl w:ilvl="0">
      <w:lvlJc w:val="left"/>
      <w:lvlText w:val="%1."/>
      <w:numFmt w:val="decimal"/>
      <w:start w:val="13"/>
    </w:lvl>
    <w:lvl w:ilvl="1">
      <w:lvlJc w:val="left"/>
      <w:lvlText w:val="-"/>
      <w:numFmt w:val="bullet"/>
      <w:start w:val="1"/>
    </w:lvl>
  </w:abstractNum>
  <w:abstractNum w:abstractNumId="286">
    <w:nsid w:val="3E6DA1C7"/>
    <w:multiLevelType w:val="hybridMultilevel"/>
    <w:lvl w:ilvl="0">
      <w:lvlJc w:val="left"/>
      <w:lvlText w:val="%1."/>
      <w:numFmt w:val="decimal"/>
      <w:start w:val="19"/>
    </w:lvl>
    <w:lvl w:ilvl="1">
      <w:lvlJc w:val="left"/>
      <w:lvlText w:val="-"/>
      <w:numFmt w:val="bullet"/>
      <w:start w:val="1"/>
    </w:lvl>
  </w:abstractNum>
  <w:abstractNum w:abstractNumId="287">
    <w:nsid w:val="65CA235B"/>
    <w:multiLevelType w:val="hybridMultilevel"/>
    <w:lvl w:ilvl="0">
      <w:lvlJc w:val="left"/>
      <w:lvlText w:val="%1."/>
      <w:numFmt w:val="decimal"/>
      <w:start w:val="2"/>
    </w:lvl>
    <w:lvl w:ilvl="1">
      <w:lvlJc w:val="left"/>
      <w:lvlText w:val="-"/>
      <w:numFmt w:val="bullet"/>
      <w:start w:val="1"/>
    </w:lvl>
  </w:abstractNum>
  <w:abstractNum w:abstractNumId="288">
    <w:nsid w:val="51CB0DA4"/>
    <w:multiLevelType w:val="hybridMultilevel"/>
    <w:lvl w:ilvl="0">
      <w:lvlJc w:val="left"/>
      <w:lvlText w:val="%1."/>
      <w:numFmt w:val="decimal"/>
      <w:start w:val="6"/>
    </w:lvl>
  </w:abstractNum>
  <w:abstractNum w:abstractNumId="289">
    <w:nsid w:val="7B9B743C"/>
    <w:multiLevelType w:val="hybridMultilevel"/>
    <w:lvl w:ilvl="0">
      <w:lvlJc w:val="left"/>
      <w:lvlText w:val="%1."/>
      <w:numFmt w:val="decimal"/>
      <w:start w:val="1"/>
    </w:lvl>
  </w:abstractNum>
  <w:abstractNum w:abstractNumId="290">
    <w:nsid w:val="13E21002"/>
    <w:multiLevelType w:val="hybridMultilevel"/>
    <w:lvl w:ilvl="0">
      <w:lvlJc w:val="left"/>
      <w:lvlText w:val="%1."/>
      <w:numFmt w:val="decimal"/>
      <w:start w:val="5"/>
    </w:lvl>
    <w:lvl w:ilvl="1">
      <w:lvlJc w:val="left"/>
      <w:lvlText w:val="-"/>
      <w:numFmt w:val="bullet"/>
      <w:start w:val="1"/>
    </w:lvl>
  </w:abstractNum>
  <w:abstractNum w:abstractNumId="291">
    <w:nsid w:val="257D63F4"/>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292">
    <w:nsid w:val="70EC11B2"/>
    <w:multiLevelType w:val="hybridMultilevel"/>
    <w:lvl w:ilvl="0">
      <w:lvlJc w:val="left"/>
      <w:lvlText w:val="%1."/>
      <w:numFmt w:val="upperLetter"/>
      <w:start w:val="9"/>
    </w:lvl>
    <w:lvl w:ilvl="1">
      <w:lvlJc w:val="left"/>
      <w:lvlText w:val="%2."/>
      <w:numFmt w:val="decimal"/>
      <w:start w:val="10"/>
    </w:lvl>
    <w:lvl w:ilvl="2">
      <w:lvlJc w:val="left"/>
      <w:lvlText w:val="-"/>
      <w:numFmt w:val="bullet"/>
      <w:start w:val="1"/>
    </w:lvl>
  </w:abstractNum>
  <w:abstractNum w:abstractNumId="293">
    <w:nsid w:val="2EDA00ED"/>
    <w:multiLevelType w:val="hybridMultilevel"/>
    <w:lvl w:ilvl="0">
      <w:lvlJc w:val="left"/>
      <w:lvlText w:val="%1."/>
      <w:numFmt w:val="decimal"/>
      <w:start w:val="12"/>
    </w:lvl>
    <w:lvl w:ilvl="1">
      <w:lvlJc w:val="left"/>
      <w:lvlText w:val="-"/>
      <w:numFmt w:val="bullet"/>
      <w:start w:val="1"/>
    </w:lvl>
  </w:abstractNum>
  <w:abstractNum w:abstractNumId="294">
    <w:nsid w:val="73209072"/>
    <w:multiLevelType w:val="hybridMultilevel"/>
    <w:lvl w:ilvl="0">
      <w:lvlJc w:val="left"/>
      <w:lvlText w:val="%1."/>
      <w:numFmt w:val="decimal"/>
      <w:start w:val="18"/>
    </w:lvl>
    <w:lvl w:ilvl="1">
      <w:lvlJc w:val="left"/>
      <w:lvlText w:val="-"/>
      <w:numFmt w:val="bullet"/>
      <w:start w:val="1"/>
    </w:lvl>
  </w:abstractNum>
  <w:abstractNum w:abstractNumId="295">
    <w:nsid w:val="5FB29816"/>
    <w:multiLevelType w:val="hybridMultilevel"/>
    <w:lvl w:ilvl="0">
      <w:lvlJc w:val="left"/>
      <w:lvlText w:val="[***]"/>
      <w:numFmt w:val="bullet"/>
      <w:start w:val="1"/>
    </w:lvl>
  </w:abstractNum>
  <w:abstractNum w:abstractNumId="296">
    <w:nsid w:val="3CE732EC"/>
    <w:multiLevelType w:val="hybridMultilevel"/>
    <w:lvl w:ilvl="0">
      <w:lvlJc w:val="left"/>
      <w:lvlText w:val="[***]"/>
      <w:numFmt w:val="bullet"/>
      <w:start w:val="1"/>
    </w:lvl>
  </w:abstractNum>
  <w:abstractNum w:abstractNumId="297">
    <w:nsid w:val="22F13DF3"/>
    <w:multiLevelType w:val="hybridMultilevel"/>
    <w:lvl w:ilvl="0">
      <w:lvlJc w:val="left"/>
      <w:lvlText w:val="(%1)"/>
      <w:numFmt w:val="lowerRoman"/>
      <w:start w:val="1"/>
    </w:lvl>
  </w:abstractNum>
  <w:abstractNum w:abstractNumId="298">
    <w:nsid w:val="792B8401"/>
    <w:multiLevelType w:val="hybridMultilevel"/>
    <w:lvl w:ilvl="0">
      <w:lvlJc w:val="left"/>
      <w:lvlText w:val="[***]"/>
      <w:numFmt w:val="bullet"/>
      <w:start w:val="1"/>
    </w:lvl>
  </w:abstractNum>
  <w:abstractNum w:abstractNumId="299">
    <w:nsid w:val="FA85F4D"/>
    <w:multiLevelType w:val="hybridMultilevel"/>
    <w:lvl w:ilvl="0">
      <w:lvlJc w:val="left"/>
      <w:lvlText w:val="[***]"/>
      <w:numFmt w:val="bullet"/>
      <w:start w:val="1"/>
    </w:lvl>
  </w:abstractNum>
  <w:abstractNum w:abstractNumId="300">
    <w:nsid w:val="6ECE91F0"/>
    <w:multiLevelType w:val="hybridMultilevel"/>
    <w:lvl w:ilvl="0">
      <w:lvlJc w:val="left"/>
      <w:lvlText w:val="[***]"/>
      <w:numFmt w:val="bullet"/>
      <w:start w:val="1"/>
    </w:lvl>
  </w:abstractNum>
  <w:abstractNum w:abstractNumId="301">
    <w:nsid w:val="4FC4D600"/>
    <w:multiLevelType w:val="hybridMultilevel"/>
    <w:lvl w:ilvl="0">
      <w:lvlJc w:val="left"/>
      <w:lvlText w:val="(%1)"/>
      <w:numFmt w:val="lowerLetter"/>
      <w:start w:val="1"/>
    </w:lvl>
  </w:abstractNum>
  <w:abstractNum w:abstractNumId="302">
    <w:nsid w:val="5BFD4210"/>
    <w:multiLevelType w:val="hybridMultilevel"/>
    <w:lvl w:ilvl="0">
      <w:lvlJc w:val="left"/>
      <w:lvlText w:val="[***]"/>
      <w:numFmt w:val="bullet"/>
      <w:start w:val="1"/>
    </w:lvl>
  </w:abstractNum>
  <w:abstractNum w:abstractNumId="303">
    <w:nsid w:val="76574F8B"/>
    <w:multiLevelType w:val="hybridMultilevel"/>
    <w:lvl w:ilvl="0">
      <w:lvlJc w:val="left"/>
      <w:lvlText w:val="%1"/>
      <w:numFmt w:val="lowerLetter"/>
      <w:start w:val="1"/>
    </w:lvl>
    <w:lvl w:ilvl="1">
      <w:lvlJc w:val="left"/>
      <w:lvlText w:val="(%2)"/>
      <w:numFmt w:val="lowerRoman"/>
      <w:start w:val="1"/>
    </w:lvl>
  </w:abstractNum>
  <w:abstractNum w:abstractNumId="304">
    <w:nsid w:val="178F7B67"/>
    <w:multiLevelType w:val="hybridMultilevel"/>
    <w:lvl w:ilvl="0">
      <w:lvlJc w:val="left"/>
      <w:lvlText w:val="(%1)"/>
      <w:numFmt w:val="lowerLetter"/>
      <w:start w:val="5"/>
    </w:lvl>
    <w:lvl w:ilvl="1">
      <w:lvlJc w:val="left"/>
      <w:lvlText w:val="%2"/>
      <w:numFmt w:val="lowerRoman"/>
      <w:start w:val="1"/>
    </w:lvl>
  </w:abstractNum>
  <w:abstractNum w:abstractNumId="305">
    <w:nsid w:val="2421DFCF"/>
    <w:multiLevelType w:val="hybridMultilevel"/>
    <w:lvl w:ilvl="0">
      <w:lvlJc w:val="left"/>
      <w:lvlText w:val="[***]"/>
      <w:numFmt w:val="bullet"/>
      <w:start w:val="1"/>
    </w:lvl>
  </w:abstractNum>
  <w:abstractNum w:abstractNumId="306">
    <w:nsid w:val="1565AC99"/>
    <w:multiLevelType w:val="hybridMultilevel"/>
    <w:lvl w:ilvl="0">
      <w:lvlJc w:val="left"/>
      <w:lvlText w:val="(%1)"/>
      <w:numFmt w:val="lowerLetter"/>
      <w:start w:val="2"/>
    </w:lvl>
    <w:lvl w:ilvl="1">
      <w:lvlJc w:val="left"/>
      <w:lvlText w:val="(%2)"/>
      <w:numFmt w:val="lowerRoman"/>
      <w:start w:val="1"/>
    </w:lvl>
  </w:abstractNum>
  <w:abstractNum w:abstractNumId="307">
    <w:nsid w:val="19FB2650"/>
    <w:multiLevelType w:val="hybridMultilevel"/>
    <w:lvl w:ilvl="0">
      <w:lvlJc w:val="left"/>
      <w:lvlText w:val="(%1)"/>
      <w:numFmt w:val="decimal"/>
      <w:start w:val="1"/>
    </w:lvl>
  </w:abstractNum>
  <w:abstractNum w:abstractNumId="308">
    <w:nsid w:val="5024DE5B"/>
    <w:multiLevelType w:val="hybridMultilevel"/>
    <w:lvl w:ilvl="0">
      <w:lvlJc w:val="left"/>
      <w:lvlText w:val="[***]"/>
      <w:numFmt w:val="bullet"/>
      <w:start w:val="1"/>
    </w:lvl>
    <w:lvl w:ilvl="1">
      <w:lvlJc w:val="left"/>
      <w:lvlText w:val="(%2)"/>
      <w:numFmt w:val="lowerRoman"/>
      <w:start w:val="3"/>
    </w:lvl>
  </w:abstractNum>
  <w:abstractNum w:abstractNumId="309">
    <w:nsid w:val="168EFE17"/>
    <w:multiLevelType w:val="hybridMultilevel"/>
    <w:lvl w:ilvl="0">
      <w:lvlJc w:val="left"/>
      <w:lvlText w:val="(%1)"/>
      <w:numFmt w:val="lowerLetter"/>
      <w:start w:val="4"/>
    </w:lvl>
  </w:abstractNum>
  <w:abstractNum w:abstractNumId="310">
    <w:nsid w:val="1036B29F"/>
    <w:multiLevelType w:val="hybridMultilevel"/>
    <w:lvl w:ilvl="0">
      <w:lvlJc w:val="left"/>
      <w:lvlText w:val="[***]"/>
      <w:numFmt w:val="bullet"/>
      <w:start w:val="1"/>
    </w:lvl>
  </w:abstractNum>
  <w:abstractNum w:abstractNumId="311">
    <w:nsid w:val="1D206B8E"/>
    <w:multiLevelType w:val="hybridMultilevel"/>
    <w:lvl w:ilvl="0">
      <w:lvlJc w:val="left"/>
      <w:lvlText w:val="(%1)"/>
      <w:numFmt w:val="lowerLetter"/>
      <w:start w:val="5"/>
    </w:lvl>
  </w:abstractNum>
  <w:abstractNum w:abstractNumId="312">
    <w:nsid w:val="7934D3D4"/>
    <w:multiLevelType w:val="hybridMultilevel"/>
    <w:lvl w:ilvl="0">
      <w:lvlJc w:val="left"/>
      <w:lvlText w:val="[***]"/>
      <w:numFmt w:val="bullet"/>
      <w:start w:val="1"/>
    </w:lvl>
  </w:abstractNum>
  <w:abstractNum w:abstractNumId="313">
    <w:nsid w:val="1C65E98"/>
    <w:multiLevelType w:val="hybridMultilevel"/>
    <w:lvl w:ilvl="0">
      <w:lvlJc w:val="left"/>
      <w:lvlText w:val="%1"/>
      <w:numFmt w:val="lowerLetter"/>
      <w:start w:val="1"/>
    </w:lvl>
    <w:lvl w:ilvl="1">
      <w:lvlJc w:val="left"/>
      <w:lvlText w:val="(%2)"/>
      <w:numFmt w:val="lowerRoman"/>
      <w:start w:val="1"/>
    </w:lvl>
  </w:abstractNum>
  <w:abstractNum w:abstractNumId="314">
    <w:nsid w:val="1495E50A"/>
    <w:multiLevelType w:val="hybridMultilevel"/>
    <w:lvl w:ilvl="0">
      <w:lvlJc w:val="left"/>
      <w:lvlText w:val="(%1)"/>
      <w:numFmt w:val="lowerLetter"/>
      <w:start w:val="2"/>
    </w:lvl>
    <w:lvl w:ilvl="1">
      <w:lvlJc w:val="left"/>
      <w:lvlText w:val="%2"/>
      <w:numFmt w:val="lowerRoman"/>
      <w:start w:val="1"/>
    </w:lvl>
  </w:abstractNum>
  <w:abstractNum w:abstractNumId="315">
    <w:nsid w:val="F5BCF61"/>
    <w:multiLevelType w:val="hybridMultilevel"/>
    <w:lvl w:ilvl="0">
      <w:lvlJc w:val="left"/>
      <w:lvlText w:val="[***]"/>
      <w:numFmt w:val="bullet"/>
      <w:start w:val="1"/>
    </w:lvl>
  </w:abstractNum>
  <w:abstractNum w:abstractNumId="316">
    <w:nsid w:val="3B1DD403"/>
    <w:multiLevelType w:val="hybridMultilevel"/>
    <w:lvl w:ilvl="0">
      <w:lvlJc w:val="left"/>
      <w:lvlText w:val="(%1)"/>
      <w:numFmt w:val="lowerLetter"/>
      <w:start w:val="3"/>
    </w:lvl>
  </w:abstractNum>
  <w:abstractNum w:abstractNumId="317">
    <w:nsid w:val="530386D1"/>
    <w:multiLevelType w:val="hybridMultilevel"/>
    <w:lvl w:ilvl="0">
      <w:lvlJc w:val="left"/>
      <w:lvlText w:val="[***]"/>
      <w:numFmt w:val="bullet"/>
      <w:start w:val="1"/>
    </w:lvl>
  </w:abstractNum>
  <w:abstractNum w:abstractNumId="318">
    <w:nsid w:val="7525F2BC"/>
    <w:multiLevelType w:val="hybridMultilevel"/>
    <w:lvl w:ilvl="0">
      <w:lvlJc w:val="left"/>
      <w:lvlText w:val="[***]"/>
      <w:numFmt w:val="bullet"/>
      <w:start w:val="1"/>
    </w:lvl>
  </w:abstractNum>
  <w:abstractNum w:abstractNumId="319">
    <w:nsid w:val="CE8E1A7"/>
    <w:multiLevelType w:val="hybridMultilevel"/>
    <w:lvl w:ilvl="0">
      <w:lvlJc w:val="left"/>
      <w:lvlText w:val="[***]"/>
      <w:numFmt w:val="bullet"/>
      <w:start w:val="1"/>
    </w:lvl>
  </w:abstractNum>
  <w:abstractNum w:abstractNumId="320">
    <w:nsid w:val="4E9EFB0D"/>
    <w:multiLevelType w:val="hybridMultilevel"/>
    <w:lvl w:ilvl="0">
      <w:lvlJc w:val="left"/>
      <w:lvlText w:val="(%1)"/>
      <w:numFmt w:val="lowerLetter"/>
      <w:start w:val="2"/>
    </w:lvl>
  </w:abstractNum>
  <w:abstractNum w:abstractNumId="321">
    <w:nsid w:val="90802BE"/>
    <w:multiLevelType w:val="hybridMultilevel"/>
    <w:lvl w:ilvl="0">
      <w:lvlJc w:val="left"/>
      <w:lvlText w:val="[***]"/>
      <w:numFmt w:val="bullet"/>
      <w:start w:val="1"/>
    </w:lvl>
  </w:abstractNum>
  <w:abstractNum w:abstractNumId="322">
    <w:nsid w:val="3266459B"/>
    <w:multiLevelType w:val="hybridMultilevel"/>
    <w:lvl w:ilvl="0">
      <w:lvlJc w:val="left"/>
      <w:lvlText w:val="(%1)"/>
      <w:numFmt w:val="lowerLetter"/>
      <w:start w:val="1"/>
    </w:lvl>
  </w:abstractNum>
  <w:abstractNum w:abstractNumId="323">
    <w:nsid w:val="3F8B0CBF"/>
    <w:multiLevelType w:val="hybridMultilevel"/>
    <w:lvl w:ilvl="0">
      <w:lvlJc w:val="left"/>
      <w:lvlText w:val="(%1)"/>
      <w:numFmt w:val="lowerLetter"/>
      <w:start w:val="1"/>
    </w:lvl>
  </w:abstractNum>
  <w:abstractNum w:abstractNumId="324">
    <w:nsid w:val="37E203AB"/>
    <w:multiLevelType w:val="hybridMultilevel"/>
    <w:lvl w:ilvl="0">
      <w:lvlJc w:val="left"/>
      <w:lvlText w:val="[***]"/>
      <w:numFmt w:val="bullet"/>
      <w:start w:val="1"/>
    </w:lvl>
  </w:abstractNum>
  <w:abstractNum w:abstractNumId="325">
    <w:nsid w:val="2586D60E"/>
    <w:multiLevelType w:val="hybridMultilevel"/>
    <w:lvl w:ilvl="0">
      <w:lvlJc w:val="left"/>
      <w:lvlText w:val="(%1)"/>
      <w:numFmt w:val="lowerLetter"/>
      <w:start w:val="2"/>
    </w:lvl>
  </w:abstractNum>
  <w:abstractNum w:abstractNumId="326">
    <w:nsid w:val="1F3DA4D5"/>
    <w:multiLevelType w:val="hybridMultilevel"/>
    <w:lvl w:ilvl="0">
      <w:lvlJc w:val="left"/>
      <w:lvlText w:val="[***]"/>
      <w:numFmt w:val="bullet"/>
      <w:start w:val="1"/>
    </w:lvl>
  </w:abstractNum>
  <w:abstractNum w:abstractNumId="327">
    <w:nsid w:val="74C93698"/>
    <w:multiLevelType w:val="hybridMultilevel"/>
    <w:lvl w:ilvl="0">
      <w:lvlJc w:val="left"/>
      <w:lvlText w:val="(%1)"/>
      <w:numFmt w:val="lowerLetter"/>
      <w:start w:val="2"/>
    </w:lvl>
  </w:abstractNum>
  <w:abstractNum w:abstractNumId="328">
    <w:nsid w:val="48781401"/>
    <w:multiLevelType w:val="hybridMultilevel"/>
    <w:lvl w:ilvl="0">
      <w:lvlJc w:val="left"/>
      <w:lvlText w:val="[***]"/>
      <w:numFmt w:val="bullet"/>
      <w:start w:val="1"/>
    </w:lvl>
  </w:abstractNum>
  <w:abstractNum w:abstractNumId="329">
    <w:nsid w:val="186928D6"/>
    <w:multiLevelType w:val="hybridMultilevel"/>
    <w:lvl w:ilvl="0">
      <w:lvlJc w:val="left"/>
      <w:lvlText w:val="(%1)"/>
      <w:numFmt w:val="lowerLetter"/>
      <w:start w:val="3"/>
    </w:lvl>
  </w:abstractNum>
  <w:abstractNum w:abstractNumId="330">
    <w:nsid w:val="47195E5"/>
    <w:multiLevelType w:val="hybridMultilevel"/>
    <w:lvl w:ilvl="0">
      <w:lvlJc w:val="left"/>
      <w:lvlText w:val="[***]"/>
      <w:numFmt w:val="bullet"/>
      <w:start w:val="1"/>
    </w:lvl>
  </w:abstractNum>
  <w:abstractNum w:abstractNumId="331">
    <w:nsid w:val="3746A5F2"/>
    <w:multiLevelType w:val="hybridMultilevel"/>
    <w:lvl w:ilvl="0">
      <w:lvlJc w:val="left"/>
      <w:lvlText w:val="[***]"/>
      <w:numFmt w:val="bullet"/>
      <w:start w:val="1"/>
    </w:lvl>
  </w:abstractNum>
  <w:abstractNum w:abstractNumId="332">
    <w:nsid w:val="682DFED6"/>
    <w:multiLevelType w:val="hybridMultilevel"/>
    <w:lvl w:ilvl="0">
      <w:lvlJc w:val="left"/>
      <w:lvlText w:val="[***]"/>
      <w:numFmt w:val="bullet"/>
      <w:start w:val="1"/>
    </w:lvl>
  </w:abstractNum>
  <w:abstractNum w:abstractNumId="333">
    <w:nsid w:val="606ED7F6"/>
    <w:multiLevelType w:val="hybridMultilevel"/>
    <w:lvl w:ilvl="0">
      <w:lvlJc w:val="left"/>
      <w:lvlText w:val="[***]"/>
      <w:numFmt w:val="bullet"/>
      <w:start w:val="1"/>
    </w:lvl>
  </w:abstractNum>
  <w:abstractNum w:abstractNumId="334">
    <w:nsid w:val="2D9DF57D"/>
    <w:multiLevelType w:val="hybridMultilevel"/>
    <w:lvl w:ilvl="0">
      <w:lvlJc w:val="left"/>
      <w:lvlText w:val="["/>
      <w:numFmt w:val="bullet"/>
      <w:start w:val="1"/>
    </w:lvl>
  </w:abstractNum>
  <w:abstractNum w:abstractNumId="335">
    <w:nsid w:val="7FBD7A3E"/>
    <w:multiLevelType w:val="hybridMultilevel"/>
    <w:lvl w:ilvl="0">
      <w:lvlJc w:val="left"/>
      <w:lvlText w:val="[***]"/>
      <w:numFmt w:val="bullet"/>
      <w:start w:val="1"/>
    </w:lvl>
  </w:abstractNum>
  <w:abstractNum w:abstractNumId="336">
    <w:nsid w:val="490B7C5"/>
    <w:multiLevelType w:val="hybridMultilevel"/>
    <w:lvl w:ilvl="0">
      <w:lvlJc w:val="left"/>
      <w:lvlText w:val="%1."/>
      <w:numFmt w:val="decimal"/>
      <w:start w:val="1"/>
    </w:lvl>
  </w:abstractNum>
  <w:abstractNum w:abstractNumId="337">
    <w:nsid w:val="4303A216"/>
    <w:multiLevelType w:val="hybridMultilevel"/>
    <w:lvl w:ilvl="0">
      <w:lvlJc w:val="left"/>
      <w:lvlText w:val="%1."/>
      <w:numFmt w:val="decimal"/>
      <w:start w:val="2"/>
    </w:lvl>
  </w:abstractNum>
  <w:abstractNum w:abstractNumId="338">
    <w:nsid w:val="19B8A08E"/>
    <w:multiLevelType w:val="hybridMultilevel"/>
    <w:lvl w:ilvl="0">
      <w:lvlJc w:val="left"/>
      <w:lvlText w:val="%1."/>
      <w:numFmt w:val="decimal"/>
      <w:start w:val="3"/>
    </w:lvl>
  </w:abstractNum>
  <w:abstractNum w:abstractNumId="339">
    <w:nsid w:val="54B59621"/>
    <w:multiLevelType w:val="hybridMultilevel"/>
    <w:lvl w:ilvl="0">
      <w:lvlJc w:val="left"/>
      <w:lvlText w:val="%1."/>
      <w:numFmt w:val="decimal"/>
      <w:start w:val="5"/>
    </w:lvl>
  </w:abstractNum>
  <w:abstractNum w:abstractNumId="340">
    <w:nsid w:val="5992A02E"/>
    <w:multiLevelType w:val="hybridMultilevel"/>
    <w:lvl w:ilvl="0">
      <w:lvlJc w:val="left"/>
      <w:lvlText w:val="%1."/>
      <w:numFmt w:val="decimal"/>
      <w:start w:val="6"/>
    </w:lvl>
  </w:abstractNum>
  <w:abstractNum w:abstractNumId="341">
    <w:nsid w:val="29EF532D"/>
    <w:multiLevelType w:val="hybridMultilevel"/>
    <w:lvl w:ilvl="0">
      <w:lvlJc w:val="left"/>
      <w:lvlText w:val="%1."/>
      <w:numFmt w:val="decimal"/>
      <w:start w:val="7"/>
    </w:lvl>
  </w:abstractNum>
  <w:abstractNum w:abstractNumId="342">
    <w:nsid w:val="71D601AF"/>
    <w:multiLevelType w:val="hybridMultilevel"/>
    <w:lvl w:ilvl="0">
      <w:lvlJc w:val="left"/>
      <w:lvlText w:val="%1."/>
      <w:numFmt w:val="decimal"/>
      <w:start w:val="8"/>
    </w:lvl>
  </w:abstractNum>
  <w:abstractNum w:abstractNumId="343">
    <w:nsid w:val="52C77402"/>
    <w:multiLevelType w:val="hybridMultilevel"/>
    <w:lvl w:ilvl="0">
      <w:lvlJc w:val="left"/>
      <w:lvlText w:val="%1."/>
      <w:numFmt w:val="decimal"/>
      <w:start w:val="9"/>
    </w:lvl>
  </w:abstractNum>
  <w:abstractNum w:abstractNumId="344">
    <w:nsid w:val="2BB5B1C6"/>
    <w:multiLevelType w:val="hybridMultilevel"/>
    <w:lvl w:ilvl="0">
      <w:lvlJc w:val="left"/>
      <w:lvlText w:val="%1."/>
      <w:numFmt w:val="decimal"/>
      <w:start w:val="10"/>
    </w:lvl>
  </w:abstractNum>
  <w:abstractNum w:abstractNumId="345">
    <w:nsid w:val="66BE6B9"/>
    <w:multiLevelType w:val="hybridMultilevel"/>
    <w:lvl w:ilvl="0">
      <w:lvlJc w:val="left"/>
      <w:lvlText w:val="[***]"/>
      <w:numFmt w:val="bullet"/>
      <w:start w:val="1"/>
    </w:lvl>
  </w:abstractNum>
  <w:abstractNum w:abstractNumId="346">
    <w:nsid w:val="62234363"/>
    <w:multiLevelType w:val="hybridMultilevel"/>
    <w:lvl w:ilvl="0">
      <w:lvlJc w:val="left"/>
      <w:lvlText w:val="%1."/>
      <w:numFmt w:val="decimal"/>
      <w:start w:val="11"/>
    </w:lvl>
  </w:abstractNum>
  <w:abstractNum w:abstractNumId="347">
    <w:nsid w:val="66D385C9"/>
    <w:multiLevelType w:val="hybridMultilevel"/>
    <w:lvl w:ilvl="0">
      <w:lvlJc w:val="left"/>
      <w:lvlText w:val="%1."/>
      <w:numFmt w:val="decimal"/>
      <w:start w:val="12"/>
    </w:lvl>
  </w:abstractNum>
  <w:abstractNum w:abstractNumId="348">
    <w:nsid w:val="596F6D8A"/>
    <w:multiLevelType w:val="hybridMultilevel"/>
    <w:lvl w:ilvl="0">
      <w:lvlJc w:val="left"/>
      <w:lvlText w:val="%1."/>
      <w:numFmt w:val="decimal"/>
      <w:start w:val="13"/>
    </w:lvl>
  </w:abstractNum>
  <w:abstractNum w:abstractNumId="349">
    <w:nsid w:val="5749361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2019-12-10T22:27:59Z</dcterms:created>
  <dcterms:modified xsi:type="dcterms:W3CDTF">2019-12-10T22:27:59Z</dcterms:modified>
</cp:coreProperties>
</file>