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Casdin Capital, LLC, 1350 Avenue of the Americas, Suite 2600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76,075,636.00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76,075,636.00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76,075,636.00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13,939,637.00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13,939,637.00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59,391,780.00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59,391,780.00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59,391,780.00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59,391,780.00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59,391,780.00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59,391,780.00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4,788,679.00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76,075,636.00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4,788,679.00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76,075,636.00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80,864,315.00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47"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 Tower Place, Suite 2000, South San Francisco, CALIFORNIA , 94080.</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Standard BioTools Inc., a Delaware corporation (the "Issuer"). The address of the Issuer's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principal executive offices is 2 Tower Place, Suite 2000, South San Francisco, California 94080. This Schedule 13D</w:t>
      </w:r>
    </w:p>
    <w:p>
      <w:pPr>
        <w:spacing w:after="0" w:line="1" w:lineRule="exact"/>
        <w:rPr>
          <w:sz w:val="20"/>
          <w:szCs w:val="20"/>
          <w:color w:val="auto"/>
        </w:rPr>
      </w:pPr>
    </w:p>
    <w:p>
      <w:pPr>
        <w:ind w:right="2220" w:firstLine="952"/>
        <w:spacing w:after="0" w:line="283" w:lineRule="auto"/>
        <w:rPr>
          <w:sz w:val="20"/>
          <w:szCs w:val="20"/>
          <w:color w:val="auto"/>
        </w:rPr>
      </w:pPr>
      <w:r>
        <w:rPr>
          <w:rFonts w:ascii="Times New Roman" w:cs="Times New Roman" w:eastAsia="Times New Roman" w:hAnsi="Times New Roman"/>
          <w:sz w:val="22"/>
          <w:szCs w:val="22"/>
          <w:color w:val="auto"/>
        </w:rPr>
        <w:t>amendment relates to the Issuer's Common Stock, par value $0.001 per share (the "Shares"). Item 2. Identity and Background</w:t>
      </w: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(a), (f) This Schedule 13D is being filed by Casdin Capital, LLC, a Delaware limited liability company ("Casdin"), Casdin Private Growth Equity Fund II, L.P., a Delaware limited partnership ("Casdin PGEII"), Casdin Private Growth</w:t>
      </w:r>
    </w:p>
    <w:p>
      <w:pPr>
        <w:spacing w:after="0" w:line="1" w:lineRule="exact"/>
        <w:rPr>
          <w:sz w:val="20"/>
          <w:szCs w:val="20"/>
          <w:color w:val="auto"/>
        </w:rPr>
      </w:pPr>
    </w:p>
    <w:p>
      <w:pPr>
        <w:ind w:left="920" w:right="12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for each of the Reporting Persons is 1350 Avenue of the Americas, Suite 2600, New York, New York 10019.</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Casdin is serving as an investment adviser to its clients. The principal business of Casdin</w:t>
      </w:r>
    </w:p>
    <w:p>
      <w:pPr>
        <w:sectPr>
          <w:pgSz w:w="11900" w:h="16847" w:orient="portrait"/>
          <w:cols w:equalWidth="0" w:num="1">
            <w:col w:w="11160"/>
          </w:cols>
          <w:pgMar w:left="360" w:top="111" w:right="379" w:bottom="0" w:gutter="0" w:footer="0" w:header="0"/>
          <w:type w:val="continuous"/>
        </w:sectPr>
      </w:pPr>
    </w:p>
    <w:bookmarkStart w:id="6" w:name="page7"/>
    <w:bookmarkEnd w:id="6"/>
    <w:p>
      <w:pPr>
        <w:ind w:left="920" w:right="20"/>
        <w:spacing w:after="0"/>
        <w:rPr>
          <w:sz w:val="20"/>
          <w:szCs w:val="20"/>
          <w:color w:val="auto"/>
        </w:rPr>
      </w:pPr>
      <w:r>
        <w:rPr>
          <w:rFonts w:ascii="Times New Roman" w:cs="Times New Roman" w:eastAsia="Times New Roman" w:hAnsi="Times New Roman"/>
          <w:sz w:val="22"/>
          <w:szCs w:val="22"/>
          <w:color w:val="auto"/>
        </w:rPr>
        <w:t>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p>
      <w:pPr>
        <w:spacing w:after="0" w:line="15"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(d), (e) During the last five years, none of the Reporting Persons has been (a) convicted in a criminal proceeding (excluding traffic violations or similar misdemeanors) or (b) a party to a civil proceeding of a judicial or</w:t>
      </w:r>
    </w:p>
    <w:p>
      <w:pPr>
        <w:spacing w:after="0" w:line="1" w:lineRule="exact"/>
        <w:rPr>
          <w:sz w:val="20"/>
          <w:szCs w:val="20"/>
          <w:color w:val="auto"/>
        </w:rPr>
      </w:pPr>
    </w:p>
    <w:p>
      <w:pPr>
        <w:ind w:left="920" w:right="240" w:hanging="912"/>
        <w:spacing w:after="0" w:line="18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On January 23, 2022, the Issuer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 Casdin PGEII and Casdin PMF used working capital to fund the term loan and purchase of the Series B-1 Preferred Stock.</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Eli Casdin is a member of the Board of Directors of the Issuer. 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 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 At the consummation of the Merger, each issued and outstanding share of common stock of SomaLogic, par value $0.0001 per share ("SomaLogic Common Stock"), was converted into the right to receive 1.11 (the "Exchange Ratio") Shares, and cash in lieu of fractional shares. 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 In addition, as of the effective time of the Merger, each SomaLogic warrant, each exercisable for one share of SomaLogic Common Stock, shall be treated in accordance with its terms. The description of the Merger Agreement and related transactions (including, without limitation, the Merger) is subject and qualified in its entirety by reference to the full text of the Merger Agreement, a copy of which is incorporated herein by reference to Exhibit 2.1 of the 8-K filed by the Issuer on January 5, 2024. 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 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w:t>
      </w:r>
    </w:p>
    <w:p>
      <w:pPr>
        <w:sectPr>
          <w:pgSz w:w="11900" w:h="16838" w:orient="portrait"/>
          <w:cols w:equalWidth="0" w:num="1">
            <w:col w:w="11120"/>
          </w:cols>
          <w:pgMar w:left="360" w:top="111" w:right="419" w:bottom="0" w:gutter="0" w:footer="0" w:header="0"/>
        </w:sectPr>
      </w:pPr>
    </w:p>
    <w:bookmarkStart w:id="7" w:name="page8"/>
    <w:bookmarkEnd w:id="7"/>
    <w:p>
      <w:pPr>
        <w:ind w:left="920" w:right="40"/>
        <w:spacing w:after="0" w:line="234" w:lineRule="auto"/>
        <w:rPr>
          <w:sz w:val="20"/>
          <w:szCs w:val="20"/>
          <w:color w:val="auto"/>
        </w:rPr>
      </w:pPr>
      <w:r>
        <w:rPr>
          <w:rFonts w:ascii="Times New Roman" w:cs="Times New Roman" w:eastAsia="Times New Roman" w:hAnsi="Times New Roman"/>
          <w:sz w:val="22"/>
          <w:szCs w:val="22"/>
          <w:color w:val="auto"/>
        </w:rPr>
        <w:t>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 (iii) changes to the present Board of Directors, including changes to the number or term of members of the Board of Directors or filling existing vacancies on the Board of Directors, (iv) changes to the Issuer's by-laws and (v) other changes to the Issuer's business or structure. 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1220" w:hanging="294"/>
        <w:spacing w:after="0"/>
        <w:tabs>
          <w:tab w:leader="none" w:pos="12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As of the date hereof, Casdin may be deemed to be the beneficial owner of 76,075,636 Shares, constituting</w:t>
      </w:r>
    </w:p>
    <w:p>
      <w:pPr>
        <w:spacing w:after="0" w:line="14" w:lineRule="exact"/>
        <w:rPr>
          <w:rFonts w:ascii="Times New Roman" w:cs="Times New Roman" w:eastAsia="Times New Roman" w:hAnsi="Times New Roman"/>
          <w:sz w:val="22"/>
          <w:szCs w:val="22"/>
          <w:color w:val="auto"/>
        </w:rPr>
      </w:pPr>
    </w:p>
    <w:p>
      <w:pPr>
        <w:ind w:left="9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20.4% of the Shares, based upon 372,258,798* Shares outstanding. Casdin has the sole power to vote or direct the vote of 0 Shares; has the shared power to vote or direct the vote of 76,075,636 Shares; has the sole power to dispose or direct the disposition of 0 Shares; and had the shared power to dispose or direct the disposition of 76,075,636 Shares. As of the date hereof, Casdin PGEII and Casdin PGEII GP may be deemed to be the beneficial owners of 13,939,637 Shares, constituting 3.7% of the Shares, based upon 372,258,798* Shares outstanding. As of the date hereof Casdin PGEII and Casdin PGEII GP have ceased to be the beneficial owners of more than five percent of the Shares. 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 As of the date hereof, Casdin GP may be deemed to be the beneficial owner of 59,931,780 Shares, constituting 15.9% of the Shares, based upon 372,258,798* Shares outstanding. Casdin GP has the sole power to vote or direct the vote of 0 Shares; has the shared power to vote or direct the vote of 59,931,780 Shares; has the sole power to dispose or direct the</w:t>
      </w:r>
    </w:p>
    <w:p>
      <w:pPr>
        <w:spacing w:after="0" w:line="6" w:lineRule="exact"/>
        <w:rPr>
          <w:rFonts w:ascii="Times New Roman" w:cs="Times New Roman" w:eastAsia="Times New Roman" w:hAnsi="Times New Roman"/>
          <w:sz w:val="22"/>
          <w:szCs w:val="22"/>
          <w:color w:val="auto"/>
        </w:rPr>
      </w:pPr>
    </w:p>
    <w:p>
      <w:pPr>
        <w:ind w:left="920" w:right="20" w:hanging="912"/>
        <w:spacing w:after="0" w:line="24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 of 0 Shares; and had the shared power to dispose or direct the disposition of 59,931,780 Shares. As of the date hereof, Casdin PMF may be deemed to be the beneficial owner of 59,931,780 Shares, constituting 15.9% of the Shares, based upon 372,258,798* Shares outstanding. Casdin PMF has the sole power to vote or direct the vote of 0 Shares; has the shared power to vote or direct the vote of 59,931,780 Shares; has the sole power to dispose or direct the disposition of 0 Shares; and had the shared power to dispose or direct the disposition of 59,931,780 Shares. As of the date hereof, Eli Casdin may be deemed to be the beneficial owner of 80,864,315 Shares, constituting 21.6% of the Shares, based upon 374,241,007** Shares outstanding. Eli Casdin has the sole power to vote or direct the vote of 4,788,679 Shares; has the shared power to vote or direct the vote of 76,075,636 Shares; has the sole power to dispose or direct the disposition of 4,788,679 Shares; and had the shared power to dispose or direct the disposition of 76,075,636 Shares. The transactions by the Reporting Persons in the securities of the Issuer during the past sixty days are set forth in Exhibit B. All such transactions were carried out in open market transactions. *This outstanding Shares figure reflects the 372,258,798 outstanding Shares as reported in the Form 10-Q filed by the Issuer on November 6, 2024. *This outstanding Shares figure reflects the 372,258,798 outstanding Shares as reported in the Form 10-Q filed by the Issuer on November 6, 2024 and 1,982,209 options and warrants held by Eli Casdin.</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2" w:lineRule="auto"/>
        <w:rPr>
          <w:sz w:val="20"/>
          <w:szCs w:val="20"/>
          <w:color w:val="auto"/>
        </w:rPr>
      </w:pPr>
      <w:r>
        <w:rPr>
          <w:rFonts w:ascii="Times New Roman" w:cs="Times New Roman" w:eastAsia="Times New Roman" w:hAnsi="Times New Roman"/>
          <w:sz w:val="22"/>
          <w:szCs w:val="22"/>
          <w:color w:val="auto"/>
        </w:rPr>
        <w:t>Stock Purchase Agreement 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 Loan Agreement 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 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 Exchange Agreement 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46"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 Exhibit D: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 Exhibit E: Exchange Agreement, dated as of March 18, 2024, by and among Standard BioTools Inc., Casdin Private Growth Equity Fund II, L.P., Casdin Partners Master Fund, L.P.,</w:t>
      </w:r>
    </w:p>
    <w:p>
      <w:pPr>
        <w:sectPr>
          <w:pgSz w:w="11900" w:h="16838" w:orient="portrait"/>
          <w:cols w:equalWidth="0" w:num="1">
            <w:col w:w="11140"/>
          </w:cols>
          <w:pgMar w:left="360" w:top="111" w:right="399" w:bottom="0" w:gutter="0" w:footer="0" w:header="0"/>
        </w:sectPr>
      </w:pPr>
    </w:p>
    <w:bookmarkStart w:id="8" w:name="page9"/>
    <w:bookmarkEnd w:id="8"/>
    <w:p>
      <w:pPr>
        <w:ind w:left="920" w:right="560"/>
        <w:spacing w:after="0" w:line="244" w:lineRule="auto"/>
        <w:rPr>
          <w:sz w:val="20"/>
          <w:szCs w:val="20"/>
          <w:color w:val="auto"/>
        </w:rPr>
      </w:pPr>
      <w:r>
        <w:rPr>
          <w:rFonts w:ascii="Times New Roman" w:cs="Times New Roman" w:eastAsia="Times New Roman" w:hAnsi="Times New Roman"/>
          <w:sz w:val="22"/>
          <w:szCs w:val="22"/>
          <w:color w:val="auto"/>
        </w:rPr>
        <w:t>Viking Global Opportunities Illiquid Investments Sub-Master LP, and Viking Global Opportunities Drawdown (Aggregator) LP (incorporated by reference to Exhibit 10.1 of the Issuer's Current Report on Form 8-K, filed on March 18, 2024) (File No. 001-34180).</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Private Growth Equity Fund II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By: /s/ Eli Casdin*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Partners GP, LLC, its general partner,</w:t>
      </w:r>
    </w:p>
    <w:p>
      <w:pPr>
        <w:spacing w:after="0" w:line="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This reporting person disclaims beneficial ownership of these reported securities except to the extent of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 therein, and this report shall not be deemed an admission that any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for any other purpose.</w:t>
      </w:r>
    </w:p>
    <w:p>
      <w:pPr>
        <w:sectPr>
          <w:pgSz w:w="11900" w:h="16838" w:orient="portrait"/>
          <w:cols w:equalWidth="0" w:num="1">
            <w:col w:w="11160"/>
          </w:cols>
          <w:pgMar w:left="360" w:top="111"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March 4, 2025, relating to the Common Stock, par value $0.001 per share, of Standard BioTools Inc. shall be filed on behalf of the undersigned.</w:t>
      </w:r>
    </w:p>
    <w:p>
      <w:pPr>
        <w:spacing w:after="0" w:line="18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Private Growth Equity Fund II GP, LLC</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Partners GP, LLC, its general partner</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w:t>
      </w:r>
    </w:p>
    <w:p>
      <w:pPr>
        <w:sectPr>
          <w:pgSz w:w="11900" w:h="16838" w:orient="portrait"/>
          <w:cols w:equalWidth="0" w:num="1">
            <w:col w:w="11240"/>
          </w:cols>
          <w:pgMar w:left="320" w:top="111" w:right="339" w:bottom="1440" w:gutter="0" w:footer="0" w:header="0"/>
        </w:sectPr>
      </w:pPr>
    </w:p>
    <w:bookmarkStart w:id="10" w:name="page11"/>
    <w:bookmarkEnd w:id="10"/>
    <w:tbl>
      <w:tblPr>
        <w:tblLayout w:type="fixed"/>
        <w:tblInd w:w="92" w:type="dxa"/>
        <w:tblCellMar>
          <w:top w:w="0" w:type="dxa"/>
          <w:left w:w="0" w:type="dxa"/>
          <w:bottom w:w="0" w:type="dxa"/>
          <w:right w:w="0" w:type="dxa"/>
        </w:tblCellMar>
      </w:tblPr>
      <w:tr>
        <w:trPr>
          <w:trHeight w:val="282"/>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729"/>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8"/>
          </w:tcPr>
          <w:p>
            <w:pPr>
              <w:ind w:left="4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420" w:type="dxa"/>
            <w:vAlign w:val="bottom"/>
            <w:gridSpan w:val="7"/>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Date of Transaction</w:t>
            </w:r>
          </w:p>
        </w:tc>
        <w:tc>
          <w:tcPr>
            <w:tcW w:w="240" w:type="dxa"/>
            <w:vAlign w:val="bottom"/>
          </w:tcPr>
          <w:p>
            <w:pPr>
              <w:spacing w:after="0"/>
              <w:rPr>
                <w:sz w:val="19"/>
                <w:szCs w:val="19"/>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9"/>
              </w:rPr>
              <w:t>Reporting Person</w:t>
            </w:r>
          </w:p>
        </w:tc>
        <w:tc>
          <w:tcPr>
            <w:tcW w:w="1800" w:type="dxa"/>
            <w:vAlign w:val="bottom"/>
            <w:gridSpan w:val="3"/>
            <w:vMerge w:val="restart"/>
          </w:tcPr>
          <w:p>
            <w:pPr>
              <w:ind w:left="440"/>
              <w:spacing w:after="0"/>
              <w:rPr>
                <w:sz w:val="20"/>
                <w:szCs w:val="20"/>
                <w:color w:val="auto"/>
              </w:rPr>
            </w:pPr>
            <w:r>
              <w:rPr>
                <w:rFonts w:ascii="Times New Roman" w:cs="Times New Roman" w:eastAsia="Times New Roman" w:hAnsi="Times New Roman"/>
                <w:sz w:val="22"/>
                <w:szCs w:val="22"/>
                <w:color w:val="auto"/>
              </w:rPr>
              <w:t>Title of Class</w:t>
            </w:r>
          </w:p>
        </w:tc>
        <w:tc>
          <w:tcPr>
            <w:tcW w:w="216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center"/>
              <w:ind w:right="200"/>
              <w:spacing w:after="0" w:line="223" w:lineRule="exact"/>
              <w:rPr>
                <w:sz w:val="20"/>
                <w:szCs w:val="20"/>
                <w:color w:val="auto"/>
              </w:rPr>
            </w:pPr>
            <w:r>
              <w:rPr>
                <w:rFonts w:ascii="Times New Roman" w:cs="Times New Roman" w:eastAsia="Times New Roman" w:hAnsi="Times New Roman"/>
                <w:sz w:val="22"/>
                <w:szCs w:val="22"/>
                <w:color w:val="auto"/>
                <w:w w:val="95"/>
              </w:rPr>
              <w:t>Shares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Price Per Share</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380"/>
              <w:spacing w:after="0" w:line="223" w:lineRule="exact"/>
              <w:rPr>
                <w:sz w:val="20"/>
                <w:szCs w:val="20"/>
                <w:color w:val="auto"/>
              </w:rPr>
            </w:pPr>
            <w:r>
              <w:rPr>
                <w:rFonts w:ascii="Times New Roman" w:cs="Times New Roman" w:eastAsia="Times New Roman" w:hAnsi="Times New Roman"/>
                <w:sz w:val="22"/>
                <w:szCs w:val="22"/>
                <w:color w:val="auto"/>
                <w:w w:val="97"/>
              </w:rPr>
              <w:t>Acquired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1"/>
                <w:szCs w:val="21"/>
                <w:color w:val="auto"/>
                <w:w w:val="71"/>
              </w:rPr>
              <w:t>Disposed</w:t>
            </w:r>
          </w:p>
        </w:tc>
        <w:tc>
          <w:tcPr>
            <w:tcW w:w="1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w w:val="96"/>
              </w:rPr>
              <w:t>2/28/2025</w:t>
            </w:r>
          </w:p>
        </w:tc>
        <w:tc>
          <w:tcPr>
            <w:tcW w:w="200" w:type="dxa"/>
            <w:vAlign w:val="bottom"/>
          </w:tcPr>
          <w:p>
            <w:pPr>
              <w:spacing w:after="0"/>
              <w:rPr>
                <w:sz w:val="24"/>
                <w:szCs w:val="24"/>
                <w:color w:val="auto"/>
              </w:rPr>
            </w:pPr>
          </w:p>
        </w:tc>
        <w:tc>
          <w:tcPr>
            <w:tcW w:w="17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Casdin PMF</w:t>
            </w:r>
          </w:p>
        </w:tc>
        <w:tc>
          <w:tcPr>
            <w:tcW w:w="18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545,000 (1)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$1.065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w w:val="96"/>
              </w:rPr>
              <w:t>2/28/2025</w:t>
            </w:r>
          </w:p>
        </w:tc>
        <w:tc>
          <w:tcPr>
            <w:tcW w:w="200" w:type="dxa"/>
            <w:vAlign w:val="bottom"/>
          </w:tcPr>
          <w:p>
            <w:pPr>
              <w:spacing w:after="0"/>
              <w:rPr>
                <w:sz w:val="21"/>
                <w:szCs w:val="21"/>
                <w:color w:val="auto"/>
              </w:rPr>
            </w:pPr>
          </w:p>
        </w:tc>
        <w:tc>
          <w:tcPr>
            <w:tcW w:w="17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Casdin PMF</w:t>
            </w:r>
          </w:p>
        </w:tc>
        <w:tc>
          <w:tcPr>
            <w:tcW w:w="18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4,820,959</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$1.065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8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w w:val="96"/>
              </w:rPr>
              <w:t>2/28/2025</w:t>
            </w:r>
          </w:p>
        </w:tc>
        <w:tc>
          <w:tcPr>
            <w:tcW w:w="200" w:type="dxa"/>
            <w:vAlign w:val="bottom"/>
          </w:tcPr>
          <w:p>
            <w:pPr>
              <w:spacing w:after="0"/>
              <w:rPr>
                <w:sz w:val="24"/>
                <w:szCs w:val="24"/>
                <w:color w:val="auto"/>
              </w:rPr>
            </w:pPr>
          </w:p>
        </w:tc>
        <w:tc>
          <w:tcPr>
            <w:tcW w:w="17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Eli Casdin</w:t>
            </w:r>
          </w:p>
        </w:tc>
        <w:tc>
          <w:tcPr>
            <w:tcW w:w="18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58,215 (2)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$0 (3)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 cross-trade, pursuant to which a client of Casdin transferred 545,000 shares of Common Stock to Casdin PMF.</w:t>
      </w:r>
    </w:p>
    <w:p>
      <w:pPr>
        <w:spacing w:after="0" w:line="233" w:lineRule="exact"/>
        <w:rPr>
          <w:rFonts w:ascii="Times New Roman" w:cs="Times New Roman" w:eastAsia="Times New Roman" w:hAnsi="Times New Roman"/>
          <w:sz w:val="22"/>
          <w:szCs w:val="22"/>
          <w:color w:val="auto"/>
        </w:rPr>
      </w:pPr>
    </w:p>
    <w:p>
      <w:pPr>
        <w:ind w:left="-8" w:firstLine="8"/>
        <w:spacing w:after="0" w:line="258" w:lineRule="auto"/>
        <w:tabs>
          <w:tab w:leader="none" w:pos="31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Restricted Stock Units ("RSUs") that vest as to 25% on the last day of the last month of each fiscal quarter of 2025, subject to the Reporting Person's continued service through the applicable vesting date.</w:t>
      </w:r>
    </w:p>
    <w:p>
      <w:pPr>
        <w:spacing w:after="0" w:line="185" w:lineRule="exact"/>
        <w:rPr>
          <w:rFonts w:ascii="Times New Roman" w:cs="Times New Roman" w:eastAsia="Times New Roman" w:hAnsi="Times New Roman"/>
          <w:sz w:val="22"/>
          <w:szCs w:val="22"/>
          <w:color w:val="auto"/>
        </w:rPr>
      </w:pPr>
    </w:p>
    <w:p>
      <w:pPr>
        <w:ind w:left="-8" w:firstLine="8"/>
        <w:spacing w:after="0" w:line="258" w:lineRule="auto"/>
        <w:tabs>
          <w:tab w:leader="none" w:pos="33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were issued to the Reporting Person, who elected to take RSUs in lieu of $62,000 in cash compensation for services as a board member.</w:t>
      </w:r>
    </w:p>
    <w:sectPr>
      <w:pgSz w:w="11900" w:h="16838" w:orient="portrait"/>
      <w:cols w:equalWidth="0" w:num="1">
        <w:col w:w="11232"/>
      </w:cols>
      <w:pgMar w:left="328"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lvl w:ilvl="1">
      <w:lvlJc w:val="left"/>
      <w:lvlText w:val="(%2)"/>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2025-03-04T18:57:14Z</dcterms:created>
  <dcterms:modified xsi:type="dcterms:W3CDTF">2025-03-04T18:57:14Z</dcterms:modified>
</cp:coreProperties>
</file>