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117"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July 25, 2011, there were 19,992,765 shares of the Registrant’s common stock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0"/>
        </w:trPr>
        <w:tc>
          <w:tcPr>
            <w:tcW w:w="176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300" w:type="dxa"/>
            <w:vAlign w:val="bottom"/>
            <w:gridSpan w:val="8"/>
            <w:vMerge w:val="restart"/>
          </w:tcPr>
          <w:p>
            <w:pPr>
              <w:jc w:val="center"/>
              <w:ind w:right="1940"/>
              <w:spacing w:after="0"/>
              <w:rPr>
                <w:sz w:val="20"/>
                <w:szCs w:val="20"/>
                <w:color w:val="auto"/>
              </w:rPr>
            </w:pPr>
            <w:r>
              <w:rPr>
                <w:rFonts w:ascii="Arial" w:cs="Arial" w:eastAsia="Arial" w:hAnsi="Arial"/>
                <w:sz w:val="18"/>
                <w:szCs w:val="18"/>
                <w:color w:val="auto"/>
                <w:w w:val="97"/>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30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7"/>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560" w:type="dxa"/>
            <w:vAlign w:val="bottom"/>
            <w:gridSpan w:val="9"/>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2011 and December 31,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six months ended June 30, 2011 and 2010</w:t>
              </w:r>
            </w:hyperlink>
          </w:p>
        </w:tc>
        <w:tc>
          <w:tcPr>
            <w:tcW w:w="20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for the six months ended June 30, 2011 and 2010</w:t>
              </w:r>
            </w:hyperlink>
          </w:p>
        </w:tc>
        <w:tc>
          <w:tcPr>
            <w:tcW w:w="27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9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4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300" w:type="dxa"/>
            <w:vAlign w:val="bottom"/>
            <w:gridSpan w:val="8"/>
          </w:tcPr>
          <w:p>
            <w:pPr>
              <w:jc w:val="center"/>
              <w:ind w:right="1940"/>
              <w:spacing w:after="0"/>
              <w:rPr>
                <w:sz w:val="20"/>
                <w:szCs w:val="20"/>
                <w:color w:val="auto"/>
              </w:rPr>
            </w:pPr>
            <w:r>
              <w:rPr>
                <w:rFonts w:ascii="Arial" w:cs="Arial" w:eastAsia="Arial" w:hAnsi="Arial"/>
                <w:sz w:val="18"/>
                <w:szCs w:val="18"/>
                <w:color w:val="auto"/>
                <w:w w:val="94"/>
              </w:rPr>
              <w:t>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0040" w:type="dxa"/>
            <w:vAlign w:val="bottom"/>
            <w:gridSpan w:val="16"/>
          </w:tcPr>
          <w:p>
            <w:pPr>
              <w:spacing w:after="0" w:line="184"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17"/>
                <w:szCs w:val="17"/>
                <w:color w:val="auto"/>
              </w:rPr>
            </w:pPr>
          </w:p>
        </w:tc>
        <w:tc>
          <w:tcPr>
            <w:tcW w:w="87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4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3640" w:type="dxa"/>
            <w:vAlign w:val="bottom"/>
            <w:tcBorders>
              <w:top w:val="single" w:sz="8" w:color="0000EE"/>
            </w:tcBorders>
            <w:gridSpan w:val="6"/>
          </w:tcPr>
          <w:p>
            <w:pPr>
              <w:spacing w:after="0"/>
              <w:rPr>
                <w:sz w:val="17"/>
                <w:szCs w:val="17"/>
                <w:color w:val="auto"/>
              </w:rPr>
            </w:pPr>
          </w:p>
        </w:tc>
        <w:tc>
          <w:tcPr>
            <w:tcW w:w="58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4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2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EXHIBIT LIST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3"/>
        </w:trPr>
        <w:tc>
          <w:tcPr>
            <w:tcW w:w="10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gridSpan w:val="2"/>
          </w:tcPr>
          <w:p>
            <w:pPr>
              <w:spacing w:after="0"/>
              <w:rPr>
                <w:sz w:val="24"/>
                <w:szCs w:val="24"/>
                <w:color w:val="auto"/>
              </w:rPr>
            </w:pPr>
          </w:p>
        </w:tc>
        <w:tc>
          <w:tcPr>
            <w:tcW w:w="5800" w:type="dxa"/>
            <w:vAlign w:val="bottom"/>
            <w:gridSpan w:val="10"/>
          </w:tcPr>
          <w:p>
            <w:pPr>
              <w:jc w:val="right"/>
              <w:ind w:right="11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Available-for-sales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$467 at both June 30, 2011 and December 31,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80,989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Investment, at cost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85,655</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23,350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260" w:type="dxa"/>
            <w:vAlign w:val="bottom"/>
            <w:gridSpan w:val="2"/>
          </w:tcPr>
          <w:p>
            <w:pPr>
              <w:spacing w:after="0"/>
              <w:rPr>
                <w:sz w:val="20"/>
                <w:szCs w:val="20"/>
                <w:color w:val="auto"/>
              </w:rPr>
            </w:pPr>
            <w:r>
              <w:rPr>
                <w:rFonts w:ascii="Arial" w:cs="Arial" w:eastAsia="Arial" w:hAnsi="Arial"/>
                <w:sz w:val="18"/>
                <w:szCs w:val="18"/>
                <w:color w:val="auto"/>
                <w:w w:val="93"/>
              </w:rPr>
              <w:t>Convertible preferred stock issuable in series: $0.001 par value, 10,000 and 11,269 shares authorized at June 30, 2011 and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w w:val="95"/>
              </w:rPr>
              <w:t>December 31, 2010, respectively; 0 and 10,296 shares issued and outstanding as of June 30, 2011 and 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w w:val="95"/>
              </w:rPr>
              <w:t>Common stock: $0.001 par value, 200,000 and 18,327 shares authorized at June 30, 2011 and December 31, 2010,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w w:val="99"/>
              </w:rPr>
              <w:t>respectively; 19,986 and 1,937 shares issued and outstanding as of June 30, 2011 and December 31, 2010,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276,910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(213,851)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(199,327)</w:t>
            </w:r>
          </w:p>
        </w:tc>
        <w:tc>
          <w:tcPr>
            <w:tcW w:w="0" w:type="dxa"/>
            <w:vAlign w:val="bottom"/>
          </w:tcPr>
          <w:p>
            <w:pPr>
              <w:spacing w:after="0"/>
              <w:rPr>
                <w:sz w:val="1"/>
                <w:szCs w:val="1"/>
                <w:color w:val="auto"/>
              </w:rPr>
            </w:pPr>
          </w:p>
        </w:tc>
      </w:tr>
      <w:tr>
        <w:trPr>
          <w:trHeight w:val="20"/>
        </w:trPr>
        <w:tc>
          <w:tcPr>
            <w:tcW w:w="9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2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62,305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85,655</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4"/>
                <w:szCs w:val="14"/>
                <w:color w:val="auto"/>
              </w:rPr>
            </w:pPr>
          </w:p>
        </w:tc>
        <w:tc>
          <w:tcPr>
            <w:tcW w:w="18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9,711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7,469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18,123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Grant revenue</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14,739</w:t>
            </w:r>
          </w:p>
        </w:tc>
        <w:tc>
          <w:tcPr>
            <w:tcW w:w="0" w:type="dxa"/>
            <w:vAlign w:val="bottom"/>
          </w:tcPr>
          <w:p>
            <w:pPr>
              <w:spacing w:after="0"/>
              <w:rPr>
                <w:sz w:val="1"/>
                <w:szCs w:val="1"/>
                <w:color w:val="auto"/>
              </w:rPr>
            </w:pPr>
          </w:p>
        </w:tc>
      </w:tr>
      <w:tr>
        <w:trPr>
          <w:trHeight w:val="330"/>
        </w:trPr>
        <w:tc>
          <w:tcPr>
            <w:tcW w:w="74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3,422</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(6,654)</w:t>
            </w:r>
          </w:p>
        </w:tc>
        <w:tc>
          <w:tcPr>
            <w:tcW w:w="1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(11,532)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 warrants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(10,289)</w:t>
            </w: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w w:val="95"/>
              </w:rPr>
              <w:t>Deemed dividend related to the change in conversion rate of Series E convertible preferred stock</w:t>
            </w:r>
          </w:p>
        </w:tc>
        <w:tc>
          <w:tcPr>
            <w:tcW w:w="1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(24,424)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0" w:type="dxa"/>
            <w:vAlign w:val="bottom"/>
            <w:gridSpan w:val="2"/>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used in computing net loss per share attributed to common stockholders, basic and diluted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19,975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(14,524)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 warrants,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Write-off of debt discount upon note repayment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(57,712)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Maturities of available-for-sale securities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(Increase) decrease in restricted cash</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(54,957)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Repayment of note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72,232</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184,550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w w:val="96"/>
              </w:rPr>
              <w:t>Issuance of convertible preferred stock warrants in connection with note and warrant agreement and long-term debt</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40" w:type="dxa"/>
            <w:vAlign w:val="bottom"/>
            <w:gridSpan w:val="2"/>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convertible preferred stock warrants upon initial public offering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Conversion of convertible preferred stock warrants to common stock warrants</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40" w:type="dxa"/>
            <w:vAlign w:val="bottom"/>
            <w:gridSpan w:val="2"/>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exercise of convertible preferred stock warrants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Fluidigm Corporation (the Company) was incorporated in the State of California on May 19, 1999, to commercialize microfluidic technology initially developed at the California Institute of Technology. In July 2007, the Company was reincorporated in the State of Delaware. The Company’s headquarters are located in South San Francisco, California. 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220" w:lineRule="exact"/>
        <w:rPr>
          <w:sz w:val="20"/>
          <w:szCs w:val="20"/>
          <w:color w:val="auto"/>
        </w:rPr>
      </w:pPr>
    </w:p>
    <w:p>
      <w:pPr>
        <w:ind w:right="7660" w:firstLine="8"/>
        <w:spacing w:after="0" w:line="347"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and six months ended June 30, 2011 are not necessarily indicative of the results to be expected for the year ending December 31, 2011 or for any other interim period or for any other future year. The balance sheet as of December 31, 2010 has been derived from audited consolidated financial statements at that date but does not include all of the information required by U.S. GAAP for complete financial statements.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provisions,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2010 included in the Company’s Annual Report on Form 10-K filed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February 2011, the Company amended and restated its Certificate of Incorporation. The amendment and restatement increased the total number of shares of stock authorized for issuance from 29,595,999 to 210,000,000, consisting of an increase in the number of shares of common stock authorized for issuance from 18,327,000 to 200,000,000 and a decrease in the number of shares of preferred stock authorized for issuance from 11,268,999 to 10,000,000.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January 2011, the Company amended and restated its Certificate of Incorporation decreasing the conversion price of its Series E convertible preferred stock from $24.22 to $18.63 per share. As a result, the Company recognized a deemed dividend of $9,900,000 to reflect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3, 2011, the Company effected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these condensed consolidated financial statements have been retroactively adjusted to reflect this reverse stock split and par value change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9, 2011, the Company’s registration statement on Form S-1 relating to an initial public offering (IPO) of its common stock was declared effective by the SEC. Upon the closing of the IPO in February 2011, the Company sold 6,392,083 shares of common stock and received net cash proceeds of approximately $77.0 million. Concurrently, all outstanding shares of convertible preferred stock converted by their terms into approximately 11,480,000 shares of common stock with the related carrying value of approximately $184,550,000 reclassified to common stock and additional 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basic and diluted net loss per share attributed to common stockholders is calculated by dividing net loss attributed to common stockholders by the weighted-average number of shares of common stock outstanding for the period. The Company’s convertible preferred stock, options to purchase common stock and warrants to purchase convertible preferred stock are considered to be potential common shares but have been excluded from the calculation of diluted net loss per share as their effect is anti-dilutive.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attributed to common stockholders for the interim periods presented because including them would have been anti-dilutive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4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2,314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2,229</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 minority equity investment in a privately-held company that is accounted for under the cost method of accounting. Under the cost method of accounting, investments in equity securities are carried at cost and are adjusted only for other-than-temporary declines in value. No such declines have been identified through June 30,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Comprehensive loss primarily consists of net loss and an immaterial amount of foreign currency translation adjustments for all periods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ratified authoritative accounting guidance regarding revenue recognition for arrangements with multiple deliverables. The guidance impacts the determination of when the individual deliverables included in a multiple element arrangement may be treated as separate units of accounting. Additionally,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This guidance is effective for fiscal years beginning on or after June 15, 2010 and early adoption is permitted. The Company adopted this guidance prospectively on January 1, 2011. The adoption of this standard did not have a material impact on the Company’s condensed consolidated financial statements. However, the adoption of this standard may result in revenue recognition patterns for future agreements that are materially different from those recognized for the Company’s past multiple-element arrangements.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This guidance is effective for fiscal years beginning on or after June 15, 2010 and early adoption is permitted. This guidance must be adopted in the same period an entity adopts the amended guidance for revenue arrangements with multiple deliverables described in the preceding paragraph. The Company adopted this guidance prospectively on January 1, 2011. The adoption of this standard did not have a material impact on the Company’s condensed consolidated financial statements.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A milestone is substantive if the consideration earned from the achievement of the milestone is consistent with the Company’s performance required to achieve the milestone or the increase in value to the collaboration resulting from the Company’s performance, relates solely to past performance, and is reasonable relative to all of the other deliverables and payments within the arrangement. The milestone method of revenue recognition is effective for new arrangements or existing arrangements which are materially modified for fiscal years beginning on or after June 15, 2010 and early adoption is permitted. The Company adopted this guidance prospectively on January 1, 2011. The election of the milestone method did not have a material impact on the Company’s condensed consolidated financial statements and is not expected to result in different accounting treatment for future substantive milestones earned after the date of this adoption. Non-substantive milestones will continue to be recognized over the remaining performance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changes to conform existing guidance regarding fair value measurement and disclosure between U.S. GAAP and International Financial Reporting Standards. This guidance clarifies the application of existing fair value measurements and disclosures, and changes certain principles or requirements for fair value measurements and disclosures. The amendment is effective for interim and annual periods beginning after December 15, 2011 and will be applied prospectively. The Company is currently evaluating the impact on the Company’s condensed consolidated financial statements of adopting these amendments and cannot estimate the impact of adoption at this time.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June 2011, the FASB issued changes to the presentation of comprehensive income. These changes give an entity the option to present the total of comprehensive income, the components of net income, and the components of other comprehensive income either in a single continuous statement of comprehensive income or in two separate but consecutive statements; the option to present components of other comprehensive income as part of the statement of changes in stockholders’ equity was eliminated. The items that must be reported in other comprehensive income or when an item of other comprehensive income must be reclassified to net income were not changed. Additionally, no changes were made to the calculation and presentation of earnings per share. The amendment is effective for fiscal years, and interim periods within those years, beginning after December 15, 2011 and should be applied retrospectively. The Company is currently evaluating these changes to determine which option will be chosen for the presentation of comprehensive income.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the Company may be involved in lawsuits, arbitrations, claims, investigations and proceedings, relating to intellectual property, commercial, employment and other matters, which arise in the ordinary course of business. The Company makes provisions for liabilities when it is both probable that a liability has been incurred and the amount of the loss can be reasonably estimated. Such provisions, if necessary,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operations of that period or on the Company’s cash flows and liquidity.</w:t>
      </w:r>
    </w:p>
    <w:p>
      <w:pPr>
        <w:spacing w:after="0" w:line="236" w:lineRule="exact"/>
        <w:rPr>
          <w:sz w:val="20"/>
          <w:szCs w:val="20"/>
          <w:color w:val="auto"/>
        </w:rPr>
      </w:pPr>
    </w:p>
    <w:p>
      <w:pPr>
        <w:ind w:right="8020" w:firstLine="8"/>
        <w:spacing w:after="0" w:line="347" w:lineRule="auto"/>
        <w:tabs>
          <w:tab w:leader="none" w:pos="44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 License Agreements</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June 30, 2011, the Company settled certain litigation and entered into a series of patent license agreements with Life Technologies Corporation and its subsidiary Applied Biosystems, LLC (collectively, Life). These agreements settled litigation filed by the Company against Life on June 29, 2011 in United States District Court for the Northern District of California and litigation filed by Life against the Company on June 29, 2011 in United States District Court for the District of Delaware. The agreements resulted in a net $3.0 million payment by the Company to Life, which was recognized as a litigation settlement expense in the Company’s June 30, 2011 condensed consolidated statement of operations because the agreement specified that the amount paid by the Company was principally attributable to resolving Life’s litigation claims with respect to a specific expiring U.S. patent and its foreign counterparts. The agreements also provide for various royalty payments on future sales of certain products by each of the parties. Such royalty payments or receipts are not expected to be material to the Company in future periods based on its current business.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the next two to four years. These rights were subject to certain exceptions and required an additional payment by the party exercising the option at the time of exercise. In July 2011, the Company exercised its option and paid Life $2.0 million. As a result, subject to certain exceptions, Life may not initiate litigation under its patents existing as of June 30, 2011 against the Company’s customers for two years and against the Company, with respect to its current products and equivalent future products, for four years. The additional payment will be accounted for as an other asset and amortized to selling, general and administrative expense over 4 years on a straight-line basis beginning in July 2011. Life elected not to exercise its option.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May 2011, the Company entered into an agreement with Caliper Life Sciences, Inc. to license Caliper’s existing patent portfolio in certain fields, including non-invasive prenatal diagnostics, and obtained an option to extend the license to cover additional fields. Under the agreement, the Company made an up-front payment of $625,000, which is subject to adjustment, and will have royalty obligations commencing in January 2012. The Company’s royalty payments are not expected to be material to the Company in future periods. Additional payments are due if the Company exercises its option to extend the license or if the up-front payment is adjusted upwards. The up-front payment is being recognized as cost of product revenue on a straight-line basis through December 31, 2017, which is the Company’s estimated useful life of the patents with respect to its current and future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May 2010, the Company entered into a collaboration agreement to develop a new product and received an up-front payment of $750,000. Under the agreement, the Company is also eligible for milestone payments for the design and development of product prototypes.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2011, the Company entered into an amendment to the collaboration agreement and received an additional $300,000. Under the amendment,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milestones were modified and payment terms associated with satisfaction of the milestones were revised. The $750,000 up-front payment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$300,000 payment received in March 2011 are being recognized on a straight-line basis through September 30, 2011, which is the Company’s estimated period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the amended agreement.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amended collaboration agreement provides for payments to the Company upon the achievement of milestones, such as the design and development of product prototypes. These product prototypes have not been previously produced by the Company and the achievement of these and other future milestones was uncertain at the time the Company entered into the collaboration agreement. The Company considers each of the milestones to be substantive and, accordingly, expects to recognize as revenue future payments received from such milestones as each milestone is achieved. The Company achieved two such milestones during the three months ended June 30, 2011 and recognized $0.5 million of milestone revenue. At June 30, 2011, one additional milestone remains with a potential future payment of $0.5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as of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Pr>
          <w:p>
            <w:pPr>
              <w:spacing w:after="0"/>
              <w:rPr>
                <w:sz w:val="14"/>
                <w:szCs w:val="14"/>
                <w:color w:val="auto"/>
              </w:rPr>
            </w:pPr>
          </w:p>
        </w:tc>
        <w:tc>
          <w:tcPr>
            <w:tcW w:w="5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$1,996</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Work-in-process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r>
      <w:tr>
        <w:trPr>
          <w:trHeight w:val="330"/>
        </w:trPr>
        <w:tc>
          <w:tcPr>
            <w:tcW w:w="66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4,850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financial instruments consist principally of cash and cash equivalents, available-for-sale securities, accounts receivable, accounts payable and long-term debt. The carrying values of the Company’s cash equivalents, available-for-sale securities, accounts receivable and accounts payable approximated their fair values due to the short period of time to maturity or repayment. The Company’s long-term debt bears interest at a rate commensurate with the Company’s risk profile and stage of development, and, as a result, management believes its carrying value approximates fair value. As a basis for considering fair value, the Company follows a three-tier value hierarchy, which prioritizes the inputs used in measuring fair value as follows: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Company’s cash equivalents are classified as Level I because they are valued using quoted market prices. The Company’s available-for-sale securities are generally classified as Level II because their value is based on other observable inputs. The Company’s convertible preferred stock warrants are valued using Level III inputs, the valuation of which is discussed in Note 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Company’s financial instruments that were measured at fair value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2"/>
              </w:rPr>
              <w:t>June 30, 2011</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December 31, 2010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Level I</w:t>
            </w:r>
          </w:p>
        </w:tc>
        <w:tc>
          <w:tcPr>
            <w:tcW w:w="10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II</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Level I</w:t>
            </w:r>
          </w:p>
        </w:tc>
        <w:tc>
          <w:tcPr>
            <w:tcW w:w="30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II</w:t>
            </w:r>
          </w:p>
        </w:tc>
        <w:tc>
          <w:tcPr>
            <w:tcW w:w="30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2,189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2,189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53,787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2,189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53,787</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55,976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Changes in the fair value of the Company’s Level III convertible preferred stock warrants during the six months ended June 30, 2011 were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Expiration of warrants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Conversion to common stock warrants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6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10"/>
            <w:vMerge w:val="restart"/>
          </w:tcPr>
          <w:p>
            <w:pPr>
              <w:spacing w:after="0"/>
              <w:rPr>
                <w:sz w:val="20"/>
                <w:szCs w:val="20"/>
                <w:color w:val="auto"/>
              </w:rPr>
            </w:pPr>
            <w:r>
              <w:rPr>
                <w:rFonts w:ascii="Arial" w:cs="Arial" w:eastAsia="Arial" w:hAnsi="Arial"/>
                <w:sz w:val="18"/>
                <w:szCs w:val="18"/>
                <w:color w:val="auto"/>
                <w:w w:val="88"/>
              </w:rPr>
              <w:t>The following table sets forth our financial assets that were measured at fair value as of June 30, 2011 (in thousands):</w:t>
            </w: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10"/>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2"/>
                <w:szCs w:val="12"/>
                <w:color w:val="auto"/>
              </w:rPr>
            </w:pPr>
          </w:p>
        </w:tc>
        <w:tc>
          <w:tcPr>
            <w:tcW w:w="10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Loss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U.S. government and agency securities</w:t>
            </w: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53,784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55,973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contractual maturity date of all of the Company’s available-for-sale securities is within one year. The Company did not hold any available-for-sale securities as of December 31, 2010.</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 and Warrant Purchase Agreement 2010</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amount of $5,000,000 bearing interest at 8% per year. The Notes matured on the earliest to occur of the closing of the next financing in which the Company issued and sold shares of capital stock of at least $25,000,000, a change of control as defined in the Note Agreement, or January 6, 2012. The Company’s obligations under the Notes were secured by the assets of the Company, excluding intellectual property, and were subordinated to senior indebtedness of the loan agreement entered into in March 2005, as amended (see Note 7) and the Line of Credit (see Note 8). In connection with the Note Agreement, the Company issued warrants to acquire a total of 103,182 shares of Series E-1 convertible preferred stock with an exercise price of $0.02 per share. The fair value of these warrants, based on a contemporaneous valuation, was $1,157,000 and was recognized as an original issue discount amortizable over the expected life of the borrowing. In connection with the IPO in February 2011, the warrants were exercised for 103,182 shares of common stock and the Company repaid all principal and interest outstanding under these Notes in February and March 2011. Upon the repayment of the Notes, the unamortized discount of $1,157,000 was immediately recognized as interest expense.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entered into a long-term loan agreement in March 2005 that was subsequently amended in 2006, 2008, 2009, and 2010. In connection with this long-term loan agreement and in conjunction with the various amendments thereto, the Company issued a total of 209,960 warrants to purchase shares of convertible preferred stock to the lender. As of June 30, 2011, the outstanding balance under this long-term loan agreement was $13,000,000 with interest accruing at 13.5% per annum and the loan maturing in February 2013. Commencing in March 2011, the Company began making monthly payments of $612,000 for principal and interest and will make an additional payment of $2,263,000 in March 2012. The additional payment is being recognized as interest expense using the effective interest method through the extended maturity date of February 2013. Upon completion of the IPO in February 2011, all 209,960 warrants to purchase preferred stock that were held by the lender were converted to warrants to purchase shares of common stock. The common stock warrants have an exercise price of $12.11 and expire at various dates though 2017. As of June 30, 2011, the Company was in compliance with all loan covenants under this long-term loan agreement.</w:t>
      </w:r>
    </w:p>
    <w:p>
      <w:pPr>
        <w:spacing w:after="0" w:line="2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2010, the Company entered into a bank line of credit agreement (Line of Credit) that is collateralized by the Company’s accounts receivable and provided the Company with the ability to borrow up to $4,000,000, subject to certain covenants and other restrictions. The term of the Line of Credit is two years and it bears interest at the greater of (i) 5.50% or (ii) the prime rate, as defined in the Line of Credit, plus 2.25% per year. As of December 31, 2010, the outstanding balance on the Line of Credit was $3,125,000. In February 2011, the Company repaid all outstanding borrowings under the Line of Credit. In March 2011, the Line of Credit was amended to increase the credit limit to $7,000,000. At June 30, 2011, there was no outstanding balance on the Line of Credit and the Company was in compliance with its loan covenants.</w:t>
      </w:r>
    </w:p>
    <w:p>
      <w:pPr>
        <w:spacing w:after="0" w:line="23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February 10, 2011, the Company had total outstanding warrants to purchase 489,880 shares of convertible preferred stock that had been granted at various times since 2001. Warrants to purchase the Company’s convertible preferred stock were recognized at fair value using the Black-Scholes option-pricing model and classified as liabilities because the warrants may have conditionally obligated the Company to transfer assets at some point in the future. The warrants were subject to re-measurement to fair value at each balance sheet date and any change in fair value was recognized in gain (loss) from changes in the fair value of convertible preferred stock warrants, in the condensed consolidated statements of operations. The fair value of these warrants was approximately $3,691,000 at February 10, 2011, which was an increase in fair value of approximately $1,483,000 since December 31, 2010. Upon the closing of the IPO, approximately 103,182 of such warrants were net exercised and the related liability of $1,391,000 was reclassified to additional paid-in capital and 209,960 of such warrants were converted into warrants to purchase common stock and the related liability of $1,535,000 was reclassified to additional paid-in capital. The remaining 176,738 warrants expired unexercised and the related liability of $765,000 was recognized as other income in the six months ended June 30, 2011.</w:t>
      </w:r>
    </w:p>
    <w:p>
      <w:pPr>
        <w:spacing w:after="0" w:line="22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June 30, 2011, the Company granted to certain employees options to purchase 330,000 shares of common stock. During the six months ended June 30, 2011, the Company granted to certain employees options to purchase 828,000 shares of common stock. Of these options, 438,000 were granted with an exercise price of $8.37 per share, 385,000 were granted with exercise prices ranging from $14.31 to $14.90 per share, and the remainder were granted with an exercise price of $16.77 per share. These options had a total fair value of $5,053,000, of which $488,000 was immediately recognized as compensation expense because 66,500 of such options were fully vested upon grant while the remainder will vest over four years.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computation of the fair value of stock options and other equity instruments using the Black-Scholes option pricing model requires inputs such as the fair value of the Company’s common stock. For options granted prior to the IPO in February 2011, the Company performed a contemporaneous valuation to determine the fair value of its common stock.</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recognized stock-based compensation expense of $538,000 and $417,000 during the three months ended June 30, 2011 and 2010, respectively. During the six months ended June 30, 2011 and 2010, the Company recognized stock-based compensation expense of $1,328,000 and $846,000, respectively. As of June 30, 2011, the Company had $5.2 million of unrecognized stock-based compensation costs, which are expected to be recognized over an average period of 3.3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Income tax expense for the three and six months ended June 30, 2011 was $62,000 and $110,000, respectively, and was comprised of state and foreign income taxes. The provision for income taxes for the periods differs from the 34% U.S. Federal statutory rate primarily due to maintaining a valuation allowance for U.S. losses and tax assets which the Company does not consider to be realizable.</w:t>
      </w:r>
    </w:p>
    <w:p>
      <w:pPr>
        <w:spacing w:after="0" w:line="2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88"/>
              </w:rPr>
              <w:t>Three Months Ended June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r>
      <w:tr>
        <w:trPr>
          <w:trHeight w:val="330"/>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9,711</w:t>
            </w:r>
          </w:p>
        </w:tc>
        <w:tc>
          <w:tcPr>
            <w:tcW w:w="6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7,469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13,733</w:t>
            </w:r>
          </w:p>
        </w:tc>
        <w:tc>
          <w:tcPr>
            <w:tcW w:w="100" w:type="dxa"/>
            <w:vAlign w:val="bottom"/>
          </w:tcPr>
          <w:p>
            <w:pPr>
              <w:spacing w:after="0"/>
              <w:rPr>
                <w:sz w:val="24"/>
                <w:szCs w:val="24"/>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The Company’s collaboration revenue is primarily generated in the United States and grant revenue is generated in Singapore and the United States. -12-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“Risk Factors” and this Management’s Discussion and Analysis of Financial Condition and Results of Operations.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 this Form 10-Q, “we,” “us” and “our” refer to Fluidigm Corporation and its subsidiaries. We operate on a fiscal year ending December 31.</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nine different commercial chips to leading pharmaceutical and biotechnology companies, academic institutions, diagnostic laboratories and Ag-Bio companies. We have sold over 400 systems to customers in over 25 countries worldwide through the date of this report.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total revenue grew from $15.3 million in 2008 to $33.6 million in 2010 and to $19.3 million in the six months ended June 30, 2011. We have incurred significant net losses since our inception in 1999 and as of June 30, 2011, our accumulated deficit was $213.9 million.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African, Middle Eastern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10-Q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certain of our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There have been no material changes in the matters for which we make critical accounting estimates in the preparation of our condensed consolidated financial statements during the three and six-month periods ended June 30, 2011 as compared to those disclosed in our Annual Report on Form 10-K filed with the SEC on March 28,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86"/>
              </w:rPr>
              <w:t>Three Months Ended June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6,434</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11,391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8"/>
                <w:szCs w:val="18"/>
                <w:color w:val="auto"/>
              </w:rPr>
            </w:pPr>
          </w:p>
        </w:tc>
      </w:tr>
      <w:tr>
        <w:trPr>
          <w:trHeight w:val="329"/>
        </w:trPr>
        <w:tc>
          <w:tcPr>
            <w:tcW w:w="6340" w:type="dxa"/>
            <w:vAlign w:val="bottom"/>
          </w:tcPr>
          <w:p>
            <w:pPr>
              <w:spacing w:after="0"/>
              <w:rPr>
                <w:sz w:val="20"/>
                <w:szCs w:val="20"/>
                <w:color w:val="auto"/>
              </w:rPr>
            </w:pPr>
            <w:r>
              <w:rPr>
                <w:rFonts w:ascii="Arial" w:cs="Arial" w:eastAsia="Arial" w:hAnsi="Arial"/>
                <w:sz w:val="18"/>
                <w:szCs w:val="18"/>
                <w:color w:val="auto"/>
              </w:rPr>
              <w:t>Product revenue</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9,711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7,469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18,123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13,733</w:t>
            </w:r>
          </w:p>
        </w:tc>
        <w:tc>
          <w:tcPr>
            <w:tcW w:w="100" w:type="dxa"/>
            <w:vAlign w:val="bottom"/>
          </w:tcPr>
          <w:p>
            <w:pPr>
              <w:spacing w:after="0"/>
              <w:rPr>
                <w:sz w:val="24"/>
                <w:szCs w:val="24"/>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Grant revenue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r>
      <w:tr>
        <w:trPr>
          <w:trHeight w:val="115"/>
        </w:trPr>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14,739</w:t>
            </w:r>
          </w:p>
        </w:tc>
        <w:tc>
          <w:tcPr>
            <w:tcW w:w="10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86"/>
              </w:rPr>
              <w:t>Six Months Ended June 30,</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$5,164</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$4,401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2,408</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1,554</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4,555</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3,193</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1,061</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1,650</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0"/>
        </w:trPr>
        <w:tc>
          <w:tcPr>
            <w:tcW w:w="5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0"/>
        </w:trPr>
        <w:tc>
          <w:tcPr>
            <w:tcW w:w="5520" w:type="dxa"/>
            <w:vAlign w:val="bottom"/>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$ 9,711</w:t>
            </w:r>
          </w:p>
        </w:tc>
        <w:tc>
          <w:tcPr>
            <w:tcW w:w="26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7,469</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18,123</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13,733</w:t>
            </w:r>
          </w:p>
        </w:tc>
        <w:tc>
          <w:tcPr>
            <w:tcW w:w="3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5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5520" w:type="dxa"/>
            <w:vAlign w:val="bottom"/>
          </w:tcPr>
          <w:p>
            <w:pPr>
              <w:spacing w:after="0"/>
              <w:rPr>
                <w:sz w:val="24"/>
                <w:szCs w:val="24"/>
                <w:color w:val="auto"/>
              </w:rPr>
            </w:pPr>
          </w:p>
        </w:tc>
        <w:tc>
          <w:tcPr>
            <w:tcW w:w="500" w:type="dxa"/>
            <w:vAlign w:val="bottom"/>
          </w:tcPr>
          <w:p>
            <w:pPr>
              <w:jc w:val="right"/>
              <w:ind w:right="77"/>
              <w:spacing w:after="0"/>
              <w:rPr>
                <w:sz w:val="20"/>
                <w:szCs w:val="20"/>
                <w:color w:val="auto"/>
              </w:rPr>
            </w:pPr>
            <w:r>
              <w:rPr>
                <w:rFonts w:ascii="Arial" w:cs="Arial" w:eastAsia="Arial" w:hAnsi="Arial"/>
                <w:sz w:val="18"/>
                <w:szCs w:val="18"/>
                <w:color w:val="auto"/>
                <w:w w:val="99"/>
              </w:rPr>
              <w:t>-14-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Grant revenue is generated in Singapore and the United States. Collaboration revenue is primarily generated in the United States. As we expand our business internationally, we expect our product revenue from outside of the United States to increase as a percentage of our total product revenue.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Revenue from the five largest customers comprised 16% and 12% of our total revenue in the three and six-months ended June 30, 2011, respectively and 20% and 17% of our total revenue for the three and six-months ended June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2011 and June 30,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Total revenue increased by $2.6 million, or 32%, to $10.6 million for the three months ended June 30, 2011 as compared to $8.0 million for the three months ended June 30,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$2.2 million, or 30%, to $9.7 million for the three months ended June 30, 2011 as compared to $7.5 million for the three months ended June 30, 2010. Consumables revenue increased by $0.7 million, or 30%, resulting from the higher installed base of our instruments, and instrument revenue increased by $1.5 million, or 30%. Our instrument system unit sales volume increased by 21%, primarily driven by increased sales of our Access Array instrument which launched in the second half of 2009. The average selling price for instruments was higher for the three months ended June 30, 2011 compared to the three months ended June 30, 2010 due to increased sales in Japan and Europe where average selling prices are higher, partially offset by increased sales of our Access Array instrument which has a lower average selling price than our BioMark and EP1 instruments.</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expect unit sales of both instruments and consumables to continue to increase in future periods as we continue our efforts to grow our customer base and expand our geographic market coverage. However, we expect the average selling prices of our instruments to fluctuate over time based on product mix and currency fluctuations.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Collaboration revenue was $0.8 million for the three months ended June 30, 2011 compared to $0.1 million in the three months ended June 30, 2010. The increase in collaboration revenue of $0.7 million is due to the achievement of two milestones from a fixed-fee research and development agreement that we entered into in May 2010. The arrangement provided for an up-front fee of $0.7 million which is being recognized over the term of the agreement, projected to be fifteen months. In March 2011, we amended the collaboration agreement and received an additional $0.3 million payment. Under the amendment, certain milestones and the payment terms associated with satisfaction of the milestones were modified. The total up-front and additional payment of $1.05 million is being recognized on a straight-line basis over the estimated performance period, through September 30, 2011. The arrangement also provides for milestone payments, which payments have been and are expected to be recognized as we achieve milestones.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 revenue consists of incentive grants from Singapore Economic Development Board, or EDB, and California Institute for Regenerative Medicine, or CIRM. Grant revenue decreased $0.4 million, or 77%, to $0.1 million for the three months ended June 30, 2011 compared to $0.5 million for the three months ended June 30, 2010. The decrease relates to a reduction in activity under the EDB grant agreements as we achieved certain milestones and reached the end of the grant periods.</w:t>
      </w:r>
    </w:p>
    <w:p>
      <w:pPr>
        <w:spacing w:after="0" w:line="14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Under our agreements with EDB, we were eligible to receive incentive grant payments from EDB, provided we satisfied certain agreed upon targets. Our agreements with EDB provided for incentive funding eligibility through May 2011. From January 1, 2008 through December 31, 2010, we recognized</w:t>
      </w:r>
    </w:p>
    <w:p>
      <w:pPr>
        <w:ind w:right="140"/>
        <w:spacing w:after="0" w:line="253" w:lineRule="auto"/>
        <w:rPr>
          <w:sz w:val="20"/>
          <w:szCs w:val="20"/>
          <w:color w:val="auto"/>
        </w:rPr>
      </w:pPr>
      <w:r>
        <w:rPr>
          <w:rFonts w:ascii="Arial" w:cs="Arial" w:eastAsia="Arial" w:hAnsi="Arial"/>
          <w:sz w:val="18"/>
          <w:szCs w:val="18"/>
          <w:color w:val="auto"/>
        </w:rPr>
        <w:t>$4.3 million of grant revenue from EDB. During the three months ended June 30, 2011, we recognized an additional $4,000 of grant revenue from EDB. These agreements further provided EDB with the right to demand repayment of a portion of past grants in the event that we did not meet our obligations under the applicable agreements. Our first grant agreement with EDB was completed in July 2010 and has been officially closed by EDB with no adjustments. Our second grant agreement was completed in May 2011, and, based on correspondence with EDB, we believe that we have satisfied our obligations applicable to our EDB grant revenue through June 30, 2011.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expect total grant revenue for 2011 and future periods to decrease significantly compared to 2010 as the first of our EDB grant agreements was completed in July 2010 and our second EDB grant agreement was completed in May 2011. We expect this decrease will be partially offset by grant revenue from CIRM resulting from a new grant of $1.9 million to be recognized over three years beginning in May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cost of our product revenue and our product margin for each period presented (in thousands, other than percentages):</w:t>
      </w:r>
    </w:p>
    <w:p>
      <w:pPr>
        <w:spacing w:after="0" w:line="230"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0</wp:posOffset>
            </wp:positionV>
            <wp:extent cx="1397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7860"/>
        <w:spacing w:after="0"/>
        <w:tabs>
          <w:tab w:leader="none" w:pos="932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tbl>
      <w:tblPr>
        <w:tblLayout w:type="fixed"/>
        <w:tblInd w:w="1380" w:type="dxa"/>
        <w:tblCellMar>
          <w:top w:w="0" w:type="dxa"/>
          <w:left w:w="0" w:type="dxa"/>
          <w:bottom w:w="0" w:type="dxa"/>
          <w:right w:w="0" w:type="dxa"/>
        </w:tblCellMar>
      </w:tblP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2,965</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2,900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margin</w:t>
            </w:r>
          </w:p>
        </w:tc>
        <w:tc>
          <w:tcPr>
            <w:tcW w:w="3440" w:type="dxa"/>
            <w:vAlign w:val="bottom"/>
            <w:gridSpan w:val="3"/>
          </w:tcPr>
          <w:p>
            <w:pPr>
              <w:jc w:val="right"/>
              <w:ind w:right="320"/>
              <w:spacing w:after="0"/>
              <w:rPr>
                <w:sz w:val="20"/>
                <w:szCs w:val="20"/>
                <w:color w:val="auto"/>
              </w:rPr>
            </w:pPr>
            <w:r>
              <w:rPr>
                <w:rFonts w:ascii="Arial" w:cs="Arial" w:eastAsia="Arial" w:hAnsi="Arial"/>
                <w:sz w:val="18"/>
                <w:szCs w:val="18"/>
                <w:color w:val="auto"/>
              </w:rPr>
              <w:t>69%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product revenue increased $0.1 million, or 2%, to $3.0 million for the three months ended June 30, 2011 from $2.9 million for the three months ended June 30, 2010 due to increased product sales. Cost of product revenue as a percentage of related revenue decreased to 31% for the three months ended June 30, 2011 compared to 39% for the three months ended June 30, 2010. This decrease was due to lower instrument costs, higher average selling prices, higher utilization of chip manufacturing capacity, and improved chip yields.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r>
      <w:tr>
        <w:trPr>
          <w:trHeight w:val="142"/>
        </w:trPr>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330"/>
        </w:trPr>
        <w:tc>
          <w:tcPr>
            <w:tcW w:w="65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14,265</w:t>
            </w:r>
          </w:p>
        </w:tc>
        <w:tc>
          <w:tcPr>
            <w:tcW w:w="6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24"/>
                <w:szCs w:val="24"/>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Research and development expense was $3.4 million for each of the three months ended June 30, 2011 and June 30, 2010. During the three months ended June 30, 2011, decreases in compensation costs and related expenses of $0.2 million were offset by increases in consulting and professional fees of $0.2 million, as compared to the three months ended June 30, 2010. We believe that our continued investment in research and development is essential to our long-term competitive position and these expenses may increase in future periods.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 increased $1.9 million, or 33%, to $7.8 million for the three months ended June 30, 2011,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$5.9 million for the three months ended June 30, 2010. The increase was primarily due to increased compensation costs and related expenses of $1.5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increased headcount to support our business and revenue growth, increased legal and professional fees of $0.6 million, increased other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to support our public company requirements, partially offset by lower bad debt expense of $0.3 million and lower rent expense of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our new lease on more favorable terms for our headquarters facility in South San Francisco, California. We expect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 to increase in future periods as we continue to grow our sales, technical support, marketing and administrative headcount, support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increased product sales, broaden our customer base and incur additional costs to support our expanded global footprint and the overall growth in our business.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also expect legal, accounting and compliance costs to increase as a result of our becoming a public company.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resulting in a net $3.0 million payment by us to Life Technologies and their subsidiary Applied Biosystems, LLC, referred to collectively as Life. The payment was recognized as litigation settlement expense in our June 30, 2011 condensed consolidated statement of operations because the agreement specified that the amount paid by us was principally attributable to resolving Life’s litigation claims with respect to a specific expiring U.S. patent and its foreign counterparts. We had no similar settlement in the three months ended June 30, 2010.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available-for-sale securities. Conversely, we incur interest expense from our long-term debt, bank line of credit, promissory notes and the amortization of debt discounts related to these items. Until the completion of the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Three Months Ended June 30,</w:t>
            </w:r>
          </w:p>
        </w:tc>
      </w:tr>
      <w:tr>
        <w:trPr>
          <w:trHeight w:val="142"/>
        </w:trPr>
        <w:tc>
          <w:tcPr>
            <w:tcW w:w="6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7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 warrants</w:t>
            </w:r>
          </w:p>
        </w:tc>
        <w:tc>
          <w:tcPr>
            <w:tcW w:w="16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Interest expense was $0.5 million for the three months ended June 30, 2011 compared to $0.6 million for the three months ended June 30, 2010. The decrease is primarily due to a reduction in loan principal as we began making principal payments on our long-term debt in March 2011. We expect interest expense to decrease in 2011 as we repay our outstanding debt.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income decreased $66,000, to $42,000 for the three months ended June 30, 2011 compared to $108,000 for the three months ended June 30, 2010 primarily due to unfavorable changes in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2011 and June 30,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revenue increased by $4.5 million, or 31%, to $19.3 million for the six months ended June 30, 2011 as compared to $14.7 million for the six months ended June 30,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Product revenue increased by $4.4 million, or 32%, to $18.1 million for the six months ended June 30, 2011 as compared to $13.7 million for the six months ended June 30, 2010. Consumables revenue increased by $2.1 million, or 44%, resulting from our higher installed base of instruments, and instrument revenue increased by $2.3 million, or 26%. Our instrument system unit sales volume increased by 28%, primarily driven by increased sales of our Access Array instrument. The average selling price for instruments was higher for the six months ended June 30, 2011 compared to the six months ended June 30, 2010 due to increased sales in Japan and Europe where average selling prices are higher partially offset by increased sales of our Access Array instrument which has a lower average selling price than our BioMark and EP1 instruments.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Collaboration revenue increased by $0.8 million to $0.9 million for the six months ended June 30, 2011 compared to $0.1 million for the six months ended June 30, 2010. The increase in collaboration revenue is due to the achievement of three milestones related to a fixed-fee research and development agreement that we entered into in May 2010. The arrangement provided for an up-front fee of $0.7 million which is being recognized over the term of the agreement, projected to be 15 months. In March 2011, we amended the collaboration agreement and received an additional $0.3 million payment. Under the amendment, certain milestones and the payment terms associated with satisfaction of the milestones were modified. The total up-front and additional payment of $1.1 million is being recognized on a straight-line basis over the estimated performance period, through September 30, 2011. The arrangement also provides for milestone payments, which payments have been and are expected to be recognized as we achieve each milestone.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Grant revenue consists of incentive grants from the Singapore Economic Development Board, or EDB, and the California Institute for Regenerative Medicine, or CIRM. Grant revenue decreased $0.7 million, or 75%, to $0.2 million for the six months ended June 30, 2011 compared to $0.9 million for the six months ended June 30, 2010. The decrease relates to a reduction in activity under the EDB grant agreements as we achieved certain milestones and reached the end of the grant periods.</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our agreements with EDB, we were eligible to receive incentive grant payments from EDB, provided we satisfied certain agreed upon targets. Our agreements with EDB provided for incentive funding eligibility through May 2011. From January 1, 2008 through December 31, 2010, we recognized</w:t>
      </w:r>
    </w:p>
    <w:p>
      <w:pPr>
        <w:spacing w:after="0" w:line="253" w:lineRule="auto"/>
        <w:rPr>
          <w:sz w:val="20"/>
          <w:szCs w:val="20"/>
          <w:color w:val="auto"/>
        </w:rPr>
      </w:pPr>
      <w:r>
        <w:rPr>
          <w:rFonts w:ascii="Arial" w:cs="Arial" w:eastAsia="Arial" w:hAnsi="Arial"/>
          <w:sz w:val="18"/>
          <w:szCs w:val="18"/>
          <w:color w:val="auto"/>
        </w:rPr>
        <w:t>$4.3 million of grant revenue from EDB. During the six months ended June 30, 2011, we recognized an additional $31,000 of grant revenue from EDB. These agreements further provided EDB with the right to demand repayment of a portion of past grants in the event that we did not meet our obligations under the applicable agreements. Our first grant agreement with EDB was completed in July 2010 and has been officially closed by EDB with no adjustments. Our second grant agreement with EDB was completed in May 2011 and based on correspondence with EDB, we believe that we have satisfied our obligations applicable to our EDB grant revenue through June 30, 2011.</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cost of our product revenue and our product margin for each period presented (in thousands, other than percentages):</w:t>
      </w:r>
    </w:p>
    <w:p>
      <w:pPr>
        <w:spacing w:after="0" w:line="230" w:lineRule="exact"/>
        <w:rPr>
          <w:sz w:val="20"/>
          <w:szCs w:val="20"/>
          <w:color w:val="auto"/>
        </w:rPr>
      </w:pPr>
    </w:p>
    <w:p>
      <w:pPr>
        <w:jc w:val="right"/>
        <w:ind w:right="17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0</wp:posOffset>
            </wp:positionV>
            <wp:extent cx="1260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jc w:val="both"/>
        <w:ind w:left="8040"/>
        <w:spacing w:after="0"/>
        <w:tabs>
          <w:tab w:leader="none" w:pos="93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tbl>
      <w:tblPr>
        <w:tblLayout w:type="fixed"/>
        <w:tblInd w:w="1380" w:type="dxa"/>
        <w:tblCellMar>
          <w:top w:w="0" w:type="dxa"/>
          <w:left w:w="0" w:type="dxa"/>
          <w:bottom w:w="0" w:type="dxa"/>
          <w:right w:w="0" w:type="dxa"/>
        </w:tblCellMar>
      </w:tblP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5,878</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5,545</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Product margin</w:t>
            </w:r>
          </w:p>
        </w:tc>
        <w:tc>
          <w:tcPr>
            <w:tcW w:w="3440" w:type="dxa"/>
            <w:vAlign w:val="bottom"/>
            <w:gridSpan w:val="3"/>
          </w:tcPr>
          <w:p>
            <w:pPr>
              <w:jc w:val="right"/>
              <w:ind w:right="280"/>
              <w:spacing w:after="0"/>
              <w:rPr>
                <w:sz w:val="20"/>
                <w:szCs w:val="20"/>
                <w:color w:val="auto"/>
              </w:rPr>
            </w:pPr>
            <w:r>
              <w:rPr>
                <w:rFonts w:ascii="Arial" w:cs="Arial" w:eastAsia="Arial" w:hAnsi="Arial"/>
                <w:sz w:val="18"/>
                <w:szCs w:val="18"/>
                <w:color w:val="auto"/>
              </w:rPr>
              <w:t>68%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Cost of product revenue increased $0.3 million, or 6%, to $5.9 million for the six months ended June 30, 2011 compared to $5.5 million for the six months ended June 30, 2010 due to increased product sales. Cost of product revenue as a percentage of related revenue decreased to 32% for the six months ended June 30, 2011 compared to 40% for the six months ended June 30, 2010. This decrease was due to lower instrument costs, higher average selling prices, higher utilization of chip manufacturing capacity and improved chip yields.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15,285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12,023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330"/>
        </w:trPr>
        <w:tc>
          <w:tcPr>
            <w:tcW w:w="67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18,658</w:t>
            </w:r>
          </w:p>
        </w:tc>
        <w:tc>
          <w:tcPr>
            <w:tcW w:w="100" w:type="dxa"/>
            <w:vAlign w:val="bottom"/>
          </w:tcPr>
          <w:p>
            <w:pPr>
              <w:spacing w:after="0"/>
              <w:rPr>
                <w:sz w:val="24"/>
                <w:szCs w:val="24"/>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Research and development expense was $6.6 million for each of the six months ended June 30, 2011 and June 30, 2010. During the six months ended June 30, 2011, increases in compensation costs and related expenses of $0.1 million and increases in consulting and professional fees of $0.1 million were offset by decreases in equipment related costs and depreciation of $0.2 million as older equipment became fully depreciated, as compared to the six months ended June 30,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 increased $3.3 million, or 27%, to $15.3 million for the six months ended June 30, 2011,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$12.0 million for the six months ended June 30, 2010. The increase was primarily due to increased compensation costs and related expenses of $2.7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resulting from increased headcount to support our business and revenue growth, increased other costs of $0.6 million to support our public company requirements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increased legal and professional fees of $0.6 million, partially offset by lower bad debt expense of $0.3 million and lower rent expense of $0.3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our new lease on more favorable terms for our headquarters facility in South San Francisco, California.</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30, 2011, we settled certain litigation and entered into a series of patent license agreements resulting in a net $3.0 million payment by us to Life Technologies and their subsidiary Applied Biosystems, LLC (Life). The payment was recognized as litigation settlement expense in our June 30, 2011 condensed consolidated statement of operations because the agreement specified that the amount paid by us was principally attributable to resolving Life’s litigation claims with respect to a specific expiring U.S. patent and its foreign counterparts. We had no similar settlement in the six months ended June 30,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available-for-sale securities. Conversely, we incur interest expense from our long-term debt, bank line of credit, promissory notes and the amortization of debt discounts related to these items. Until the completion of our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(2,272)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w w:val="96"/>
              </w:rPr>
              <w:t>Gain (loss) from changes in the fair value of convertible preferred stock warrants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(1,483)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was $2.3 million for the six months ended June 30, 2011 compared to $1.1 million for the six months ended June 30, 2010. The increase is primarily due to $1.2 million of non-cash interest expense in connection with a $5.0 million note and warrant agreement entered into in January 2011. We repaid all principal and interest outstanding under this note in February 2011 upon the completion of our IPO. There was no similar transaction or recognition of expense in the six months ended June 30, 2010.</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Gain (loss) from changes in the fair value of preferred stock was a loss of $1.5 million for the six months ended June 30, 2011 compared to a $0.3 million gain for the six months ended June 30, 2010. The loss in 2011 was due to an increase in the warrant liability fair value through the completion of our IPO on February 10, 2011. Upon completion of our IPO, our outstanding preferred stock warrants were either converted into warrants to purchase common stock or expired unexercised, or were exercised for shares of our common stock. Liabilities related to the expired warrants were reversed and resulted in a gain reflected in other income; liabilities related to the warrants that were converted into warrants to purchase common stock and warrants that were exercised were reclassified to additional paid-in-capital.</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income increased $125,000 to $108,000 for the six months ended June 30, 2011 compared to a $17,000 loss for the six months ended June 30, 2010 primarily due to favorable changes in foreign currency exchange gains and losses.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of June 30, 2011, we had $10.1 million of cash and cash equivalents and $54.2 million of available-for-sale securities. As of June 30, 2011, our working capital was $63.2 million. In February 2011, we completed our IPO of common stock which resulted in net proceeds to us of approximately $77.0 million, net of underwriting discounts, commissions and offering expenses. Following the completion of our IPO, we paid the balance on our bank line of credit of $3.1 million, which is collateralized by our accounts receivable and provides us the ability to borrow up to $7.0 million, subject to certain covenants and other restrictions, and paid all principal and interest outstanding of $5.0 million on the note and warrant agreement we entered into in January 2011.</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2011, the outstanding balance under our loan and security agreement was $13.0 million. The loan and security agreement has a maturity date of February 2013 and bears interest of 13.5% per annum upon which interest only payments were paid monthly through February 2011. Commencing in March 2011, we began making monthly payments of $0.6 million for principal and interest and will make an additional payment of $2.3 million in March 2012. The additional payment is being accreted as interest expense through the maturity date of February 2013. As of June 30, 2011, we were in compliance with all loan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 summary</w:t>
            </w:r>
          </w:p>
        </w:tc>
        <w:tc>
          <w:tcPr>
            <w:tcW w:w="1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  (12,908)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(6,027)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(54,957)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72,232</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(6,533)</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cash used in operating activities was $12.9 million during the six months ended June 30, 2011. Net cash used in operating activities primarily consisted of our net loss of $14.5 million, changes in our operating assets and liabilities in the amount of $2.2 million, and non-cash expense items such as stock-based compensation of $1.3 million, depreciation and amortization of our property and equipment of $0.5 million, loss from changes in the fair value of convertible stock warrants of $1.5 million, gain from expiration of unexercised warrants of $0.8 million, write off of debt discounts upon note repayment of $1.2 million and amortization of debt discount and issuance costs of $0.1 million.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Net cash used in operating activities was $6.0 million during the six months ended June 30, 2010. Net cash used in operating activities primarily consisted of our net loss of $10.4 million, changes in our operating assets and liabilities in the amount of $3.0 million, and non-cash expense items such as stock-based compensation of $0.8 million, depreciation and amortization of our property and equipment of $0.6 million, and amortization of debt discount and issuance costs of $0.2 million, partially offset by a gain from changes in the fair value of convertible stock warrants of $0.2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Historically, our primary investing activities have consisted of capital expenditures for laboratory, manufacturing and computer equipment and software to support our expanding infrastructure and work force;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used $55.0 million of cash in investing activities during the six months ended June 30, 2011 to invest a portion of the net proceeds from our IPO in available-for-sale securities of $54.2 million and for purchases of capital equipment to support our infrastructure and manufacturing operations of $0.7 million.</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used $0.5 million of cash in investing activities during the six months ended June 30, 2010 primarily for purchases of capital equipment to support our infrastructure and manufacturing operations of $0.6 million, partially offset by a decrease in restricted cash of $0.1 million related to the favorable lease negotiations of our headquarters facility in South San Francisco, California.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our IPO, we funded our operations principally through issuances of convertible preferred stock and long term debt.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generated $72.2 million of cash from financing activities during the six months ended June 30, 2011 primarily from net proceeds from our IPO of approximately $77.0 million and $5.0 million from subordinated secured promissory notes with existing stockholders and proceeds from exercise of stock options of $0.2 million, partially offset by the pay off of our line of credit balance of $3.1 million and repayment of the outstanding principal, interest on the subordinated secured promissory notes of $5.0 million and repayment of long-term debt of $1.8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June 30, 2011, our working capital was $63.2 million, including cash, cash equivalents and available-for-sale securities of $64.3 million. We have a bank line of credit agreement that is collateralized by our accounts receivable and provides us the ability to draw up to $7.0 million, subject to certain covenants and restrictions. During the six months ended June 30, 2011, our capital expenditures were $0.7 million. We are estimating capital expenditures to be higher in 2011 compared to 2010 primarily for the expansion of our manufacturing capacity, research and development equipment and sales demonstration and product support instruments to service our global customer base.</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believe our existing cash and cash equivalents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2011, we did not have any off-balance sheet arrangements as defined in Item 303(a)(4) of Regulation S-K promulgated under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2 of the notes to our condensed consolidated financial statements included elsewhere in this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June 30, 2011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had cash and cash equivalents of $10.1 million at June 30, 2011. These amounts were held primarily in cash on deposit with banks, money market funds, and U.S. government agency securities which are short-term. We had $54.2 million in available-for-sale securities at June 30, 2011 held primarily in U.S. government agency securities with maturities of less than twelve months. Cash and cash equivalents and available-for-sale securities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 presented, our interest income would not have been materially affected.</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2011, the principal amount of our long-term debt outstanding was $13.0 million and we had no outstanding balance on our bank line of credit. The interest rates on our long-term debt are fixed. If overall interest rates had increased by 10% during the period presented, our interest expense would not have been materially affected.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2011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29, 2011, we filed suit in the U.S. District Court for the Northern District of California against Life Technologies Corporation and its subsidiary Applied Biosystems LLC (collectively, “Life”) seeking declaratory judgment of non-infringement and invalidity of certain Life patents, and alleging infringement by Life of a patent owned by us. Later on June 29, 2011, Life filed suit against us in the U.S. District Court for the District of Delaware alleging we infringed two Life patents.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30, 2011, we settled the foregoing suits and entered into a series of license agreements with Life. The agreements resulted in a net $3.0 million payment by us to Life and also provide for various royalty payments on future sales of certain products by each of the parties. Such royalty payments or receipts are not expected to be material to us in the future based on our current expectations.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29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$14.5 million, $16.9 million, $19.1 million and $29.5 million during the six months ended June 30, 2011, and the years 2010, 2009 and 2008, respectively. As of June 30, 2011, we had an accumulated deficit of $213.9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significant expansion of our sales and marketing capabilities and research and product development. Additionally,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2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2009 and 2010,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12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QuantaLife, Inc., RainDance Technologies, Inc., Sequenom, Inc. and WaferGen Bio-systems, Inc. have products that compete in certain segments of the market in which we sell our products, including gene expression analysis, genotyping and sequencing. In addition, a number of other companies and academic groups are in the process of developing novel technologies for life science markets.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and our BioMark HD system for genomic analysis was introduced for commercial sale in 2011. We may not be able to market, sell and distribute our products effectively enough to support our planned growth.</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may be adversely affected by recent events in Japan.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recent earthquake and tsunami in Japan and their aftermath have created significant economic uncertainty in that country. Sales to customers located in Japan represented approximately 13%, 9% and 12% of our product revenue for the fiscal years 2009 and 2010 and the six month period ended June 30, 2011, respectively. Although our sales in Japan in the first two quarters of 2011 were not adversely affected by these natural disasters, we can give no assurance that our future operating results will not be adversely affected.</w:t>
      </w:r>
    </w:p>
    <w:p>
      <w:pPr>
        <w:spacing w:after="0" w:line="13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126"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12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 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to:</w:t>
      </w:r>
    </w:p>
    <w:p>
      <w:pPr>
        <w:spacing w:after="0" w:line="8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our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and license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01"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34% of our product revenue in the six months ended June 30, 2011 and 43% of our product revenue in 2010, involve real-time quantitative polymerase chain reaction, or real-time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17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12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20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0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8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2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17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August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21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research only products, they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offered for additional uses. These circumstances may include written or verbal marketing claims regarding a product’s performance in clinical applications and a manufacturer’s provision of technical support for such activities.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2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12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2008, 2009, 2010, and the six months ended June 30, 2011, approximately 48%, 46%, 45%, and 49%,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12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began operating as a public company in February 2011. As a public company, we are incurring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are devoting a substantial amount of time to these new compliance initiatives. Moreover, these rules and regulations have increased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1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procedures. In particular, with respect to our 2011 fiscal year, we must perform system and process evaluation and testing of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to allow management to report on the effectiveness of our internal control over financial reporting, as required by Section 404 of the Sarbanes-Oxley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Our testing may reveal deficiencies in our internal control over financial reporting that are deemed to be material weaknesses. Our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404 will require that we incur substantial accounting expense and expend significant management time on compliance-related issues. We currently do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have an internal audit group and we will evaluate the need to hire additional accounting and financial staff with appropriate public company experience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technical accounting knowledge. Moreover, if we are not able to comply with the requirements of Section 404 in a timely manner, or if we or our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public accounting firm identifies deficiencies in our internal control over financial reporting that are deemed to be material weaknesses, the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our stock could decline and we could be subject to sanctions or investigations by the NASDAQ Global Market, the Securities and Exchange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other regulatory authorities, which would require additional financial and management resources.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including our initial public offering. If we undergo an ownership change,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27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5560" w:right="2900" w:hanging="4985"/>
        <w:spacing w:after="0" w:line="440"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900" w:right="100" w:hanging="325"/>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12"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10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rights to use the technology we license are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June 2011,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 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1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7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 and holders may have difficulty selling their shares.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our initial public offering, there had been no public market for shares of our common stock. Our stock is currently traded on the NASDAQ Global Market, but we can provide no assurance that there will be active trading on that market or any other market in the future. If there is not active trading market or if the volume of trading is limited, holders of our common stock may have difficulty selling their shares. In addition, the trading price of our common stock may be highly volatile and could be subject to wide fluctuations in response to various factors, some of which are beyond our control. These factors include:</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stockholders holding shares of our common stock purchased prior to our public offering sell, or indicate an intention to sell, substantial amounts of their common stock in the public market the trading price of our common stock could decline. As of June 30, 2011 we had outstanding a total of 19,979,565 shares of common stock of which only the 6,392,083 shares of common stock sold in our public offering are currently freely tradable, without restriction, in the public market. Each of our directors and officers, and certain of our stockholders, has entered into lock-up agreements with the underwriter of our initial public offering that restrict their ability to sell or transfer their shares. The lock-up agreements pertaining to our public offering are in effect through August 25, 2011, although they may be extended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June 30, 2011, up to an additional 13,587,482 shares of common stock will be eligible for sale in the public market, 2,392,059 of which are held by directors and executive officers and will be subject to volume limitations under Rule 144 under the Securities Act and various vesting agreements. In addition, 2,460,203 shares of common stock that are issuable upon exercise of outstanding options as of June 30, 2011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11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and could limit your ability to influence the outcome of key transactions, including changes of control.</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2011, our current executive officers, directors and their affiliates beneficially owned or controlled approximately 15% of the outstanding shares of our common stock. Accordingly, these executive officers, directors and their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1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broad discretion in the application of the net proceeds from our initial public offering and could spend the proceeds in ways that do not improve our results of operations or enhance the value of our common stock. We intend to use the net proceeds from our initial public offering for sales and marketing activities, including expansion of our sales force to support the ongoing commercialization of our products; for research and product development activities; for facilities improvements and the purchase of manufacturing and other equipment;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1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February 9, 2011, our registration statements on Form S-1 (Nos. 333-170965 and 333-172146) relating to our IPO were declared effective by the SEC. Our IPO closed on February 15, 2011, and the net proceeds to us after underwriting discounts, commissions, and offering expenses were approximately</w:t>
      </w:r>
    </w:p>
    <w:p>
      <w:pPr>
        <w:ind w:right="60"/>
        <w:spacing w:after="0" w:line="255" w:lineRule="auto"/>
        <w:rPr>
          <w:sz w:val="20"/>
          <w:szCs w:val="20"/>
          <w:color w:val="auto"/>
        </w:rPr>
      </w:pPr>
      <w:r>
        <w:rPr>
          <w:rFonts w:ascii="Arial" w:cs="Arial" w:eastAsia="Arial" w:hAnsi="Arial"/>
          <w:sz w:val="18"/>
          <w:szCs w:val="18"/>
          <w:color w:val="auto"/>
        </w:rPr>
        <w:t>$77.0 million. Through June 30, 2011, the net proceeds have been applied as follows: $5.0 million for the repayment of promissory notes issued in January 2011, $3.1 million for the repayment of our bank line of credit, $5.0 million for research and development expenses, $14.5 million for general corporate purposes including selling, general and administrative expenses, and $0.7 million for capital expenditures.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filed with the SEC pursuant to Rule 424(b) on February 10,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Reference From</w:t>
            </w: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2"/>
              </w:rPr>
              <w:t>Acceptance Letter re Pioneer Incentive dated April 25, 2011 between Singapore Economic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8-K</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Development Board and the Registrant</w:t>
            </w:r>
          </w:p>
        </w:tc>
        <w:tc>
          <w:tcPr>
            <w:tcW w:w="15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302 of</w:t>
            </w:r>
          </w:p>
        </w:tc>
        <w:tc>
          <w:tcPr>
            <w:tcW w:w="15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15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302 of</w:t>
            </w:r>
          </w:p>
        </w:tc>
        <w:tc>
          <w:tcPr>
            <w:tcW w:w="15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1580" w:type="dxa"/>
            <w:vAlign w:val="bottom"/>
          </w:tcPr>
          <w:p>
            <w:pPr>
              <w:spacing w:after="0"/>
              <w:rPr>
                <w:sz w:val="19"/>
                <w:szCs w:val="19"/>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32.1(1)</w:t>
            </w: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1580" w:type="dxa"/>
            <w:vAlign w:val="bottom"/>
          </w:tcPr>
          <w:p>
            <w:pPr>
              <w:spacing w:after="0"/>
              <w:rPr>
                <w:sz w:val="19"/>
                <w:szCs w:val="19"/>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32.2(1)</w:t>
            </w: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158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5"/>
              </w:rPr>
              <w:t>The following materials from Registrant’s Quarterly Report on Form 10-Q for the quarter</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9"/>
              </w:rPr>
              <w:t>ended June 30, 2011, formatted in Extensible Business Reporting Language (XBRL)</w:t>
            </w:r>
          </w:p>
        </w:tc>
        <w:tc>
          <w:tcPr>
            <w:tcW w:w="15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2"/>
              </w:rPr>
              <w:t>includes: (i) Condensed Consolidated Balance Sheets at June 30, 2011 and December 31,</w:t>
            </w:r>
          </w:p>
        </w:tc>
        <w:tc>
          <w:tcPr>
            <w:tcW w:w="1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6"/>
              </w:rPr>
              <w:t>2010, (ii) Condensed Consolidated Statements of Operations for the Six Months Ended</w:t>
            </w:r>
          </w:p>
        </w:tc>
        <w:tc>
          <w:tcPr>
            <w:tcW w:w="1580" w:type="dxa"/>
            <w:vAlign w:val="bottom"/>
          </w:tcPr>
          <w:p>
            <w:pPr>
              <w:spacing w:after="0"/>
              <w:rPr>
                <w:sz w:val="19"/>
                <w:szCs w:val="19"/>
                <w:color w:val="auto"/>
              </w:rPr>
            </w:pPr>
          </w:p>
        </w:tc>
      </w:tr>
    </w:tbl>
    <w:p>
      <w:pPr>
        <w:ind w:left="840" w:right="1960"/>
        <w:spacing w:after="0" w:line="255" w:lineRule="auto"/>
        <w:rPr>
          <w:sz w:val="20"/>
          <w:szCs w:val="20"/>
          <w:color w:val="auto"/>
        </w:rPr>
      </w:pPr>
      <w:r>
        <w:rPr>
          <w:rFonts w:ascii="Arial" w:cs="Arial" w:eastAsia="Arial" w:hAnsi="Arial"/>
          <w:sz w:val="18"/>
          <w:szCs w:val="18"/>
          <w:color w:val="auto"/>
        </w:rPr>
        <w:t>March 31, 2011 and 2010, (iii) Condensed Consolidated Statements of Cash Flows for the Six Months Ended June, 2011 and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Incorporated</w:t>
      </w:r>
    </w:p>
    <w:p>
      <w:pPr>
        <w:spacing w:after="0" w:line="12"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by</w:t>
      </w:r>
    </w:p>
    <w:p>
      <w:pPr>
        <w:jc w:val="center"/>
        <w:ind w:right="1020"/>
        <w:spacing w:after="0" w:line="221" w:lineRule="auto"/>
        <w:rPr>
          <w:sz w:val="20"/>
          <w:szCs w:val="20"/>
          <w:color w:val="auto"/>
        </w:rPr>
      </w:pPr>
      <w:r>
        <w:rPr>
          <w:rFonts w:ascii="Arial" w:cs="Arial" w:eastAsia="Arial" w:hAnsi="Arial"/>
          <w:sz w:val="14"/>
          <w:szCs w:val="14"/>
          <w:b w:val="1"/>
          <w:bCs w:val="1"/>
          <w:color w:val="auto"/>
        </w:rPr>
        <w:t>Reference</w:t>
      </w:r>
    </w:p>
    <w:p>
      <w:pPr>
        <w:jc w:val="center"/>
        <w:ind w:right="1020"/>
        <w:spacing w:after="0" w:line="221" w:lineRule="auto"/>
        <w:rPr>
          <w:sz w:val="20"/>
          <w:szCs w:val="20"/>
          <w:color w:val="auto"/>
        </w:rPr>
      </w:pPr>
      <w:r>
        <w:rPr>
          <w:rFonts w:ascii="Arial" w:cs="Arial" w:eastAsia="Arial" w:hAnsi="Arial"/>
          <w:sz w:val="14"/>
          <w:szCs w:val="14"/>
          <w:b w:val="1"/>
          <w:bCs w:val="1"/>
          <w:color w:val="auto"/>
        </w:rPr>
        <w:t>From</w:t>
      </w:r>
    </w:p>
    <w:p>
      <w:pPr>
        <w:ind w:left="180"/>
        <w:spacing w:after="0" w:line="222" w:lineRule="auto"/>
        <w:tabs>
          <w:tab w:leader="none" w:pos="1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Date</w:t>
      </w:r>
    </w:p>
    <w:p>
      <w:pPr>
        <w:ind w:left="140"/>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-7620</wp:posOffset>
            </wp:positionV>
            <wp:extent cx="317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488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66" w:lineRule="exact"/>
        <w:rPr>
          <w:sz w:val="20"/>
          <w:szCs w:val="20"/>
          <w:color w:val="auto"/>
        </w:rPr>
      </w:pPr>
    </w:p>
    <w:p>
      <w:pPr>
        <w:jc w:val="right"/>
        <w:ind w:right="20"/>
        <w:spacing w:after="0"/>
        <w:tabs>
          <w:tab w:leader="none" w:pos="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8/5/11</w:t>
      </w:r>
    </w:p>
    <w:p>
      <w:pPr>
        <w:spacing w:after="0" w:line="4182" w:lineRule="exact"/>
        <w:rPr>
          <w:sz w:val="20"/>
          <w:szCs w:val="20"/>
          <w:color w:val="auto"/>
        </w:rPr>
      </w:pPr>
    </w:p>
    <w:p>
      <w:pPr>
        <w:sectPr>
          <w:pgSz w:w="11900" w:h="16838" w:orient="portrait"/>
          <w:cols w:equalWidth="0" w:num="2">
            <w:col w:w="9120" w:space="420"/>
            <w:col w:w="1800"/>
          </w:cols>
          <w:pgMar w:left="240" w:top="459" w:right="319" w:bottom="1440" w:gutter="0" w:footer="0" w:header="0"/>
        </w:sectPr>
      </w:pPr>
    </w:p>
    <w:p>
      <w:pPr>
        <w:ind w:left="460" w:right="80" w:hanging="452"/>
        <w:spacing w:after="0" w:line="25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ind w:left="46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XBRL information is furnished and not filed or a part of a registration statement or prospectus for purposes of sections 11 or 12 of the Securities Exchange Act of 1933, as amended, is deemed not filed for purposes of section 18 of the Securities Exchange Act of 1934, as amended, and otherwise is not subject to liability under these sections.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Dated: August 8, 2011</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560" w:val="left"/>
          <w:tab w:leader="none" w:pos="6260" w:val="left"/>
        </w:tabs>
        <w:rPr>
          <w:sz w:val="20"/>
          <w:szCs w:val="20"/>
          <w:color w:val="auto"/>
        </w:rPr>
      </w:pPr>
      <w:r>
        <w:rPr>
          <w:rFonts w:ascii="Arial" w:cs="Arial" w:eastAsia="Arial" w:hAnsi="Arial"/>
          <w:sz w:val="18"/>
          <w:szCs w:val="18"/>
          <w:color w:val="auto"/>
        </w:rPr>
        <w:t>Dated: August 8, 2011</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00" w:type="dxa"/>
            <w:vAlign w:val="bottom"/>
            <w:gridSpan w:val="2"/>
          </w:tcPr>
          <w:p>
            <w:pPr>
              <w:ind w:left="4280"/>
              <w:spacing w:after="0"/>
              <w:rPr>
                <w:sz w:val="20"/>
                <w:szCs w:val="20"/>
                <w:color w:val="auto"/>
              </w:rPr>
            </w:pPr>
            <w:r>
              <w:rPr>
                <w:rFonts w:ascii="Arial" w:cs="Arial" w:eastAsia="Arial" w:hAnsi="Arial"/>
                <w:sz w:val="18"/>
                <w:szCs w:val="18"/>
                <w:b w:val="1"/>
                <w:bCs w:val="1"/>
                <w:color w:val="auto"/>
              </w:rPr>
              <w:t>EXHIBIT LIST</w:t>
            </w:r>
          </w:p>
        </w:tc>
        <w:tc>
          <w:tcPr>
            <w:tcW w:w="1580" w:type="dxa"/>
            <w:vAlign w:val="bottom"/>
          </w:tcPr>
          <w:p>
            <w:pPr>
              <w:spacing w:after="0"/>
              <w:rPr>
                <w:sz w:val="19"/>
                <w:szCs w:val="19"/>
                <w:color w:val="auto"/>
              </w:rPr>
            </w:pPr>
          </w:p>
        </w:tc>
      </w:tr>
      <w:tr>
        <w:trPr>
          <w:trHeight w:val="773"/>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Reference From</w:t>
            </w: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2"/>
              </w:rPr>
              <w:t>Acceptance Letter re Pioneer Incentive dated April 25, 2011 between Singapore Economic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8-K</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Development Board and the Registrant</w:t>
            </w:r>
          </w:p>
        </w:tc>
        <w:tc>
          <w:tcPr>
            <w:tcW w:w="15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302 of</w:t>
            </w:r>
          </w:p>
        </w:tc>
        <w:tc>
          <w:tcPr>
            <w:tcW w:w="15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15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302 of</w:t>
            </w:r>
          </w:p>
        </w:tc>
        <w:tc>
          <w:tcPr>
            <w:tcW w:w="15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1580" w:type="dxa"/>
            <w:vAlign w:val="bottom"/>
          </w:tcPr>
          <w:p>
            <w:pPr>
              <w:spacing w:after="0"/>
              <w:rPr>
                <w:sz w:val="19"/>
                <w:szCs w:val="19"/>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32.1(1)</w:t>
            </w: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1580" w:type="dxa"/>
            <w:vAlign w:val="bottom"/>
          </w:tcPr>
          <w:p>
            <w:pPr>
              <w:spacing w:after="0"/>
              <w:rPr>
                <w:sz w:val="19"/>
                <w:szCs w:val="19"/>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32.2(1)</w:t>
            </w: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158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180" w:type="dxa"/>
            <w:vAlign w:val="bottom"/>
          </w:tcPr>
          <w:p>
            <w:pPr>
              <w:spacing w:after="0"/>
              <w:rPr>
                <w:sz w:val="24"/>
                <w:szCs w:val="24"/>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5"/>
              </w:rPr>
              <w:t>The following materials from Registrant’s Quarterly Report on Form 10-Q for the quarter</w:t>
            </w:r>
          </w:p>
        </w:tc>
        <w:tc>
          <w:tcPr>
            <w:tcW w:w="15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9"/>
              </w:rPr>
              <w:t>ended June 30, 2011, formatted in Extensible Business Reporting Language (XBRL)</w:t>
            </w:r>
          </w:p>
        </w:tc>
        <w:tc>
          <w:tcPr>
            <w:tcW w:w="1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Arial" w:cs="Arial" w:eastAsia="Arial" w:hAnsi="Arial"/>
                <w:sz w:val="18"/>
                <w:szCs w:val="18"/>
                <w:color w:val="auto"/>
                <w:w w:val="92"/>
              </w:rPr>
              <w:t>includes: (i) Condensed Consolidated Balance Sheets at June 30, 2011 and December 31,</w:t>
            </w:r>
          </w:p>
        </w:tc>
        <w:tc>
          <w:tcPr>
            <w:tcW w:w="1580" w:type="dxa"/>
            <w:vAlign w:val="bottom"/>
          </w:tcPr>
          <w:p>
            <w:pPr>
              <w:spacing w:after="0"/>
              <w:rPr>
                <w:sz w:val="19"/>
                <w:szCs w:val="19"/>
                <w:color w:val="auto"/>
              </w:rPr>
            </w:pPr>
          </w:p>
        </w:tc>
      </w:tr>
    </w:tbl>
    <w:p>
      <w:pPr>
        <w:ind w:left="840" w:right="1960"/>
        <w:spacing w:after="0" w:line="254" w:lineRule="auto"/>
        <w:rPr>
          <w:sz w:val="20"/>
          <w:szCs w:val="20"/>
          <w:color w:val="auto"/>
        </w:rPr>
      </w:pPr>
      <w:r>
        <w:rPr>
          <w:rFonts w:ascii="Arial" w:cs="Arial" w:eastAsia="Arial" w:hAnsi="Arial"/>
          <w:sz w:val="18"/>
          <w:szCs w:val="18"/>
          <w:color w:val="auto"/>
        </w:rPr>
        <w:t>2010, (ii) Condensed Consolidated Statements of Operations for the Six Months Ended March 31, 2011 and 2010, (iii) Condensed Consolidated Statements of Cash Flows for the Six Months Ended June, 2011 and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Incorporated</w:t>
      </w:r>
    </w:p>
    <w:p>
      <w:pPr>
        <w:spacing w:after="0" w:line="12"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by</w:t>
      </w:r>
    </w:p>
    <w:p>
      <w:pPr>
        <w:jc w:val="center"/>
        <w:ind w:right="1020"/>
        <w:spacing w:after="0" w:line="221" w:lineRule="auto"/>
        <w:rPr>
          <w:sz w:val="20"/>
          <w:szCs w:val="20"/>
          <w:color w:val="auto"/>
        </w:rPr>
      </w:pPr>
      <w:r>
        <w:rPr>
          <w:rFonts w:ascii="Arial" w:cs="Arial" w:eastAsia="Arial" w:hAnsi="Arial"/>
          <w:sz w:val="14"/>
          <w:szCs w:val="14"/>
          <w:b w:val="1"/>
          <w:bCs w:val="1"/>
          <w:color w:val="auto"/>
        </w:rPr>
        <w:t>Reference</w:t>
      </w:r>
    </w:p>
    <w:p>
      <w:pPr>
        <w:jc w:val="center"/>
        <w:ind w:right="1020"/>
        <w:spacing w:after="0" w:line="221" w:lineRule="auto"/>
        <w:rPr>
          <w:sz w:val="20"/>
          <w:szCs w:val="20"/>
          <w:color w:val="auto"/>
        </w:rPr>
      </w:pPr>
      <w:r>
        <w:rPr>
          <w:rFonts w:ascii="Arial" w:cs="Arial" w:eastAsia="Arial" w:hAnsi="Arial"/>
          <w:sz w:val="14"/>
          <w:szCs w:val="14"/>
          <w:b w:val="1"/>
          <w:bCs w:val="1"/>
          <w:color w:val="auto"/>
        </w:rPr>
        <w:t>From</w:t>
      </w:r>
    </w:p>
    <w:p>
      <w:pPr>
        <w:ind w:left="180"/>
        <w:spacing w:after="0" w:line="222" w:lineRule="auto"/>
        <w:tabs>
          <w:tab w:leader="none" w:pos="1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Date</w:t>
      </w:r>
    </w:p>
    <w:p>
      <w:pPr>
        <w:ind w:left="140"/>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-7620</wp:posOffset>
            </wp:positionV>
            <wp:extent cx="317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4889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66" w:lineRule="exact"/>
        <w:rPr>
          <w:sz w:val="20"/>
          <w:szCs w:val="20"/>
          <w:color w:val="auto"/>
        </w:rPr>
      </w:pPr>
    </w:p>
    <w:p>
      <w:pPr>
        <w:jc w:val="right"/>
        <w:ind w:right="20"/>
        <w:spacing w:after="0"/>
        <w:tabs>
          <w:tab w:leader="none" w:pos="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8/5/11</w:t>
      </w:r>
    </w:p>
    <w:p>
      <w:pPr>
        <w:spacing w:after="0" w:line="4182" w:lineRule="exact"/>
        <w:rPr>
          <w:sz w:val="20"/>
          <w:szCs w:val="20"/>
          <w:color w:val="auto"/>
        </w:rPr>
      </w:pPr>
    </w:p>
    <w:p>
      <w:pPr>
        <w:sectPr>
          <w:pgSz w:w="11900" w:h="16838" w:orient="portrait"/>
          <w:cols w:equalWidth="0" w:num="2">
            <w:col w:w="9120" w:space="420"/>
            <w:col w:w="1800"/>
          </w:cols>
          <w:pgMar w:left="240" w:top="459" w:right="319" w:bottom="1440" w:gutter="0" w:footer="0" w:header="0"/>
        </w:sectPr>
      </w:pPr>
    </w:p>
    <w:p>
      <w:pPr>
        <w:ind w:left="460" w:right="80" w:hanging="452"/>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ind w:left="46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information is furnished and not filed or a part of a registration statement or prospectus for purposes of sections 11 or 12 of the Securities Exchange Act of 1933, as amended, is deemed not filed for purposes of section 18 of the Securities Exchange Act of 1934, as amended, and otherwise is not subject to liability under these sections.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8, 2011</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8, 2011</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220" w:firstLine="464"/>
        <w:spacing w:after="0" w:line="268" w:lineRule="auto"/>
        <w:tabs>
          <w:tab w:leader="none" w:pos="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June 30,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August 8, 2011</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220" w:firstLine="464"/>
        <w:spacing w:after="0" w:line="268"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June 30,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8,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2019-12-10T21:41:20Z</dcterms:created>
  <dcterms:modified xsi:type="dcterms:W3CDTF">2019-12-10T21:41:20Z</dcterms:modified>
</cp:coreProperties>
</file>