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2"/>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Advisors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967,830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967,830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967,830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3.34%*</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pacing w:after="0" w:line="54" w:lineRule="exact"/>
        <w:rPr>
          <w:sz w:val="20"/>
          <w:szCs w:val="20"/>
          <w:color w:val="auto"/>
        </w:rPr>
      </w:pPr>
    </w:p>
    <w:p>
      <w:pPr>
        <w:ind w:right="180" w:firstLine="8"/>
        <w:spacing w:after="0"/>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percentage is based upon 28,792,350 shares outstanding as of October 30, 2015, as set forth in the Issuer's Form 10-Q filed with the Securities and Exchange Commission on November 9, 2015 and includes 178,750 shares issuable upon the exercise of convertible securities.</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3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5"/>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Capital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6"/>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1,660,820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1,660,820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1,660,820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5.73%*</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pacing w:after="0" w:line="54" w:lineRule="exact"/>
        <w:rPr>
          <w:sz w:val="20"/>
          <w:szCs w:val="20"/>
          <w:color w:val="auto"/>
        </w:rPr>
      </w:pPr>
    </w:p>
    <w:p>
      <w:pPr>
        <w:ind w:right="180" w:firstLine="8"/>
        <w:spacing w:after="0"/>
        <w:tabs>
          <w:tab w:leader="none" w:pos="16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percentage is based upon 28,792,350 shares outstanding as of October 30, 2015, as set forth in the Issuer's Form 10-Q filed with the Securities and Exchange Commission on November 9, 2015 and includes 178,750 shares issuable upon the exercise of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8"/>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Samuel D. Isaly</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9"/>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2,628,650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2,628,650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2,628,650</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9.07%*</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HC</w:t>
      </w:r>
    </w:p>
    <w:p>
      <w:pPr>
        <w:spacing w:after="0" w:line="54" w:lineRule="exact"/>
        <w:rPr>
          <w:sz w:val="20"/>
          <w:szCs w:val="20"/>
          <w:color w:val="auto"/>
        </w:rPr>
      </w:pPr>
    </w:p>
    <w:p>
      <w:pPr>
        <w:ind w:right="180" w:firstLine="8"/>
        <w:spacing w:after="0"/>
        <w:tabs>
          <w:tab w:leader="none" w:pos="16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percentage is based upon 28,792,350 shares outstanding as of October 30, 2015, as set forth in the Issuer's Form 10-Q filed with the Securities and Exchange Commission on November 9, 2015 and includes 178,750 shares issuable upon the exercise of convertible securities.</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100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Samuel D. Isaly</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left="1280" w:right="20" w:hanging="1296"/>
        <w:spacing w:after="0" w:line="282"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OrbiMed Advisors LLC and OrbiMed Capital LLC are investment advisors in accordance with ss.240.13d-1(b)(1)(ii)(E). Samuel D. Isaly is a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in accordance with ss.240.13d-1(b)(1)(ii)(G).</w:t>
      </w:r>
    </w:p>
    <w:p>
      <w:pPr>
        <w:sectPr>
          <w:pgSz w:w="11900" w:h="16838" w:orient="portrait"/>
          <w:cols w:equalWidth="0" w:num="1">
            <w:col w:w="11400"/>
          </w:cols>
          <w:pgMar w:left="26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Items 5 - 9 and 11 for each cover sheet for each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400" w:firstLine="396"/>
        <w:spacing w:after="0" w:line="312" w:lineRule="auto"/>
        <w:rPr>
          <w:sz w:val="20"/>
          <w:szCs w:val="20"/>
          <w:color w:val="auto"/>
        </w:rPr>
      </w:pPr>
      <w:r>
        <w:rPr>
          <w:rFonts w:ascii="Arial" w:cs="Arial" w:eastAsia="Arial" w:hAnsi="Arial"/>
          <w:sz w:val="16"/>
          <w:szCs w:val="16"/>
          <w:color w:val="auto"/>
        </w:rPr>
        <w:t>Reporting persons are holding 9.07% (3.34% in the case of OrbiMed Advisors LLC and 5.73% in the case of OrbiMed Capital LLC) of the shares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w:t>
      </w:r>
    </w:p>
    <w:p>
      <w:pPr>
        <w:spacing w:after="0" w:line="35"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r>
        <w:rPr>
          <w:rFonts w:ascii="Arial" w:cs="Arial" w:eastAsia="Arial" w:hAnsi="Arial"/>
          <w:sz w:val="18"/>
          <w:szCs w:val="18"/>
          <w:b w:val="1"/>
          <w:bCs w:val="1"/>
          <w:color w:val="auto"/>
        </w:rPr>
        <w: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2016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hereby agree that the Statement on this Schedule 13G/A dated February 16, 2016 (the "Schedule 13G/A"), with respect to the Common Stock, par value $0.001 per share, of Fluidigm Corporation is filed on behalf of each of us pursuant to and in accordance with the provisions of Rule 13d-1(k) under the Securities Exchange Act of 1934, as amended, and that this Agreement shall be included as an Exhibit to this Schedule 13G/A. Each of the undersigned agrees to be responsible for the timely filing of the Schedule 13G/A,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16, 2016.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Statement on this Schedule 13G/A dated February 16, 2016 with respect to the Common Stock of Fluidigm Corporation is filed by Samuel D. Isaly in accordance with the provisions of Rule 13d-1(b) and Rule 13d-1(k), respectively, as control person (HC) of OrbiMed Advisors LLC and OrbiMed Capital LLC.</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OrbiMed Advisors LLC and OrbiMed Capital LLC file this statement on Schedule 13G/A in accordance with the provisions of Rule 13d-1(b) and Rule 13d-1(k), respectively, as investment advisors (IA).</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2019-12-17T08:06:33Z</dcterms:created>
  <dcterms:modified xsi:type="dcterms:W3CDTF">2019-12-17T08:06:33Z</dcterms:modified>
</cp:coreProperties>
</file>