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PURSUANT TO RULES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1(b),(c) AND (d) AND AMENDMENTS THERETO FILED PURSUANT TO 13d-2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Standard BioTools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$0.001 par value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34385P108</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January 5,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780" w:right="5200" w:firstLine="7"/>
        <w:spacing w:after="0" w:line="226" w:lineRule="exact"/>
        <w:tabs>
          <w:tab w:leader="none" w:pos="502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5040" w:hanging="253"/>
        <w:spacing w:after="0"/>
        <w:tabs>
          <w:tab w:leader="none" w:pos="50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Page 2 of 23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gridSpan w:val="7"/>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Viking Global Investors LP</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50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50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29,106,365*</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380" w:type="dxa"/>
            <w:vAlign w:val="bottom"/>
            <w:tcBorders>
              <w:bottom w:val="single" w:sz="8" w:color="auto"/>
            </w:tcBorders>
            <w:gridSpan w:val="4"/>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Page 3 of 23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gridSpan w:val="7"/>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Viking Global Opportunities Parent GP LLC</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50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50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29,106,365*</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380" w:type="dxa"/>
            <w:vAlign w:val="bottom"/>
            <w:tcBorders>
              <w:bottom w:val="single" w:sz="8" w:color="auto"/>
            </w:tcBorders>
            <w:gridSpan w:val="4"/>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Page 4 of 23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gridSpan w:val="7"/>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Viking Global Opportunities GP LLC</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50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50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19,501,727*</w:t>
            </w:r>
          </w:p>
        </w:tc>
        <w:tc>
          <w:tcPr>
            <w:tcW w:w="3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19,501,727*</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19,501,727*</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380" w:type="dxa"/>
            <w:vAlign w:val="bottom"/>
            <w:tcBorders>
              <w:bottom w:val="single" w:sz="8" w:color="auto"/>
            </w:tcBorders>
            <w:gridSpan w:val="4"/>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Page 5 of 23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gridSpan w:val="7"/>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Viking Global Opportunities Portfolio GP LLC</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50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50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19,501,727*</w:t>
            </w:r>
          </w:p>
        </w:tc>
        <w:tc>
          <w:tcPr>
            <w:tcW w:w="3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19,501,727*</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19,501,727*</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380" w:type="dxa"/>
            <w:vAlign w:val="bottom"/>
            <w:tcBorders>
              <w:bottom w:val="single" w:sz="8" w:color="auto"/>
            </w:tcBorders>
            <w:gridSpan w:val="4"/>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04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Page 6 of 23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gridSpan w:val="6"/>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6"/>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50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50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19,501,727*</w:t>
            </w:r>
          </w:p>
        </w:tc>
        <w:tc>
          <w:tcPr>
            <w:tcW w:w="3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19,501,727*</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19,501,727*</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380" w:type="dxa"/>
            <w:vAlign w:val="bottom"/>
            <w:tcBorders>
              <w:bottom w:val="single" w:sz="8" w:color="auto"/>
            </w:tcBorders>
            <w:gridSpan w:val="4"/>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Page 7 of 23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gridSpan w:val="7"/>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Viking Global Opportunities Drawdown GP LLC</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50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50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9,604,638*</w:t>
            </w:r>
          </w:p>
        </w:tc>
        <w:tc>
          <w:tcPr>
            <w:tcW w:w="3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9,604,638*</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9,604,638*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380" w:type="dxa"/>
            <w:vAlign w:val="bottom"/>
            <w:tcBorders>
              <w:bottom w:val="single" w:sz="8" w:color="auto"/>
            </w:tcBorders>
            <w:gridSpan w:val="4"/>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Page 8 of 23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gridSpan w:val="7"/>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Viking Global Opportunities Drawdown Portfolio GP LLC</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50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50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9,604,638*</w:t>
            </w:r>
          </w:p>
        </w:tc>
        <w:tc>
          <w:tcPr>
            <w:tcW w:w="3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9,604,638*</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9,604,638*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380" w:type="dxa"/>
            <w:vAlign w:val="bottom"/>
            <w:tcBorders>
              <w:bottom w:val="single" w:sz="8" w:color="auto"/>
            </w:tcBorders>
            <w:gridSpan w:val="4"/>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Page 9 of 23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gridSpan w:val="7"/>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Viking Global Opportunities Drawdown (Aggregator) LP</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50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50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9,604,638*</w:t>
            </w:r>
          </w:p>
        </w:tc>
        <w:tc>
          <w:tcPr>
            <w:tcW w:w="3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9,604,638*</w:t>
            </w: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9,604,638*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380" w:type="dxa"/>
            <w:vAlign w:val="bottom"/>
            <w:tcBorders>
              <w:bottom w:val="single" w:sz="8" w:color="auto"/>
            </w:tcBorders>
            <w:gridSpan w:val="4"/>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04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46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Page 10 of 23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640" w:type="dxa"/>
            <w:vAlign w:val="bottom"/>
            <w:tcBorders>
              <w:bottom w:val="single" w:sz="8" w:color="auto"/>
            </w:tcBorders>
            <w:gridSpan w:val="6"/>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 Andreas Halvorsen</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40" w:type="dxa"/>
            <w:vAlign w:val="bottom"/>
            <w:tcBorders>
              <w:bottom w:val="single" w:sz="8" w:color="auto"/>
            </w:tcBorders>
            <w:gridSpan w:val="6"/>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460" w:type="dxa"/>
            <w:vAlign w:val="bottom"/>
            <w:shd w:val="clear" w:color="auto" w:fill="BFBFBF"/>
          </w:tcPr>
          <w:p>
            <w:pPr>
              <w:spacing w:after="0"/>
              <w:rPr>
                <w:sz w:val="20"/>
                <w:szCs w:val="20"/>
                <w:color w:val="auto"/>
              </w:rPr>
            </w:pPr>
          </w:p>
        </w:tc>
        <w:tc>
          <w:tcPr>
            <w:tcW w:w="2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460" w:type="dxa"/>
            <w:vAlign w:val="bottom"/>
            <w:shd w:val="clear" w:color="auto" w:fill="BFBFBF"/>
          </w:tcPr>
          <w:p>
            <w:pPr>
              <w:spacing w:after="0"/>
              <w:rPr>
                <w:sz w:val="24"/>
                <w:szCs w:val="24"/>
                <w:color w:val="auto"/>
              </w:rPr>
            </w:pPr>
          </w:p>
        </w:tc>
        <w:tc>
          <w:tcPr>
            <w:tcW w:w="2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340" w:type="dxa"/>
            <w:vAlign w:val="bottom"/>
            <w:tcBorders>
              <w:bottom w:val="single" w:sz="8" w:color="auto"/>
            </w:tcBorders>
            <w:gridSpan w:val="4"/>
            <w:shd w:val="clear" w:color="auto" w:fill="BFBFBF"/>
          </w:tcPr>
          <w:p>
            <w:pPr>
              <w:spacing w:after="0"/>
              <w:rPr>
                <w:sz w:val="23"/>
                <w:szCs w:val="23"/>
                <w:color w:val="auto"/>
              </w:rPr>
            </w:pPr>
          </w:p>
        </w:tc>
        <w:tc>
          <w:tcPr>
            <w:tcW w:w="2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Norway</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20" w:type="dxa"/>
            <w:vAlign w:val="bottom"/>
            <w:gridSpan w:val="3"/>
            <w:vMerge w:val="continue"/>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3"/>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29,106,365*</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340" w:type="dxa"/>
            <w:vAlign w:val="bottom"/>
            <w:tcBorders>
              <w:bottom w:val="single" w:sz="8" w:color="auto"/>
            </w:tcBorders>
            <w:gridSpan w:val="4"/>
          </w:tcPr>
          <w:p>
            <w:pPr>
              <w:spacing w:after="0"/>
              <w:rPr>
                <w:sz w:val="11"/>
                <w:szCs w:val="11"/>
                <w:color w:val="auto"/>
              </w:rPr>
            </w:pPr>
          </w:p>
        </w:tc>
        <w:tc>
          <w:tcPr>
            <w:tcW w:w="2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04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46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Page 11 of 23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640" w:type="dxa"/>
            <w:vAlign w:val="bottom"/>
            <w:tcBorders>
              <w:bottom w:val="single" w:sz="8" w:color="auto"/>
            </w:tcBorders>
            <w:gridSpan w:val="6"/>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David C. Ott</w:t>
            </w: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40" w:type="dxa"/>
            <w:vAlign w:val="bottom"/>
            <w:tcBorders>
              <w:bottom w:val="single" w:sz="8" w:color="auto"/>
            </w:tcBorders>
            <w:gridSpan w:val="6"/>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460" w:type="dxa"/>
            <w:vAlign w:val="bottom"/>
            <w:shd w:val="clear" w:color="auto" w:fill="BFBFBF"/>
          </w:tcPr>
          <w:p>
            <w:pPr>
              <w:spacing w:after="0"/>
              <w:rPr>
                <w:sz w:val="20"/>
                <w:szCs w:val="20"/>
                <w:color w:val="auto"/>
              </w:rPr>
            </w:pPr>
          </w:p>
        </w:tc>
        <w:tc>
          <w:tcPr>
            <w:tcW w:w="2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460" w:type="dxa"/>
            <w:vAlign w:val="bottom"/>
            <w:shd w:val="clear" w:color="auto" w:fill="BFBFBF"/>
          </w:tcPr>
          <w:p>
            <w:pPr>
              <w:spacing w:after="0"/>
              <w:rPr>
                <w:sz w:val="24"/>
                <w:szCs w:val="24"/>
                <w:color w:val="auto"/>
              </w:rPr>
            </w:pPr>
          </w:p>
        </w:tc>
        <w:tc>
          <w:tcPr>
            <w:tcW w:w="2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340" w:type="dxa"/>
            <w:vAlign w:val="bottom"/>
            <w:tcBorders>
              <w:bottom w:val="single" w:sz="8" w:color="auto"/>
            </w:tcBorders>
            <w:gridSpan w:val="4"/>
            <w:shd w:val="clear" w:color="auto" w:fill="BFBFBF"/>
          </w:tcPr>
          <w:p>
            <w:pPr>
              <w:spacing w:after="0"/>
              <w:rPr>
                <w:sz w:val="23"/>
                <w:szCs w:val="23"/>
                <w:color w:val="auto"/>
              </w:rPr>
            </w:pPr>
          </w:p>
        </w:tc>
        <w:tc>
          <w:tcPr>
            <w:tcW w:w="2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20" w:type="dxa"/>
            <w:vAlign w:val="bottom"/>
            <w:gridSpan w:val="3"/>
            <w:vMerge w:val="continue"/>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3"/>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29,106,365*</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340" w:type="dxa"/>
            <w:vAlign w:val="bottom"/>
            <w:tcBorders>
              <w:bottom w:val="single" w:sz="8" w:color="auto"/>
            </w:tcBorders>
            <w:gridSpan w:val="4"/>
          </w:tcPr>
          <w:p>
            <w:pPr>
              <w:spacing w:after="0"/>
              <w:rPr>
                <w:sz w:val="11"/>
                <w:szCs w:val="11"/>
                <w:color w:val="auto"/>
              </w:rPr>
            </w:pPr>
          </w:p>
        </w:tc>
        <w:tc>
          <w:tcPr>
            <w:tcW w:w="2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204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146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Page 12 of 23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640" w:type="dxa"/>
            <w:vAlign w:val="bottom"/>
            <w:tcBorders>
              <w:bottom w:val="single" w:sz="8" w:color="auto"/>
            </w:tcBorders>
            <w:gridSpan w:val="6"/>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Rose S. Shabet</w:t>
            </w: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40" w:type="dxa"/>
            <w:vAlign w:val="bottom"/>
            <w:tcBorders>
              <w:bottom w:val="single" w:sz="8" w:color="auto"/>
            </w:tcBorders>
            <w:gridSpan w:val="6"/>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1460" w:type="dxa"/>
            <w:vAlign w:val="bottom"/>
            <w:shd w:val="clear" w:color="auto" w:fill="BFBFBF"/>
          </w:tcPr>
          <w:p>
            <w:pPr>
              <w:spacing w:after="0"/>
              <w:rPr>
                <w:sz w:val="20"/>
                <w:szCs w:val="20"/>
                <w:color w:val="auto"/>
              </w:rPr>
            </w:pPr>
          </w:p>
        </w:tc>
        <w:tc>
          <w:tcPr>
            <w:tcW w:w="2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1460" w:type="dxa"/>
            <w:vAlign w:val="bottom"/>
            <w:shd w:val="clear" w:color="auto" w:fill="BFBFBF"/>
          </w:tcPr>
          <w:p>
            <w:pPr>
              <w:spacing w:after="0"/>
              <w:rPr>
                <w:sz w:val="24"/>
                <w:szCs w:val="24"/>
                <w:color w:val="auto"/>
              </w:rPr>
            </w:pPr>
          </w:p>
        </w:tc>
        <w:tc>
          <w:tcPr>
            <w:tcW w:w="2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340" w:type="dxa"/>
            <w:vAlign w:val="bottom"/>
            <w:tcBorders>
              <w:bottom w:val="single" w:sz="8" w:color="auto"/>
            </w:tcBorders>
            <w:gridSpan w:val="4"/>
            <w:shd w:val="clear" w:color="auto" w:fill="BFBFBF"/>
          </w:tcPr>
          <w:p>
            <w:pPr>
              <w:spacing w:after="0"/>
              <w:rPr>
                <w:sz w:val="23"/>
                <w:szCs w:val="23"/>
                <w:color w:val="auto"/>
              </w:rPr>
            </w:pPr>
          </w:p>
        </w:tc>
        <w:tc>
          <w:tcPr>
            <w:tcW w:w="2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20" w:type="dxa"/>
            <w:vAlign w:val="bottom"/>
            <w:gridSpan w:val="3"/>
            <w:vMerge w:val="continue"/>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3"/>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29,106,365*</w:t>
            </w: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29,106,365*</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340" w:type="dxa"/>
            <w:vAlign w:val="bottom"/>
            <w:tcBorders>
              <w:bottom w:val="single" w:sz="8" w:color="auto"/>
            </w:tcBorders>
            <w:gridSpan w:val="4"/>
          </w:tcPr>
          <w:p>
            <w:pPr>
              <w:spacing w:after="0"/>
              <w:rPr>
                <w:sz w:val="11"/>
                <w:szCs w:val="11"/>
                <w:color w:val="auto"/>
              </w:rPr>
            </w:pPr>
          </w:p>
        </w:tc>
        <w:tc>
          <w:tcPr>
            <w:tcW w:w="2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13 of 23 Pages</w:t>
            </w:r>
          </w:p>
        </w:tc>
      </w:tr>
    </w:tbl>
    <w:p>
      <w:pPr>
        <w:spacing w:after="0" w:line="1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Explanatory Note</w:t>
      </w:r>
      <w:r>
        <w:rPr>
          <w:rFonts w:ascii="Times New Roman" w:cs="Times New Roman" w:eastAsia="Times New Roman" w:hAnsi="Times New Roman"/>
          <w:sz w:val="18"/>
          <w:szCs w:val="18"/>
          <w:color w:val="auto"/>
        </w:rPr>
        <w:t>: Following the consummation of the Issuer’s acquisition of SomaLogic, Inc., a Delaware corporation (“SomaLogic”), on January 5, 2024 (the “Closing”), the Reporting Persons have determined that they no longer hold any shares of Common Stock (as defined herein) for the purpose of or with the effect of changing or influencing the control of the Issuer. Accordingly, the Reporting Persons are filing this statement on Schedule 13G pursuant to Rule 13d-1(h) under the Act, to amend the statement on Schedule 13D filed with the U.S. Securities and Exchange Commission (the “Commission”) by the Reporting Persons on October 16, 2023, as amended on November 22, 2023 (collectively, the “Schedule 13D”). The Schedule 13D was filed pursuant to Rule 13d-1(e) under the Act, and amended the statement on Schedule 13G previously filed by the Reporting Persons, most recently amended on February 14,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Name of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 Tower Place, Suite 2000, South San Francisco, CA 94080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Name of Person Filing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Viking Global Investors LP (“VGI”),</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Viking Global Opportunities Parent GP LLC (“Opportunities Parent”),</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Viking Global Opportunities GP LLC (“Opportunities GP”),</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Viking Global Opportunities Portfolio GP LLC (“Opportunities Portfolio GP”),</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 (“VGOP”),</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Viking Global Opportunities Drawdown GP LLC (“VGOD GP”),</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Viking Global Opportunities Drawdown Portfolio GP LLC (“VGOD Portfolio GP”),</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Viking Global Opportunities Drawdown (Aggregator) LP (“VGOD”),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 Andreas Halvorsen, David C. Ott and Rose S. Shabet (collectively, the “Reporting Persons”).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Address of Principal Business Office or, if none, Residence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business address of each of the Reporting Persons is: 600 Washington Boulevard, Floor 11, Stamford, Connecticut 06901.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1134"/>
        <w:spacing w:after="0" w:line="266" w:lineRule="auto"/>
        <w:rPr>
          <w:sz w:val="20"/>
          <w:szCs w:val="20"/>
          <w:color w:val="auto"/>
        </w:rPr>
      </w:pPr>
      <w:r>
        <w:rPr>
          <w:rFonts w:ascii="Times New Roman" w:cs="Times New Roman" w:eastAsia="Times New Roman" w:hAnsi="Times New Roman"/>
          <w:sz w:val="18"/>
          <w:szCs w:val="18"/>
          <w:color w:val="auto"/>
        </w:rPr>
        <w:t>VGI is a Delaware limited partnership; Opportunities Parent, Opportunities GP, Opportunities Portfolio GP, VGOD GP, and VGOD Portfolio GP are Delaware limited liability companies; VGOP and VGOD are Cayman Islands exempted limited partnerships; O. Andreas Halvorsen is a citizen of Norway; and David C. Ott and Rose S. Shabet are citizens of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Titles of Classes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$0.001 par value per share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34385P108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If This Statement is Filed Pursuant to Rule 13d-1(b), or 13d-2(b) or (c), Check Whether the Person Filing is 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14 of 23 Pages</w:t>
            </w:r>
          </w:p>
        </w:tc>
      </w:tr>
    </w:tbl>
    <w:p>
      <w:pPr>
        <w:spacing w:after="0" w:line="117" w:lineRule="exact"/>
        <w:rPr>
          <w:sz w:val="20"/>
          <w:szCs w:val="20"/>
          <w:color w:val="auto"/>
        </w:rPr>
      </w:pPr>
    </w:p>
    <w:p>
      <w:pPr>
        <w:ind w:left="1800" w:hanging="451"/>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69" w:lineRule="exact"/>
        <w:rPr>
          <w:rFonts w:ascii="Times New Roman" w:cs="Times New Roman" w:eastAsia="Times New Roman" w:hAnsi="Times New Roman"/>
          <w:sz w:val="18"/>
          <w:szCs w:val="18"/>
          <w:color w:val="auto"/>
        </w:rPr>
      </w:pPr>
    </w:p>
    <w:p>
      <w:pPr>
        <w:ind w:left="1800" w:hanging="451"/>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9" w:lineRule="exact"/>
        <w:rPr>
          <w:rFonts w:ascii="Times New Roman" w:cs="Times New Roman" w:eastAsia="Times New Roman" w:hAnsi="Times New Roman"/>
          <w:sz w:val="18"/>
          <w:szCs w:val="18"/>
          <w:color w:val="auto"/>
        </w:rPr>
      </w:pPr>
    </w:p>
    <w:p>
      <w:pPr>
        <w:ind w:left="1800" w:hanging="451"/>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9" w:lineRule="exact"/>
        <w:rPr>
          <w:rFonts w:ascii="Times New Roman" w:cs="Times New Roman" w:eastAsia="Times New Roman" w:hAnsi="Times New Roman"/>
          <w:sz w:val="18"/>
          <w:szCs w:val="18"/>
          <w:color w:val="auto"/>
        </w:rPr>
      </w:pPr>
    </w:p>
    <w:p>
      <w:pPr>
        <w:ind w:left="1800" w:hanging="451"/>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9" w:lineRule="exact"/>
        <w:rPr>
          <w:rFonts w:ascii="Times New Roman" w:cs="Times New Roman" w:eastAsia="Times New Roman" w:hAnsi="Times New Roman"/>
          <w:sz w:val="18"/>
          <w:szCs w:val="18"/>
          <w:color w:val="auto"/>
        </w:rPr>
      </w:pPr>
    </w:p>
    <w:p>
      <w:pPr>
        <w:ind w:left="1800" w:hanging="451"/>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registered under Section 203 of the Investment Advisers Act of 1940: see Rule 13d-1(b)(1)(ii)(E)</w:t>
      </w:r>
    </w:p>
    <w:p>
      <w:pPr>
        <w:spacing w:after="0" w:line="9" w:lineRule="exact"/>
        <w:rPr>
          <w:rFonts w:ascii="Times New Roman" w:cs="Times New Roman" w:eastAsia="Times New Roman" w:hAnsi="Times New Roman"/>
          <w:sz w:val="18"/>
          <w:szCs w:val="18"/>
          <w:color w:val="auto"/>
        </w:rPr>
      </w:pPr>
    </w:p>
    <w:p>
      <w:pPr>
        <w:ind w:left="1800" w:right="240" w:hanging="451"/>
        <w:spacing w:after="0" w:line="215"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Pension Fund which is subject to the provisions of the Employee Retirement Income Security Act of 1974 or Endowment Fund; see Rule 13d-1(b)(1)(ii)(F)</w:t>
      </w:r>
    </w:p>
    <w:p>
      <w:pPr>
        <w:ind w:left="1800" w:hanging="451"/>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in accordance with Rule 13d-1(b)(1)(ii)(G).</w:t>
      </w:r>
    </w:p>
    <w:p>
      <w:pPr>
        <w:spacing w:after="0" w:line="10" w:lineRule="exact"/>
        <w:rPr>
          <w:rFonts w:ascii="Times New Roman" w:cs="Times New Roman" w:eastAsia="Times New Roman" w:hAnsi="Times New Roman"/>
          <w:sz w:val="18"/>
          <w:szCs w:val="18"/>
          <w:color w:val="auto"/>
        </w:rPr>
      </w:pPr>
    </w:p>
    <w:p>
      <w:pPr>
        <w:ind w:left="1800" w:hanging="451"/>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9" w:lineRule="exact"/>
        <w:rPr>
          <w:rFonts w:ascii="Times New Roman" w:cs="Times New Roman" w:eastAsia="Times New Roman" w:hAnsi="Times New Roman"/>
          <w:sz w:val="18"/>
          <w:szCs w:val="18"/>
          <w:color w:val="auto"/>
        </w:rPr>
      </w:pPr>
    </w:p>
    <w:p>
      <w:pPr>
        <w:ind w:left="1800" w:right="100" w:hanging="451"/>
        <w:spacing w:after="0" w:line="215"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w:t>
      </w:r>
    </w:p>
    <w:p>
      <w:pPr>
        <w:ind w:left="1800" w:hanging="451"/>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Rule 240.13d-1(b)(1)(ii)(J). If filing as a non-U.S. institution in accordance with Rule</w:t>
      </w:r>
    </w:p>
    <w:p>
      <w:pPr>
        <w:spacing w:after="0" w:line="10"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240.13d-1(b)(1)(ii)(J), please specify the type of institution:</w:t>
      </w:r>
    </w:p>
    <w:p>
      <w:pPr>
        <w:spacing w:after="0" w:line="7"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This Statement on Schedule 13G relates to shares of Common Stock held directly by VGOP and VGOD and shares of Common Stock that the Reporting Persons have the right to acquire upon conversion of shares of Series B-2 Preferred Stock (“Series B-2 Preferred Stock”) held directly by VGOP and VGOD. VGOP owns 8,164,670 shares of Common Stock and 85,612 shares of Series B-2 Preferred Stock, and VGOD owns 4,021,404 shares of Common Stock and 42,167 shares of Series B-2 Preferred Stock. The Series B-2 Preferred Stock has an initial conversion rate of 294.1176 shares of Common Stock per share of Series B-2 Preferred Stock. However, the Certificate of Designation for the Series B-2 Preferred Stock provides that none of VGOP, VGOD, nor their affiliates shall be entitled to convert shares of Series B-2 Preferred Stock unless such conversion would not result in VGOP and VGOD, together with their affiliates, beneficially owning more than 9.5% of the total number of shares of Common Stock outstanding (the “Blocker”). Accordingly, the amount of shares of Common Stock reported as beneficially owned by the Reporting Persons set forth herein excludes shares of Common Stock that the Reporting Persons do not currently have the right to acquire upon conversion of the Series B-2 Preferred Stock held directly by VGOP and VGOD due to the Blocker (and applies the Blocker pro rata across VGOP and VGOD). Without giving effect to the 9.5% Blocker, the Series B-2 Preferred Stock held by VGOP would be convertible into 25,179,995 shares of Common Stock and the Series B-2 Preferred Stock held by VGOD would be convertible into 12,402,056 shares of Common Stock, for an aggregate of 37,582,051 shares of Common Stock.</w:t>
      </w:r>
    </w:p>
    <w:p>
      <w:pPr>
        <w:spacing w:after="0" w:line="190"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The percentages set forth herein are calculated based on the sum of: (i) 80,030,193 shares of Common Stock outstanding as of November 29, 2023, as reported in the Issuer’s current report on Form 8-K filed with the Commission on January 5, 2024; (ii) 209,433,837 shares of Common Stock expected to be issued upon the Closing, based on an exchange ratio of 1.11-to-1 as applied to the 188,679,133 shares of common stock of SomaLogic, par value $0.0001 per share, outstanding as of November 29, 2023, as reported in SomaLogic’s proxy statement on Schedule 14A filed with the Commission on December 1, 2023; and (iii) 16,920,291 shares of Common Stock that the Reporting Persons currently have the right to acquire upon conversion of shares of Series B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15 of 23 Pages</w:t>
            </w:r>
          </w:p>
        </w:tc>
      </w:tr>
    </w:tbl>
    <w:p>
      <w:pPr>
        <w:spacing w:after="0" w:line="157" w:lineRule="exact"/>
        <w:rPr>
          <w:sz w:val="20"/>
          <w:szCs w:val="20"/>
          <w:color w:val="auto"/>
        </w:rPr>
      </w:pPr>
    </w:p>
    <w:p>
      <w:pPr>
        <w:ind w:left="2080" w:hanging="479"/>
        <w:spacing w:after="0"/>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VGI</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29,106,365</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9.5%</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580" w:hanging="845"/>
        <w:spacing w:after="0"/>
        <w:tabs>
          <w:tab w:leader="none" w:pos="35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580" w:hanging="845"/>
        <w:spacing w:after="0"/>
        <w:tabs>
          <w:tab w:leader="none" w:pos="35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29,106,365</w:t>
      </w:r>
    </w:p>
    <w:p>
      <w:pPr>
        <w:spacing w:after="0" w:line="225" w:lineRule="exact"/>
        <w:rPr>
          <w:rFonts w:ascii="Times New Roman" w:cs="Times New Roman" w:eastAsia="Times New Roman" w:hAnsi="Times New Roman"/>
          <w:sz w:val="18"/>
          <w:szCs w:val="18"/>
          <w:color w:val="auto"/>
        </w:rPr>
      </w:pPr>
    </w:p>
    <w:p>
      <w:pPr>
        <w:ind w:left="3580" w:hanging="845"/>
        <w:spacing w:after="0"/>
        <w:tabs>
          <w:tab w:leader="none" w:pos="35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580" w:hanging="859"/>
        <w:spacing w:after="0"/>
        <w:tabs>
          <w:tab w:leader="none" w:pos="35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29,106,365</w:t>
      </w:r>
    </w:p>
    <w:p>
      <w:pPr>
        <w:spacing w:after="0" w:line="225" w:lineRule="exact"/>
        <w:rPr>
          <w:sz w:val="20"/>
          <w:szCs w:val="20"/>
          <w:color w:val="auto"/>
        </w:rPr>
      </w:pPr>
    </w:p>
    <w:p>
      <w:pPr>
        <w:jc w:val="both"/>
        <w:ind w:left="1460" w:right="20"/>
        <w:spacing w:after="0" w:line="266" w:lineRule="auto"/>
        <w:rPr>
          <w:sz w:val="20"/>
          <w:szCs w:val="20"/>
          <w:color w:val="auto"/>
        </w:rPr>
      </w:pPr>
      <w:r>
        <w:rPr>
          <w:rFonts w:ascii="Times New Roman" w:cs="Times New Roman" w:eastAsia="Times New Roman" w:hAnsi="Times New Roman"/>
          <w:sz w:val="18"/>
          <w:szCs w:val="18"/>
          <w:color w:val="auto"/>
        </w:rPr>
        <w:t>VGI provides managerial services to VGOP and VGOD. VGI has the authority to dispose of and vote the shares of Common Stock that VGOP and VGOD directly own and have the right to acquire upon conversion of the Series B-2 Preferred Stock. VGI does not directly own any shares of Common Stock or Series B-2 Preferred Stock.</w:t>
      </w:r>
    </w:p>
    <w:p>
      <w:pPr>
        <w:spacing w:after="0" w:line="176" w:lineRule="exact"/>
        <w:rPr>
          <w:sz w:val="20"/>
          <w:szCs w:val="20"/>
          <w:color w:val="auto"/>
        </w:rPr>
      </w:pPr>
    </w:p>
    <w:p>
      <w:pPr>
        <w:ind w:left="1460" w:right="40"/>
        <w:spacing w:after="0" w:line="282" w:lineRule="auto"/>
        <w:rPr>
          <w:sz w:val="20"/>
          <w:szCs w:val="20"/>
          <w:color w:val="auto"/>
        </w:rPr>
      </w:pPr>
      <w:r>
        <w:rPr>
          <w:rFonts w:ascii="Times New Roman" w:cs="Times New Roman" w:eastAsia="Times New Roman" w:hAnsi="Times New Roman"/>
          <w:sz w:val="18"/>
          <w:szCs w:val="18"/>
          <w:color w:val="auto"/>
        </w:rPr>
        <w:t>Based on Rule 13d-3 of the Act, VGI may be deemed to beneficially own the shares of Common Stock that VGOP and VGOD directly own and have the right to acquire upon conversion of the Series B-2 Preferred Stock.</w:t>
      </w:r>
    </w:p>
    <w:p>
      <w:pPr>
        <w:spacing w:after="0" w:line="162" w:lineRule="exact"/>
        <w:rPr>
          <w:sz w:val="20"/>
          <w:szCs w:val="20"/>
          <w:color w:val="auto"/>
        </w:rPr>
      </w:pPr>
    </w:p>
    <w:p>
      <w:pPr>
        <w:ind w:left="1460" w:right="220"/>
        <w:spacing w:after="0" w:line="258" w:lineRule="auto"/>
        <w:rPr>
          <w:sz w:val="20"/>
          <w:szCs w:val="20"/>
          <w:color w:val="auto"/>
        </w:rPr>
      </w:pPr>
      <w:r>
        <w:rPr>
          <w:rFonts w:ascii="Times New Roman" w:cs="Times New Roman" w:eastAsia="Times New Roman" w:hAnsi="Times New Roman"/>
          <w:sz w:val="18"/>
          <w:szCs w:val="18"/>
          <w:color w:val="auto"/>
        </w:rPr>
        <w:t>VGI beneficially owns 29,106,365 shares of Common Stock consisting of (i) 8,164,670 shares of Common Stock directly owned by VGOP, (ii) 4,021,404 shares of Common Stock directly owned by VGOD, (iii) 11,337,057 shares of Common Stock beneficially owned by VGOP, which VGOP has the right to acquire upon conversion of 38,546 shares of Series B-2 Preferred Stock, and (iv) 5,583,234 shares of Common Stock beneficially owned by VGOD, which VGOD has the right to acquire upon conversion of 18,983 shares of Series B-2 Preferred Stock, each of (iii) and (iv) subject to the Blocker.</w:t>
      </w:r>
    </w:p>
    <w:p>
      <w:pPr>
        <w:spacing w:after="0" w:line="183" w:lineRule="exact"/>
        <w:rPr>
          <w:sz w:val="20"/>
          <w:szCs w:val="20"/>
          <w:color w:val="auto"/>
        </w:rPr>
      </w:pPr>
    </w:p>
    <w:p>
      <w:pPr>
        <w:ind w:left="2080" w:hanging="574"/>
        <w:spacing w:after="0"/>
        <w:tabs>
          <w:tab w:leader="none" w:pos="2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Parent</w:t>
      </w:r>
    </w:p>
    <w:p>
      <w:pPr>
        <w:spacing w:after="0" w:line="225" w:lineRule="exact"/>
        <w:rPr>
          <w:rFonts w:ascii="Times New Roman" w:cs="Times New Roman" w:eastAsia="Times New Roman" w:hAnsi="Times New Roman"/>
          <w:sz w:val="18"/>
          <w:szCs w:val="18"/>
          <w:color w:val="auto"/>
        </w:rPr>
      </w:pPr>
    </w:p>
    <w:p>
      <w:pPr>
        <w:ind w:left="2640" w:hanging="567"/>
        <w:spacing w:after="0"/>
        <w:tabs>
          <w:tab w:leader="none" w:pos="2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29,106,365</w:t>
      </w:r>
    </w:p>
    <w:p>
      <w:pPr>
        <w:spacing w:after="0" w:line="225" w:lineRule="exact"/>
        <w:rPr>
          <w:rFonts w:ascii="Times New Roman" w:cs="Times New Roman" w:eastAsia="Times New Roman" w:hAnsi="Times New Roman"/>
          <w:sz w:val="18"/>
          <w:szCs w:val="18"/>
          <w:color w:val="auto"/>
        </w:rPr>
      </w:pPr>
    </w:p>
    <w:p>
      <w:pPr>
        <w:ind w:left="2640" w:hanging="567"/>
        <w:spacing w:after="0"/>
        <w:tabs>
          <w:tab w:leader="none" w:pos="2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9.5%</w:t>
      </w:r>
    </w:p>
    <w:p>
      <w:pPr>
        <w:spacing w:after="0" w:line="225" w:lineRule="exact"/>
        <w:rPr>
          <w:rFonts w:ascii="Times New Roman" w:cs="Times New Roman" w:eastAsia="Times New Roman" w:hAnsi="Times New Roman"/>
          <w:sz w:val="18"/>
          <w:szCs w:val="18"/>
          <w:color w:val="auto"/>
        </w:rPr>
      </w:pPr>
    </w:p>
    <w:p>
      <w:pPr>
        <w:ind w:left="2640" w:hanging="567"/>
        <w:spacing w:after="0"/>
        <w:tabs>
          <w:tab w:leader="none" w:pos="2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580" w:hanging="845"/>
        <w:spacing w:after="0"/>
        <w:tabs>
          <w:tab w:leader="none" w:pos="35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sz w:val="20"/>
          <w:szCs w:val="20"/>
          <w:color w:val="auto"/>
        </w:rPr>
      </w:pPr>
    </w:p>
    <w:p>
      <w:pPr>
        <w:ind w:left="3540" w:hanging="832"/>
        <w:spacing w:after="0"/>
        <w:tabs>
          <w:tab w:leader="none" w:pos="3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29,106,365</w:t>
      </w:r>
    </w:p>
    <w:p>
      <w:pPr>
        <w:spacing w:after="0" w:line="225" w:lineRule="exact"/>
        <w:rPr>
          <w:rFonts w:ascii="Times New Roman" w:cs="Times New Roman" w:eastAsia="Times New Roman" w:hAnsi="Times New Roman"/>
          <w:sz w:val="18"/>
          <w:szCs w:val="18"/>
          <w:color w:val="auto"/>
        </w:rPr>
      </w:pPr>
    </w:p>
    <w:p>
      <w:pPr>
        <w:ind w:left="3540" w:hanging="832"/>
        <w:spacing w:after="0"/>
        <w:tabs>
          <w:tab w:leader="none" w:pos="3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580" w:hanging="859"/>
        <w:spacing w:after="0"/>
        <w:tabs>
          <w:tab w:leader="none" w:pos="3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29,106,365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16 of 23 Pages</w:t>
            </w:r>
          </w:p>
        </w:tc>
      </w:tr>
    </w:tbl>
    <w:p>
      <w:pPr>
        <w:spacing w:after="0" w:line="157" w:lineRule="exact"/>
        <w:rPr>
          <w:sz w:val="20"/>
          <w:szCs w:val="20"/>
          <w:color w:val="auto"/>
        </w:rPr>
      </w:pPr>
    </w:p>
    <w:p>
      <w:pPr>
        <w:ind w:left="1460" w:right="160"/>
        <w:spacing w:after="0" w:line="256" w:lineRule="auto"/>
        <w:rPr>
          <w:sz w:val="20"/>
          <w:szCs w:val="20"/>
          <w:color w:val="auto"/>
        </w:rPr>
      </w:pPr>
      <w:r>
        <w:rPr>
          <w:rFonts w:ascii="Times New Roman" w:cs="Times New Roman" w:eastAsia="Times New Roman" w:hAnsi="Times New Roman"/>
          <w:sz w:val="18"/>
          <w:szCs w:val="18"/>
          <w:color w:val="auto"/>
        </w:rPr>
        <w:t>Opportunities Parent is the sole member of Opportunities GP, which has the authority to dispose of and vote the shares of Common Stock controlled by Opportunities Portfolio GP (which consists of the shares of Common Stock that VGOP directly owns and has the right to acquire upon conversion of the Series B-2 Preferred Stock) and is the sole member of VGOD GP, which has the authority to dispose of and vote the shares of Common Stock controlled by VGOD Portfolio GP (which consists of the shares of Common Stock that VGOD directly owns and has the right to acquire upon conversion of the Series B-2 Preferred Stock). Opportunities Parent does not directly own any shares of Common Stock or Series B-2 Preferred Stock.</w:t>
      </w:r>
    </w:p>
    <w:p>
      <w:pPr>
        <w:spacing w:after="0" w:line="187" w:lineRule="exact"/>
        <w:rPr>
          <w:sz w:val="20"/>
          <w:szCs w:val="20"/>
          <w:color w:val="auto"/>
        </w:rPr>
      </w:pPr>
    </w:p>
    <w:p>
      <w:pPr>
        <w:ind w:left="1460" w:right="20"/>
        <w:spacing w:after="0" w:line="282" w:lineRule="auto"/>
        <w:rPr>
          <w:sz w:val="20"/>
          <w:szCs w:val="20"/>
          <w:color w:val="auto"/>
        </w:rPr>
      </w:pPr>
      <w:r>
        <w:rPr>
          <w:rFonts w:ascii="Times New Roman" w:cs="Times New Roman" w:eastAsia="Times New Roman" w:hAnsi="Times New Roman"/>
          <w:sz w:val="18"/>
          <w:szCs w:val="18"/>
          <w:color w:val="auto"/>
        </w:rPr>
        <w:t>Based on Rule 13d-3 of the Act, Opportunities Parent may be deemed to beneficially own the shares of Common Stock that VGOP and VGOD directly own and have the right to acquire upon conversion of the Series B-2 Preferred Stock.</w:t>
      </w:r>
    </w:p>
    <w:p>
      <w:pPr>
        <w:spacing w:after="0" w:line="162" w:lineRule="exact"/>
        <w:rPr>
          <w:sz w:val="20"/>
          <w:szCs w:val="20"/>
          <w:color w:val="auto"/>
        </w:rPr>
      </w:pPr>
    </w:p>
    <w:p>
      <w:pPr>
        <w:ind w:left="1460" w:right="60"/>
        <w:spacing w:after="0" w:line="258" w:lineRule="auto"/>
        <w:rPr>
          <w:sz w:val="20"/>
          <w:szCs w:val="20"/>
          <w:color w:val="auto"/>
        </w:rPr>
      </w:pPr>
      <w:r>
        <w:rPr>
          <w:rFonts w:ascii="Times New Roman" w:cs="Times New Roman" w:eastAsia="Times New Roman" w:hAnsi="Times New Roman"/>
          <w:sz w:val="18"/>
          <w:szCs w:val="18"/>
          <w:color w:val="auto"/>
        </w:rPr>
        <w:t>Opportunities Parent beneficially owns 29,106,365 shares of Common Stock consisting of (i) 8,164,670 shares of Common Stock directly owned by VGOP, (ii) 4,021,404 shares of Common Stock directly owned by VGOD, (iii) 11,337,057 shares of Common Stock beneficially owned by VGOP, which VGOP has the right to acquire upon conversion of 38,546 shares of Series B-2 Preferred Stock, and (iv) 5,583,234 shares of Common Stock beneficially owned by VGOD, which VGOD has the right to acquire upon conversion of 18,983 shares of Series B-2 Preferred Stock, each of (iii) and (iv) subject to the Blocker.</w:t>
      </w:r>
    </w:p>
    <w:p>
      <w:pPr>
        <w:spacing w:after="0" w:line="183" w:lineRule="exact"/>
        <w:rPr>
          <w:sz w:val="20"/>
          <w:szCs w:val="20"/>
          <w:color w:val="auto"/>
        </w:rPr>
      </w:pPr>
    </w:p>
    <w:p>
      <w:pPr>
        <w:ind w:left="2080" w:hanging="574"/>
        <w:spacing w:after="0"/>
        <w:tabs>
          <w:tab w:leader="none" w:pos="2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GP</w:t>
      </w:r>
    </w:p>
    <w:p>
      <w:pPr>
        <w:spacing w:after="0" w:line="225" w:lineRule="exact"/>
        <w:rPr>
          <w:rFonts w:ascii="Times New Roman" w:cs="Times New Roman" w:eastAsia="Times New Roman" w:hAnsi="Times New Roman"/>
          <w:sz w:val="18"/>
          <w:szCs w:val="18"/>
          <w:color w:val="auto"/>
        </w:rPr>
      </w:pPr>
    </w:p>
    <w:p>
      <w:pPr>
        <w:ind w:left="2740" w:hanging="667"/>
        <w:spacing w:after="0"/>
        <w:tabs>
          <w:tab w:leader="none" w:pos="2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19,501,727</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6.4%</w:t>
      </w:r>
    </w:p>
    <w:p>
      <w:pPr>
        <w:spacing w:after="0" w:line="225" w:lineRule="exact"/>
        <w:rPr>
          <w:rFonts w:ascii="Times New Roman" w:cs="Times New Roman" w:eastAsia="Times New Roman" w:hAnsi="Times New Roman"/>
          <w:sz w:val="18"/>
          <w:szCs w:val="18"/>
          <w:color w:val="auto"/>
        </w:rPr>
      </w:pPr>
    </w:p>
    <w:p>
      <w:pPr>
        <w:ind w:left="2740" w:hanging="667"/>
        <w:spacing w:after="0"/>
        <w:tabs>
          <w:tab w:leader="none" w:pos="2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3580" w:hanging="845"/>
        <w:spacing w:after="0"/>
        <w:tabs>
          <w:tab w:leader="none" w:pos="3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sz w:val="20"/>
          <w:szCs w:val="20"/>
          <w:color w:val="auto"/>
        </w:rPr>
      </w:pPr>
    </w:p>
    <w:p>
      <w:pPr>
        <w:ind w:left="3540" w:hanging="832"/>
        <w:spacing w:after="0"/>
        <w:tabs>
          <w:tab w:leader="none" w:pos="3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19,501,727</w:t>
      </w:r>
    </w:p>
    <w:p>
      <w:pPr>
        <w:spacing w:after="0" w:line="225" w:lineRule="exact"/>
        <w:rPr>
          <w:rFonts w:ascii="Times New Roman" w:cs="Times New Roman" w:eastAsia="Times New Roman" w:hAnsi="Times New Roman"/>
          <w:sz w:val="18"/>
          <w:szCs w:val="18"/>
          <w:color w:val="auto"/>
        </w:rPr>
      </w:pPr>
    </w:p>
    <w:p>
      <w:pPr>
        <w:ind w:left="3540" w:hanging="832"/>
        <w:spacing w:after="0"/>
        <w:tabs>
          <w:tab w:leader="none" w:pos="3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sz w:val="20"/>
          <w:szCs w:val="20"/>
          <w:color w:val="auto"/>
        </w:rPr>
      </w:pPr>
    </w:p>
    <w:p>
      <w:pPr>
        <w:ind w:left="3580" w:hanging="859"/>
        <w:spacing w:after="0"/>
        <w:tabs>
          <w:tab w:leader="none" w:pos="3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19,501,727</w:t>
      </w:r>
    </w:p>
    <w:p>
      <w:pPr>
        <w:spacing w:after="0" w:line="225" w:lineRule="exact"/>
        <w:rPr>
          <w:sz w:val="20"/>
          <w:szCs w:val="20"/>
          <w:color w:val="auto"/>
        </w:rPr>
      </w:pPr>
    </w:p>
    <w:p>
      <w:pPr>
        <w:ind w:left="1460" w:right="40"/>
        <w:spacing w:after="0" w:line="258" w:lineRule="auto"/>
        <w:rPr>
          <w:sz w:val="20"/>
          <w:szCs w:val="20"/>
          <w:color w:val="auto"/>
        </w:rPr>
      </w:pPr>
      <w:r>
        <w:rPr>
          <w:rFonts w:ascii="Times New Roman" w:cs="Times New Roman" w:eastAsia="Times New Roman" w:hAnsi="Times New Roman"/>
          <w:sz w:val="18"/>
          <w:szCs w:val="18"/>
          <w:color w:val="auto"/>
        </w:rPr>
        <w:t>Opportunities GP serves as the sole member of Opportunities Portfolio GP and has the authority to dispose of and vote the shares of Common Stock controlled by Opportunities Portfolio GP, which consists of the shares of Common Stock that VGOP directly owns and has the right to acquire upon conversion of the Series B-2 Preferred Stock. In addition, Opportunities GP is the general partner of each of Viking Global Opportunities Intermediate LP, Viking Global Opportunities III LP, and Viking Global Opportunities LP. Opportunities GP does not directly own any shares of Common Stock or Series B-2 Preferred Stock.</w:t>
      </w:r>
    </w:p>
    <w:p>
      <w:pPr>
        <w:spacing w:after="0" w:line="183" w:lineRule="exact"/>
        <w:rPr>
          <w:sz w:val="20"/>
          <w:szCs w:val="20"/>
          <w:color w:val="auto"/>
        </w:rPr>
      </w:pPr>
    </w:p>
    <w:p>
      <w:pPr>
        <w:ind w:left="1460" w:right="560"/>
        <w:spacing w:after="0" w:line="282" w:lineRule="auto"/>
        <w:rPr>
          <w:sz w:val="20"/>
          <w:szCs w:val="20"/>
          <w:color w:val="auto"/>
        </w:rPr>
      </w:pPr>
      <w:r>
        <w:rPr>
          <w:rFonts w:ascii="Times New Roman" w:cs="Times New Roman" w:eastAsia="Times New Roman" w:hAnsi="Times New Roman"/>
          <w:sz w:val="18"/>
          <w:szCs w:val="18"/>
          <w:color w:val="auto"/>
        </w:rPr>
        <w:t>Based on Rule 13d-3 of the Act, Opportunities GP may be deemed to beneficially own the shares of Common Stock that VGOP directly owns and has the right to acquire upon conversion of the Series B-2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17 of 23 Pages</w:t>
            </w:r>
          </w:p>
        </w:tc>
      </w:tr>
    </w:tbl>
    <w:p>
      <w:pPr>
        <w:spacing w:after="0" w:line="157" w:lineRule="exact"/>
        <w:rPr>
          <w:sz w:val="20"/>
          <w:szCs w:val="20"/>
          <w:color w:val="auto"/>
        </w:rPr>
      </w:pPr>
    </w:p>
    <w:p>
      <w:pPr>
        <w:ind w:left="1460" w:right="80"/>
        <w:spacing w:after="0" w:line="266" w:lineRule="auto"/>
        <w:rPr>
          <w:sz w:val="20"/>
          <w:szCs w:val="20"/>
          <w:color w:val="auto"/>
        </w:rPr>
      </w:pPr>
      <w:r>
        <w:rPr>
          <w:rFonts w:ascii="Times New Roman" w:cs="Times New Roman" w:eastAsia="Times New Roman" w:hAnsi="Times New Roman"/>
          <w:sz w:val="18"/>
          <w:szCs w:val="18"/>
          <w:color w:val="auto"/>
        </w:rPr>
        <w:t>Opportunities GP beneficially owns 19,501,727 shares of Common Stock consisting of (i) 8,164,670 shares of Common Stock directly owned by VGOP, and (ii) 11,337,057 shares of Common Stock beneficially owned by VGOP, which VGOP has the right to acquire upon conversion of 38,546 shares of Series B-2 Preferred Stock, subject to the Blocker.</w:t>
      </w:r>
    </w:p>
    <w:p>
      <w:pPr>
        <w:spacing w:after="0" w:line="176" w:lineRule="exact"/>
        <w:rPr>
          <w:sz w:val="20"/>
          <w:szCs w:val="20"/>
          <w:color w:val="auto"/>
        </w:rPr>
      </w:pPr>
    </w:p>
    <w:p>
      <w:pPr>
        <w:ind w:left="2080" w:hanging="574"/>
        <w:spacing w:after="0"/>
        <w:tabs>
          <w:tab w:leader="none" w:pos="2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Portfolio GP</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19,501,727</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6.4%</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3580" w:hanging="845"/>
        <w:spacing w:after="0"/>
        <w:tabs>
          <w:tab w:leader="none" w:pos="3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sz w:val="20"/>
          <w:szCs w:val="20"/>
          <w:color w:val="auto"/>
        </w:rPr>
      </w:pPr>
    </w:p>
    <w:p>
      <w:pPr>
        <w:ind w:left="3540" w:hanging="832"/>
        <w:spacing w:after="0"/>
        <w:tabs>
          <w:tab w:leader="none" w:pos="3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19,501,727</w:t>
      </w:r>
    </w:p>
    <w:p>
      <w:pPr>
        <w:spacing w:after="0" w:line="225" w:lineRule="exact"/>
        <w:rPr>
          <w:rFonts w:ascii="Times New Roman" w:cs="Times New Roman" w:eastAsia="Times New Roman" w:hAnsi="Times New Roman"/>
          <w:sz w:val="18"/>
          <w:szCs w:val="18"/>
          <w:color w:val="auto"/>
        </w:rPr>
      </w:pPr>
    </w:p>
    <w:p>
      <w:pPr>
        <w:ind w:left="3580" w:hanging="845"/>
        <w:spacing w:after="0"/>
        <w:tabs>
          <w:tab w:leader="none" w:pos="35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600" w:hanging="879"/>
        <w:spacing w:after="0"/>
        <w:tabs>
          <w:tab w:leader="none" w:pos="3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19,501,727</w:t>
      </w:r>
    </w:p>
    <w:p>
      <w:pPr>
        <w:spacing w:after="0" w:line="225" w:lineRule="exact"/>
        <w:rPr>
          <w:sz w:val="20"/>
          <w:szCs w:val="20"/>
          <w:color w:val="auto"/>
        </w:rPr>
      </w:pPr>
    </w:p>
    <w:p>
      <w:pPr>
        <w:ind w:left="1460" w:right="60"/>
        <w:spacing w:after="0" w:line="266" w:lineRule="auto"/>
        <w:rPr>
          <w:sz w:val="20"/>
          <w:szCs w:val="20"/>
          <w:color w:val="auto"/>
        </w:rPr>
      </w:pPr>
      <w:r>
        <w:rPr>
          <w:rFonts w:ascii="Times New Roman" w:cs="Times New Roman" w:eastAsia="Times New Roman" w:hAnsi="Times New Roman"/>
          <w:sz w:val="18"/>
          <w:szCs w:val="18"/>
          <w:color w:val="auto"/>
        </w:rPr>
        <w:t>Opportunities Portfolio GP serves as the general partner of VGOP and has the authority to dispose of and vote the shares of Common Stock that VGOP directly owns and has the right to acquire upon conversion of the Series B-2 Preferred Stock. Opportunities Portfolio GP does not directly own any shares of Common Stock or Series B-2 Preferred Stock.</w:t>
      </w:r>
    </w:p>
    <w:p>
      <w:pPr>
        <w:spacing w:after="0" w:line="176" w:lineRule="exact"/>
        <w:rPr>
          <w:sz w:val="20"/>
          <w:szCs w:val="20"/>
          <w:color w:val="auto"/>
        </w:rPr>
      </w:pPr>
    </w:p>
    <w:p>
      <w:pPr>
        <w:ind w:left="1460" w:right="400"/>
        <w:spacing w:after="0" w:line="282" w:lineRule="auto"/>
        <w:rPr>
          <w:sz w:val="20"/>
          <w:szCs w:val="20"/>
          <w:color w:val="auto"/>
        </w:rPr>
      </w:pPr>
      <w:r>
        <w:rPr>
          <w:rFonts w:ascii="Times New Roman" w:cs="Times New Roman" w:eastAsia="Times New Roman" w:hAnsi="Times New Roman"/>
          <w:sz w:val="18"/>
          <w:szCs w:val="18"/>
          <w:color w:val="auto"/>
        </w:rPr>
        <w:t>Based on Rule 13d-3 of the Act, Opportunities Portfolio GP may be deemed to beneficially own the shares of Common Stock that VGOP directly owns and has the right to acquire upon conversion of the Series B-2 Preferred Stock.</w:t>
      </w:r>
    </w:p>
    <w:p>
      <w:pPr>
        <w:spacing w:after="0" w:line="162" w:lineRule="exact"/>
        <w:rPr>
          <w:sz w:val="20"/>
          <w:szCs w:val="20"/>
          <w:color w:val="auto"/>
        </w:rPr>
      </w:pPr>
    </w:p>
    <w:p>
      <w:pPr>
        <w:ind w:left="1460" w:right="20"/>
        <w:spacing w:after="0" w:line="266" w:lineRule="auto"/>
        <w:rPr>
          <w:sz w:val="20"/>
          <w:szCs w:val="20"/>
          <w:color w:val="auto"/>
        </w:rPr>
      </w:pPr>
      <w:r>
        <w:rPr>
          <w:rFonts w:ascii="Times New Roman" w:cs="Times New Roman" w:eastAsia="Times New Roman" w:hAnsi="Times New Roman"/>
          <w:sz w:val="18"/>
          <w:szCs w:val="18"/>
          <w:color w:val="auto"/>
        </w:rPr>
        <w:t>Opportunities Portfolio GP beneficially owns 19,501,727 shares of Common Stock consisting of (i) 8,164,670 shares of Common Stock directly owned by VGOP, and (ii) 11,337,057 shares of Common Stock beneficially owned by VGOP, which VGOP has the right to acquire upon conversion of 38,546 shares of Series B-2 Preferred Stock, subject to the Blocker.</w:t>
      </w:r>
    </w:p>
    <w:p>
      <w:pPr>
        <w:spacing w:after="0" w:line="176" w:lineRule="exact"/>
        <w:rPr>
          <w:sz w:val="20"/>
          <w:szCs w:val="20"/>
          <w:color w:val="auto"/>
        </w:rPr>
      </w:pPr>
    </w:p>
    <w:p>
      <w:pPr>
        <w:ind w:left="2140" w:hanging="647"/>
        <w:spacing w:after="0"/>
        <w:tabs>
          <w:tab w:leader="none" w:pos="2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VGOP</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19,501,727</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6.4%</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19,501,727</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660" w:hanging="939"/>
        <w:spacing w:after="0"/>
        <w:tabs>
          <w:tab w:leader="none" w:pos="36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19,501,727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18 of 23 Pages</w:t>
            </w:r>
          </w:p>
        </w:tc>
      </w:tr>
    </w:tbl>
    <w:p>
      <w:pPr>
        <w:spacing w:after="0" w:line="157" w:lineRule="exact"/>
        <w:rPr>
          <w:sz w:val="20"/>
          <w:szCs w:val="20"/>
          <w:color w:val="auto"/>
        </w:rPr>
      </w:pPr>
    </w:p>
    <w:p>
      <w:pPr>
        <w:ind w:left="1460" w:right="100"/>
        <w:spacing w:after="0" w:line="266" w:lineRule="auto"/>
        <w:rPr>
          <w:sz w:val="20"/>
          <w:szCs w:val="20"/>
          <w:color w:val="auto"/>
        </w:rPr>
      </w:pPr>
      <w:r>
        <w:rPr>
          <w:rFonts w:ascii="Times New Roman" w:cs="Times New Roman" w:eastAsia="Times New Roman" w:hAnsi="Times New Roman"/>
          <w:sz w:val="18"/>
          <w:szCs w:val="18"/>
          <w:color w:val="auto"/>
        </w:rPr>
        <w:t>VGOP has the authority to dispose of and vote the shares of Common Stock that it directly owns and has the right to acquire upon conversion of the Series B-2 Preferred Stock directly owned by it, which power may be exercised by its general partner, Opportunities Portfolio GP, and by VGI, an affiliate of Opportunities Portfolio GP, which provides managerial services to VGOP.</w:t>
      </w:r>
    </w:p>
    <w:p>
      <w:pPr>
        <w:spacing w:after="0" w:line="176" w:lineRule="exact"/>
        <w:rPr>
          <w:sz w:val="20"/>
          <w:szCs w:val="20"/>
          <w:color w:val="auto"/>
        </w:rPr>
      </w:pPr>
    </w:p>
    <w:p>
      <w:pPr>
        <w:ind w:left="1460" w:right="60"/>
        <w:spacing w:after="0" w:line="261" w:lineRule="auto"/>
        <w:rPr>
          <w:sz w:val="20"/>
          <w:szCs w:val="20"/>
          <w:color w:val="auto"/>
        </w:rPr>
      </w:pPr>
      <w:r>
        <w:rPr>
          <w:rFonts w:ascii="Times New Roman" w:cs="Times New Roman" w:eastAsia="Times New Roman" w:hAnsi="Times New Roman"/>
          <w:sz w:val="18"/>
          <w:szCs w:val="18"/>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180" w:lineRule="exact"/>
        <w:rPr>
          <w:sz w:val="20"/>
          <w:szCs w:val="20"/>
          <w:color w:val="auto"/>
        </w:rPr>
      </w:pPr>
    </w:p>
    <w:p>
      <w:pPr>
        <w:ind w:left="2140" w:hanging="647"/>
        <w:spacing w:after="0"/>
        <w:tabs>
          <w:tab w:leader="none" w:pos="2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VGOD GP</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9,604,638</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9,604,638</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9,604,638</w:t>
      </w:r>
    </w:p>
    <w:p>
      <w:pPr>
        <w:spacing w:after="0" w:line="225" w:lineRule="exact"/>
        <w:rPr>
          <w:sz w:val="20"/>
          <w:szCs w:val="20"/>
          <w:color w:val="auto"/>
        </w:rPr>
      </w:pPr>
    </w:p>
    <w:p>
      <w:pPr>
        <w:ind w:left="1460" w:right="40"/>
        <w:spacing w:after="0" w:line="258" w:lineRule="auto"/>
        <w:rPr>
          <w:sz w:val="20"/>
          <w:szCs w:val="20"/>
          <w:color w:val="auto"/>
        </w:rPr>
      </w:pPr>
      <w:r>
        <w:rPr>
          <w:rFonts w:ascii="Times New Roman" w:cs="Times New Roman" w:eastAsia="Times New Roman" w:hAnsi="Times New Roman"/>
          <w:sz w:val="18"/>
          <w:szCs w:val="18"/>
          <w:color w:val="auto"/>
        </w:rPr>
        <w:t>VGOD GP serves as the sole member of VGOD Portfolio GP and has the authority to dispose of and vote the shares of Common Stock controlled by VGOD Portfolio GP, which consists of the shares of Common Stock that VGOD directly owns and has the right to acquire upon conversion of the Series B-2 Preferred Stock. In addition, VGOD GP is the general partner of each of Viking Global Opportunities (Internal) LP, Viking Global Opportunities Drawdown (Onshore) LP, and Viking Global Opportunities Drawdown (Offshore) LP. VGOD GP does not directly own any shares of Common Stock or Series B-2 Preferred Stock.</w:t>
      </w:r>
    </w:p>
    <w:p>
      <w:pPr>
        <w:spacing w:after="0" w:line="183" w:lineRule="exact"/>
        <w:rPr>
          <w:sz w:val="20"/>
          <w:szCs w:val="20"/>
          <w:color w:val="auto"/>
        </w:rPr>
      </w:pPr>
    </w:p>
    <w:p>
      <w:pPr>
        <w:ind w:left="1460" w:right="400"/>
        <w:spacing w:after="0" w:line="282" w:lineRule="auto"/>
        <w:rPr>
          <w:sz w:val="20"/>
          <w:szCs w:val="20"/>
          <w:color w:val="auto"/>
        </w:rPr>
      </w:pPr>
      <w:r>
        <w:rPr>
          <w:rFonts w:ascii="Times New Roman" w:cs="Times New Roman" w:eastAsia="Times New Roman" w:hAnsi="Times New Roman"/>
          <w:sz w:val="18"/>
          <w:szCs w:val="18"/>
          <w:color w:val="auto"/>
        </w:rPr>
        <w:t>Based on Rule 13d-3 of the Act, VGOD GP may be deemed to beneficially own the shares of Common Stock that VGOD directly owns and has the right to acquire upon conversion of the Series B-2 Preferred Stock.</w:t>
      </w:r>
    </w:p>
    <w:p>
      <w:pPr>
        <w:spacing w:after="0" w:line="162" w:lineRule="exact"/>
        <w:rPr>
          <w:sz w:val="20"/>
          <w:szCs w:val="20"/>
          <w:color w:val="auto"/>
        </w:rPr>
      </w:pPr>
    </w:p>
    <w:p>
      <w:pPr>
        <w:ind w:left="1460" w:right="100"/>
        <w:spacing w:after="0" w:line="266" w:lineRule="auto"/>
        <w:rPr>
          <w:sz w:val="20"/>
          <w:szCs w:val="20"/>
          <w:color w:val="auto"/>
        </w:rPr>
      </w:pPr>
      <w:r>
        <w:rPr>
          <w:rFonts w:ascii="Times New Roman" w:cs="Times New Roman" w:eastAsia="Times New Roman" w:hAnsi="Times New Roman"/>
          <w:sz w:val="18"/>
          <w:szCs w:val="18"/>
          <w:color w:val="auto"/>
        </w:rPr>
        <w:t>VGOD GP beneficially owns 9,604,638 shares of Common Stock consisting of (i) 4,021,404 shares of Common Stock directly owned by VGOD, and (ii) 5,583,234 shares of Common Stock beneficially owned by VGOD, which VGOD has the right to acquire upon conversion of 18,983 shares of Series B-2 Preferred Stock, subject to the Blocker.</w:t>
      </w:r>
    </w:p>
    <w:p>
      <w:pPr>
        <w:spacing w:after="0" w:line="176" w:lineRule="exact"/>
        <w:rPr>
          <w:sz w:val="20"/>
          <w:szCs w:val="20"/>
          <w:color w:val="auto"/>
        </w:rPr>
      </w:pPr>
    </w:p>
    <w:p>
      <w:pPr>
        <w:ind w:left="2080" w:hanging="574"/>
        <w:spacing w:after="0"/>
        <w:tabs>
          <w:tab w:leader="none" w:pos="2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VGOD Portfolio GP</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9,604,638</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w:t>
      </w:r>
    </w:p>
    <w:p>
      <w:pPr>
        <w:spacing w:after="0" w:line="225" w:lineRule="exact"/>
        <w:rPr>
          <w:rFonts w:ascii="Times New Roman" w:cs="Times New Roman" w:eastAsia="Times New Roman" w:hAnsi="Times New Roman"/>
          <w:sz w:val="18"/>
          <w:szCs w:val="18"/>
          <w:color w:val="auto"/>
        </w:rPr>
      </w:pPr>
    </w:p>
    <w:p>
      <w:pPr>
        <w:ind w:left="2700" w:hanging="640"/>
        <w:spacing w:after="0"/>
        <w:tabs>
          <w:tab w:leader="none" w:pos="2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19 of 23 Pages</w:t>
            </w:r>
          </w:p>
        </w:tc>
      </w:tr>
    </w:tbl>
    <w:p>
      <w:pPr>
        <w:spacing w:after="0" w:line="157" w:lineRule="exact"/>
        <w:rPr>
          <w:sz w:val="20"/>
          <w:szCs w:val="20"/>
          <w:color w:val="auto"/>
        </w:rPr>
      </w:pPr>
    </w:p>
    <w:p>
      <w:pPr>
        <w:ind w:left="3660" w:hanging="925"/>
        <w:spacing w:after="0"/>
        <w:tabs>
          <w:tab w:leader="none" w:pos="3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9,604,638</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9,604,638</w:t>
      </w:r>
    </w:p>
    <w:p>
      <w:pPr>
        <w:spacing w:after="0" w:line="225" w:lineRule="exact"/>
        <w:rPr>
          <w:sz w:val="20"/>
          <w:szCs w:val="20"/>
          <w:color w:val="auto"/>
        </w:rPr>
      </w:pPr>
    </w:p>
    <w:p>
      <w:pPr>
        <w:ind w:left="1460" w:right="40"/>
        <w:spacing w:after="0" w:line="266" w:lineRule="auto"/>
        <w:rPr>
          <w:sz w:val="20"/>
          <w:szCs w:val="20"/>
          <w:color w:val="auto"/>
        </w:rPr>
      </w:pPr>
      <w:r>
        <w:rPr>
          <w:rFonts w:ascii="Times New Roman" w:cs="Times New Roman" w:eastAsia="Times New Roman" w:hAnsi="Times New Roman"/>
          <w:sz w:val="18"/>
          <w:szCs w:val="18"/>
          <w:color w:val="auto"/>
        </w:rPr>
        <w:t>VGOD Portfolio GP serves as the general partner of VGOD and has the authority to dispose of and vote the shares of Common Stock that VGOD directly owns and has the right to acquire upon conversion of the Series B-2 Preferred Stock. VGOD Portfolio GP does not directly own any shares of Common Stock or Series B-2 Preferred Stock.</w:t>
      </w:r>
    </w:p>
    <w:p>
      <w:pPr>
        <w:spacing w:after="0" w:line="176" w:lineRule="exact"/>
        <w:rPr>
          <w:sz w:val="20"/>
          <w:szCs w:val="20"/>
          <w:color w:val="auto"/>
        </w:rPr>
      </w:pPr>
    </w:p>
    <w:p>
      <w:pPr>
        <w:ind w:left="1460" w:right="320"/>
        <w:spacing w:after="0" w:line="282" w:lineRule="auto"/>
        <w:rPr>
          <w:sz w:val="20"/>
          <w:szCs w:val="20"/>
          <w:color w:val="auto"/>
        </w:rPr>
      </w:pPr>
      <w:r>
        <w:rPr>
          <w:rFonts w:ascii="Times New Roman" w:cs="Times New Roman" w:eastAsia="Times New Roman" w:hAnsi="Times New Roman"/>
          <w:sz w:val="18"/>
          <w:szCs w:val="18"/>
          <w:color w:val="auto"/>
        </w:rPr>
        <w:t>Based on Rule 13d-3 of the Act, VGOD Portfolio GP may be deemed to beneficially own the shares of Common Stock that VGOD directly owns and has the right to acquire upon conversion of the Series B-2 Preferred Stock.</w:t>
      </w:r>
    </w:p>
    <w:p>
      <w:pPr>
        <w:spacing w:after="0" w:line="162" w:lineRule="exact"/>
        <w:rPr>
          <w:sz w:val="20"/>
          <w:szCs w:val="20"/>
          <w:color w:val="auto"/>
        </w:rPr>
      </w:pPr>
    </w:p>
    <w:p>
      <w:pPr>
        <w:ind w:left="1460" w:right="240"/>
        <w:spacing w:after="0" w:line="266" w:lineRule="auto"/>
        <w:rPr>
          <w:sz w:val="20"/>
          <w:szCs w:val="20"/>
          <w:color w:val="auto"/>
        </w:rPr>
      </w:pPr>
      <w:r>
        <w:rPr>
          <w:rFonts w:ascii="Times New Roman" w:cs="Times New Roman" w:eastAsia="Times New Roman" w:hAnsi="Times New Roman"/>
          <w:sz w:val="18"/>
          <w:szCs w:val="18"/>
          <w:color w:val="auto"/>
        </w:rPr>
        <w:t>VGOD Portfolio GP beneficially owns 9,604,638 shares of Common Stock consisting of (i) 4,021,404 shares of Common Stock directly owned by VGOD, and (ii) 5,583,234 shares of Common Stock beneficially owned by VGOD, which VGOD has the right to acquire upon conversion of 18,983 shares of Series B-2 Preferred Stock, subject to the Blocker.</w:t>
      </w:r>
    </w:p>
    <w:p>
      <w:pPr>
        <w:spacing w:after="0" w:line="176" w:lineRule="exact"/>
        <w:rPr>
          <w:sz w:val="20"/>
          <w:szCs w:val="20"/>
          <w:color w:val="auto"/>
        </w:rPr>
      </w:pPr>
    </w:p>
    <w:p>
      <w:pPr>
        <w:ind w:left="2080" w:hanging="574"/>
        <w:spacing w:after="0"/>
        <w:tabs>
          <w:tab w:leader="none" w:pos="2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VGOD</w:t>
      </w:r>
    </w:p>
    <w:p>
      <w:pPr>
        <w:spacing w:after="0" w:line="225" w:lineRule="exact"/>
        <w:rPr>
          <w:rFonts w:ascii="Times New Roman" w:cs="Times New Roman" w:eastAsia="Times New Roman" w:hAnsi="Times New Roman"/>
          <w:sz w:val="18"/>
          <w:szCs w:val="18"/>
          <w:color w:val="auto"/>
        </w:rPr>
      </w:pPr>
    </w:p>
    <w:p>
      <w:pPr>
        <w:ind w:left="2740" w:hanging="572"/>
        <w:spacing w:after="0"/>
        <w:tabs>
          <w:tab w:leader="none" w:pos="2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9,604,638</w:t>
      </w:r>
    </w:p>
    <w:p>
      <w:pPr>
        <w:spacing w:after="0" w:line="225" w:lineRule="exact"/>
        <w:rPr>
          <w:rFonts w:ascii="Times New Roman" w:cs="Times New Roman" w:eastAsia="Times New Roman" w:hAnsi="Times New Roman"/>
          <w:sz w:val="18"/>
          <w:szCs w:val="18"/>
          <w:color w:val="auto"/>
        </w:rPr>
      </w:pPr>
    </w:p>
    <w:p>
      <w:pPr>
        <w:ind w:left="2740" w:hanging="572"/>
        <w:spacing w:after="0"/>
        <w:tabs>
          <w:tab w:leader="none" w:pos="2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w:t>
      </w:r>
    </w:p>
    <w:p>
      <w:pPr>
        <w:spacing w:after="0" w:line="225" w:lineRule="exact"/>
        <w:rPr>
          <w:rFonts w:ascii="Times New Roman" w:cs="Times New Roman" w:eastAsia="Times New Roman" w:hAnsi="Times New Roman"/>
          <w:sz w:val="18"/>
          <w:szCs w:val="18"/>
          <w:color w:val="auto"/>
        </w:rPr>
      </w:pPr>
    </w:p>
    <w:p>
      <w:pPr>
        <w:ind w:left="2740" w:hanging="572"/>
        <w:spacing w:after="0"/>
        <w:tabs>
          <w:tab w:leader="none" w:pos="2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9,604,638</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660" w:hanging="939"/>
        <w:spacing w:after="0"/>
        <w:tabs>
          <w:tab w:leader="none" w:pos="36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9,604,638</w:t>
      </w:r>
    </w:p>
    <w:p>
      <w:pPr>
        <w:spacing w:after="0" w:line="225" w:lineRule="exact"/>
        <w:rPr>
          <w:sz w:val="20"/>
          <w:szCs w:val="20"/>
          <w:color w:val="auto"/>
        </w:rPr>
      </w:pPr>
    </w:p>
    <w:p>
      <w:pPr>
        <w:ind w:left="1460" w:right="380"/>
        <w:spacing w:after="0" w:line="266" w:lineRule="auto"/>
        <w:rPr>
          <w:sz w:val="20"/>
          <w:szCs w:val="20"/>
          <w:color w:val="auto"/>
        </w:rPr>
      </w:pPr>
      <w:r>
        <w:rPr>
          <w:rFonts w:ascii="Times New Roman" w:cs="Times New Roman" w:eastAsia="Times New Roman" w:hAnsi="Times New Roman"/>
          <w:sz w:val="18"/>
          <w:szCs w:val="18"/>
          <w:color w:val="auto"/>
        </w:rPr>
        <w:t>VGOD has the authority to dispose of and vote the shares of Common Stock that it directly owns and has the right to acquire upon conversion of the Series B-2 Preferred Stock directly owned by it, which power may be exercised by its general partner, VGOD Portfolio GP, and by VGI, an affiliate of VGOD Portfolio GP, which provides managerial services to VGOD.</w:t>
      </w:r>
    </w:p>
    <w:p>
      <w:pPr>
        <w:spacing w:after="0" w:line="176" w:lineRule="exact"/>
        <w:rPr>
          <w:sz w:val="20"/>
          <w:szCs w:val="20"/>
          <w:color w:val="auto"/>
        </w:rPr>
      </w:pPr>
    </w:p>
    <w:p>
      <w:pPr>
        <w:ind w:left="1460" w:right="580"/>
        <w:spacing w:after="0" w:line="266" w:lineRule="auto"/>
        <w:rPr>
          <w:sz w:val="20"/>
          <w:szCs w:val="20"/>
          <w:color w:val="auto"/>
        </w:rPr>
      </w:pPr>
      <w:r>
        <w:rPr>
          <w:rFonts w:ascii="Times New Roman" w:cs="Times New Roman" w:eastAsia="Times New Roman" w:hAnsi="Times New Roman"/>
          <w:sz w:val="18"/>
          <w:szCs w:val="18"/>
          <w:color w:val="auto"/>
        </w:rPr>
        <w:t>Viking Global Opportunities Drawdown (Offshore) LP (a Cayman Islands exempted limited partnership) and Viking Global Opportunities Drawdown (Internal) LP (a Delaware limited partnership), through its investment in Viking Global Opportunities Drawdown (Onshore) LP (a Delaware limited partnership), invest substantially all of their assets in VGOD.</w:t>
      </w:r>
    </w:p>
    <w:p>
      <w:pPr>
        <w:spacing w:after="0" w:line="176" w:lineRule="exact"/>
        <w:rPr>
          <w:sz w:val="20"/>
          <w:szCs w:val="20"/>
          <w:color w:val="auto"/>
        </w:rPr>
      </w:pPr>
    </w:p>
    <w:p>
      <w:pPr>
        <w:ind w:left="2080" w:hanging="560"/>
        <w:spacing w:after="0"/>
        <w:tabs>
          <w:tab w:leader="none" w:pos="2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Andreas Halvorsen, David C. Ott and Rose S. Shabet</w:t>
      </w:r>
    </w:p>
    <w:p>
      <w:pPr>
        <w:spacing w:after="0" w:line="225" w:lineRule="exact"/>
        <w:rPr>
          <w:rFonts w:ascii="Times New Roman" w:cs="Times New Roman" w:eastAsia="Times New Roman" w:hAnsi="Times New Roman"/>
          <w:sz w:val="18"/>
          <w:szCs w:val="18"/>
          <w:color w:val="auto"/>
        </w:rPr>
      </w:pPr>
    </w:p>
    <w:p>
      <w:pPr>
        <w:ind w:left="2740" w:hanging="572"/>
        <w:spacing w:after="0"/>
        <w:tabs>
          <w:tab w:leader="none" w:pos="2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29,106,365</w:t>
      </w:r>
    </w:p>
    <w:p>
      <w:pPr>
        <w:spacing w:after="0" w:line="225" w:lineRule="exact"/>
        <w:rPr>
          <w:rFonts w:ascii="Times New Roman" w:cs="Times New Roman" w:eastAsia="Times New Roman" w:hAnsi="Times New Roman"/>
          <w:sz w:val="18"/>
          <w:szCs w:val="18"/>
          <w:color w:val="auto"/>
        </w:rPr>
      </w:pPr>
    </w:p>
    <w:p>
      <w:pPr>
        <w:ind w:left="2820" w:hanging="652"/>
        <w:spacing w:after="0"/>
        <w:tabs>
          <w:tab w:leader="none" w:pos="2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20 of 23 Pages</w:t>
            </w:r>
          </w:p>
        </w:tc>
      </w:tr>
    </w:tbl>
    <w:p>
      <w:pPr>
        <w:spacing w:after="0" w:line="157" w:lineRule="exact"/>
        <w:rPr>
          <w:sz w:val="20"/>
          <w:szCs w:val="20"/>
          <w:color w:val="auto"/>
        </w:rPr>
      </w:pPr>
    </w:p>
    <w:p>
      <w:pPr>
        <w:ind w:left="2820" w:hanging="652"/>
        <w:spacing w:after="0"/>
        <w:tabs>
          <w:tab w:leader="none" w:pos="2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29,106,365</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660" w:hanging="925"/>
        <w:spacing w:after="0"/>
        <w:tabs>
          <w:tab w:leader="none" w:pos="3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29,106,365</w:t>
      </w:r>
    </w:p>
    <w:p>
      <w:pPr>
        <w:spacing w:after="0" w:line="225" w:lineRule="exact"/>
        <w:rPr>
          <w:sz w:val="20"/>
          <w:szCs w:val="20"/>
          <w:color w:val="auto"/>
        </w:rPr>
      </w:pPr>
    </w:p>
    <w:p>
      <w:pPr>
        <w:ind w:left="1460" w:right="280"/>
        <w:spacing w:after="0" w:line="261" w:lineRule="auto"/>
        <w:rPr>
          <w:sz w:val="20"/>
          <w:szCs w:val="20"/>
          <w:color w:val="auto"/>
        </w:rPr>
      </w:pPr>
      <w:r>
        <w:rPr>
          <w:rFonts w:ascii="Times New Roman" w:cs="Times New Roman" w:eastAsia="Times New Roman" w:hAnsi="Times New Roman"/>
          <w:sz w:val="18"/>
          <w:szCs w:val="18"/>
          <w:color w:val="auto"/>
        </w:rPr>
        <w:t>Mr. Halvorsen, Mr. Ott and Ms. Shabet, as Executive Committee Members of Viking Global Partners LLC (general partner of VGI) and Opportunities Parent, have shared authority to dispose of and vote the shares of Common Stock beneficially owned by VGI and Opportunities Parent. None of Mr. Halvorsen, Mr. Ott and Ms. Shabet directly owns any shares of Common Stock or Series B-2 Preferred Stock.</w:t>
      </w:r>
    </w:p>
    <w:p>
      <w:pPr>
        <w:spacing w:after="0" w:line="180" w:lineRule="exact"/>
        <w:rPr>
          <w:sz w:val="20"/>
          <w:szCs w:val="20"/>
          <w:color w:val="auto"/>
        </w:rPr>
      </w:pPr>
    </w:p>
    <w:p>
      <w:pPr>
        <w:ind w:left="1460" w:right="40"/>
        <w:spacing w:after="0" w:line="282" w:lineRule="auto"/>
        <w:rPr>
          <w:sz w:val="20"/>
          <w:szCs w:val="20"/>
          <w:color w:val="auto"/>
        </w:rPr>
      </w:pPr>
      <w:r>
        <w:rPr>
          <w:rFonts w:ascii="Times New Roman" w:cs="Times New Roman" w:eastAsia="Times New Roman" w:hAnsi="Times New Roman"/>
          <w:sz w:val="18"/>
          <w:szCs w:val="18"/>
          <w:color w:val="auto"/>
        </w:rPr>
        <w:t>Based on Rule 13d-3 of the Act, each may be deemed to beneficially own the shares of Common Stock that VGOP and VGOD directly own and have the right to acquire upon conversion of the Series B-2 Preferred Stock.</w:t>
      </w:r>
    </w:p>
    <w:p>
      <w:pPr>
        <w:spacing w:after="0" w:line="162" w:lineRule="exact"/>
        <w:rPr>
          <w:sz w:val="20"/>
          <w:szCs w:val="20"/>
          <w:color w:val="auto"/>
        </w:rPr>
      </w:pPr>
    </w:p>
    <w:p>
      <w:pPr>
        <w:ind w:left="1460" w:right="60"/>
        <w:spacing w:after="0" w:line="258" w:lineRule="auto"/>
        <w:rPr>
          <w:sz w:val="20"/>
          <w:szCs w:val="20"/>
          <w:color w:val="auto"/>
        </w:rPr>
      </w:pPr>
      <w:r>
        <w:rPr>
          <w:rFonts w:ascii="Times New Roman" w:cs="Times New Roman" w:eastAsia="Times New Roman" w:hAnsi="Times New Roman"/>
          <w:sz w:val="18"/>
          <w:szCs w:val="18"/>
          <w:color w:val="auto"/>
        </w:rPr>
        <w:t>Mr. Halvorsen, Mr. Ott and Ms. Shabet each beneficially own 29,106,365 shares of Common Stock consisting of (i) 8,164,670 shares of Common Stock directly owned by VGOP, (ii) 4,021,404 shares of Common Stock directly owned by VGOD, (iii) 11,337,057 shares of Common Stock beneficially owned by VGOP, which VGOP has the right to acquire upon conversion of 38,546 shares of Series B-2 Preferred Stock, and (iv) 5,583,234 shares of Common Stock beneficially owned by VGOD, which VGOD has the right to acquire upon conversion of 18,983 shares of Series B-2 Preferred Stock, each of (iii) and (iv) subject to the Blocker.</w:t>
      </w:r>
    </w:p>
    <w:p>
      <w:pPr>
        <w:spacing w:after="0" w:line="18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p>
    <w:p>
      <w:pPr>
        <w:spacing w:after="0" w:line="225" w:lineRule="exact"/>
        <w:rPr>
          <w:sz w:val="20"/>
          <w:szCs w:val="20"/>
          <w:color w:val="auto"/>
        </w:rPr>
      </w:pPr>
    </w:p>
    <w:p>
      <w:pPr>
        <w:ind w:left="180" w:right="120" w:firstLine="1296"/>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 Person.</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response to Item 4 is incorporated by reference herein.</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21 of 23 Pages</w:t>
            </w:r>
          </w:p>
        </w:tc>
      </w:tr>
    </w:tbl>
    <w:p>
      <w:pPr>
        <w:spacing w:after="0" w:line="15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10</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Certification. (if filing pursuant to Rule 13d-1(c))</w:t>
      </w:r>
    </w:p>
    <w:p>
      <w:pPr>
        <w:spacing w:after="0" w:line="225" w:lineRule="exact"/>
        <w:rPr>
          <w:sz w:val="20"/>
          <w:szCs w:val="20"/>
          <w:color w:val="auto"/>
        </w:rPr>
      </w:pPr>
    </w:p>
    <w:p>
      <w:pPr>
        <w:jc w:val="both"/>
        <w:ind w:left="180" w:right="80"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22 of 23 Pages</w:t>
            </w: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our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9, 2024</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42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179" w:lineRule="exact"/>
        <w:rPr>
          <w:sz w:val="20"/>
          <w:szCs w:val="20"/>
          <w:color w:val="auto"/>
        </w:rPr>
      </w:pPr>
    </w:p>
    <w:p>
      <w:pPr>
        <w:ind w:right="20" w:firstLine="8"/>
        <w:spacing w:after="0" w:line="272" w:lineRule="auto"/>
        <w:tabs>
          <w:tab w:leader="none" w:pos="2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w:t>
      </w:r>
    </w:p>
    <w:p>
      <w:pPr>
        <w:spacing w:after="0" w:line="1" w:lineRule="exact"/>
        <w:rPr>
          <w:rFonts w:ascii="Times New Roman" w:cs="Times New Roman" w:eastAsia="Times New Roman" w:hAnsi="Times New Roman"/>
          <w:sz w:val="17"/>
          <w:szCs w:val="17"/>
          <w:color w:val="auto"/>
        </w:rPr>
      </w:pPr>
    </w:p>
    <w:p>
      <w:pPr>
        <w:ind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88" w:lineRule="exact"/>
        <w:rPr>
          <w:rFonts w:ascii="Times New Roman" w:cs="Times New Roman" w:eastAsia="Times New Roman" w:hAnsi="Times New Roman"/>
          <w:sz w:val="17"/>
          <w:szCs w:val="17"/>
          <w:color w:val="auto"/>
        </w:rPr>
      </w:pPr>
    </w:p>
    <w:p>
      <w:pPr>
        <w:ind w:right="80" w:firstLine="8"/>
        <w:spacing w:after="0" w:line="255"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88" w:lineRule="exact"/>
        <w:rPr>
          <w:rFonts w:ascii="Times New Roman" w:cs="Times New Roman" w:eastAsia="Times New Roman" w:hAnsi="Times New Roman"/>
          <w:sz w:val="18"/>
          <w:szCs w:val="18"/>
          <w:color w:val="auto"/>
        </w:rPr>
      </w:pPr>
    </w:p>
    <w:p>
      <w:pPr>
        <w:ind w:right="80" w:firstLine="8"/>
        <w:spacing w:after="0" w:line="255"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800" w:type="dxa"/>
            <w:vAlign w:val="bottom"/>
            <w:tcBorders>
              <w:top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6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w w:val="98"/>
              </w:rPr>
              <w:t>Page 23 of 23 Pages</w:t>
            </w: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 - 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joint filing agreement is made and entered into as of this 9th day of January, 2024, by and among Viking Global Investors LP, Viking Global Opportunities Parent GP LLC, Viking Global Opportunities GP LLC, Viking Global Opportunities Portfolio GP LLC, Viking Global Opportunities Illiquid Investments Sub-Master LP, Viking Global Opportunities Drawdown GP LLC, Viking Global Opportunities Drawdown Portfolio GP LLC, Viking Global Opportunities Drawdown (Aggregator) LP, O. Andreas Halvorsen, David C. Ott and Rose S. Shabet.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9, 2024</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42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179" w:lineRule="exact"/>
        <w:rPr>
          <w:sz w:val="20"/>
          <w:szCs w:val="20"/>
          <w:color w:val="auto"/>
        </w:rPr>
      </w:pPr>
    </w:p>
    <w:p>
      <w:pPr>
        <w:ind w:right="20" w:firstLine="8"/>
        <w:spacing w:after="0" w:line="272" w:lineRule="auto"/>
        <w:tabs>
          <w:tab w:leader="none" w:pos="2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w:t>
      </w:r>
    </w:p>
    <w:p>
      <w:pPr>
        <w:spacing w:after="0" w:line="1" w:lineRule="exact"/>
        <w:rPr>
          <w:rFonts w:ascii="Times New Roman" w:cs="Times New Roman" w:eastAsia="Times New Roman" w:hAnsi="Times New Roman"/>
          <w:sz w:val="17"/>
          <w:szCs w:val="17"/>
          <w:color w:val="auto"/>
        </w:rPr>
      </w:pPr>
    </w:p>
    <w:p>
      <w:pPr>
        <w:ind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88" w:lineRule="exact"/>
        <w:rPr>
          <w:rFonts w:ascii="Times New Roman" w:cs="Times New Roman" w:eastAsia="Times New Roman" w:hAnsi="Times New Roman"/>
          <w:sz w:val="17"/>
          <w:szCs w:val="17"/>
          <w:color w:val="auto"/>
        </w:rPr>
      </w:pPr>
    </w:p>
    <w:p>
      <w:pPr>
        <w:ind w:right="8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88" w:lineRule="exact"/>
        <w:rPr>
          <w:rFonts w:ascii="Times New Roman" w:cs="Times New Roman" w:eastAsia="Times New Roman" w:hAnsi="Times New Roman"/>
          <w:sz w:val="18"/>
          <w:szCs w:val="18"/>
          <w:color w:val="auto"/>
        </w:rPr>
      </w:pPr>
    </w:p>
    <w:p>
      <w:pPr>
        <w:ind w:right="8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1"/>
      <w:numFmt w:val="lowerLetter"/>
      <w:start w:val="1"/>
    </w:lvl>
    <w:lvl w:ilvl="1">
      <w:lvlJc w:val="left"/>
      <w:lvlText w:val="(%2)"/>
      <w:numFmt w:val="lowerLetter"/>
      <w:start w:val="1"/>
    </w:lvl>
  </w:abstractNum>
  <w:abstractNum w:abstractNumId="2">
    <w:nsid w:val="140E0F76"/>
    <w:multiLevelType w:val="hybridMultilevel"/>
    <w:lvl w:ilvl="0">
      <w:lvlJc w:val="left"/>
      <w:lvlText w:val="(%1)"/>
      <w:numFmt w:val="lowerLetter"/>
      <w:start w:val="11"/>
    </w:lvl>
    <w:lvl w:ilvl="1">
      <w:lvlJc w:val="left"/>
      <w:lvlText w:val="%2"/>
      <w:numFmt w:val="lowerLetter"/>
      <w:start w:val="1"/>
    </w:lvl>
  </w:abstractNum>
  <w:abstractNum w:abstractNumId="3">
    <w:nsid w:val="3352255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4">
    <w:nsid w:val="109CF92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9"/>
    </w:lvl>
  </w:abstractNum>
  <w:abstractNum w:abstractNumId="5">
    <w:nsid w:val="DED7263"/>
    <w:multiLevelType w:val="hybridMultilevel"/>
    <w:lvl w:ilvl="0">
      <w:lvlJc w:val="left"/>
      <w:lvlText w:val="(%1)"/>
      <w:numFmt w:val="lowerRoman"/>
      <w:start w:val="2"/>
    </w:lvl>
    <w:lvl w:ilvl="1">
      <w:lvlJc w:val="left"/>
      <w:lvlText w:val="(%2)"/>
      <w:numFmt w:val="lowerRoman"/>
      <w:start w:val="4"/>
    </w:lvl>
  </w:abstractNum>
  <w:abstractNum w:abstractNumId="6">
    <w:nsid w:val="7FDCC233"/>
    <w:multiLevelType w:val="hybridMultilevel"/>
    <w:lvl w:ilvl="0">
      <w:lvlJc w:val="left"/>
      <w:lvlText w:val="%1."/>
      <w:numFmt w:val="upperLetter"/>
      <w:start w:val="3"/>
    </w:lvl>
    <w:lvl w:ilvl="1">
      <w:lvlJc w:val="left"/>
      <w:lvlText w:val="(%2)"/>
      <w:numFmt w:val="lowerLetter"/>
      <w:start w:val="1"/>
    </w:lvl>
  </w:abstractNum>
  <w:abstractNum w:abstractNumId="7">
    <w:nsid w:val="1BEFD79F"/>
    <w:multiLevelType w:val="hybridMultilevel"/>
    <w:lvl w:ilvl="0">
      <w:lvlJc w:val="left"/>
      <w:lvlText w:val="(%1)"/>
      <w:numFmt w:val="lowerRoman"/>
      <w:start w:val="1"/>
    </w:lvl>
  </w:abstractNum>
  <w:abstractNum w:abstractNumId="8">
    <w:nsid w:val="41A7C4C9"/>
    <w:multiLevelType w:val="hybridMultilevel"/>
    <w:lvl w:ilvl="0">
      <w:lvlJc w:val="left"/>
      <w:lvlText w:val="(%1)"/>
      <w:numFmt w:val="lowerRoman"/>
      <w:start w:val="2"/>
    </w:lvl>
  </w:abstractNum>
  <w:abstractNum w:abstractNumId="9">
    <w:nsid w:val="6B68079A"/>
    <w:multiLevelType w:val="hybridMultilevel"/>
    <w:lvl w:ilvl="0">
      <w:lvlJc w:val="left"/>
      <w:lvlText w:val="(%1)"/>
      <w:numFmt w:val="lowerRoman"/>
      <w:start w:val="4"/>
    </w:lvl>
  </w:abstractNum>
  <w:abstractNum w:abstractNumId="10">
    <w:nsid w:val="4E6AFB66"/>
    <w:multiLevelType w:val="hybridMultilevel"/>
    <w:lvl w:ilvl="0">
      <w:lvlJc w:val="left"/>
      <w:lvlText w:val="%1."/>
      <w:numFmt w:val="upperLetter"/>
      <w:start w:val="4"/>
    </w:lvl>
    <w:lvl w:ilvl="1">
      <w:lvlJc w:val="left"/>
      <w:lvlText w:val="(%2)"/>
      <w:numFmt w:val="lowerLetter"/>
      <w:start w:val="1"/>
    </w:lvl>
  </w:abstractNum>
  <w:abstractNum w:abstractNumId="11">
    <w:nsid w:val="25E45D32"/>
    <w:multiLevelType w:val="hybridMultilevel"/>
    <w:lvl w:ilvl="0">
      <w:lvlJc w:val="left"/>
      <w:lvlText w:val="(%1)"/>
      <w:numFmt w:val="lowerRoman"/>
      <w:start w:val="1"/>
    </w:lvl>
  </w:abstractNum>
  <w:abstractNum w:abstractNumId="12">
    <w:nsid w:val="519B500D"/>
    <w:multiLevelType w:val="hybridMultilevel"/>
    <w:lvl w:ilvl="0">
      <w:lvlJc w:val="left"/>
      <w:lvlText w:val="(%1)"/>
      <w:numFmt w:val="lowerRoman"/>
      <w:start w:val="2"/>
    </w:lvl>
    <w:lvl w:ilvl="1">
      <w:lvlJc w:val="left"/>
      <w:lvlText w:val="(%2)"/>
      <w:numFmt w:val="lowerRoman"/>
      <w:start w:val="3"/>
    </w:lvl>
    <w:lvl w:ilvl="2">
      <w:lvlJc w:val="left"/>
      <w:lvlText w:val="(%3)"/>
      <w:numFmt w:val="lowerRoman"/>
      <w:start w:val="3"/>
    </w:lvl>
  </w:abstractNum>
  <w:abstractNum w:abstractNumId="13">
    <w:nsid w:val="431BD7B7"/>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4">
    <w:nsid w:val="3F2DBA31"/>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15">
    <w:nsid w:val="7C83E458"/>
    <w:multiLevelType w:val="hybridMultilevel"/>
    <w:lvl w:ilvl="0">
      <w:lvlJc w:val="left"/>
      <w:lvlText w:val="%1."/>
      <w:numFmt w:val="upperLetter"/>
      <w:start w:val="7"/>
    </w:lvl>
    <w:lvl w:ilvl="1">
      <w:lvlJc w:val="left"/>
      <w:lvlText w:val="(%2)"/>
      <w:numFmt w:val="lowerLetter"/>
      <w:start w:val="1"/>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8">
    <w:nsid w:val="436C6125"/>
    <w:multiLevelType w:val="hybridMultilevel"/>
    <w:lvl w:ilvl="0">
      <w:lvlJc w:val="left"/>
      <w:lvlText w:val="%1."/>
      <w:numFmt w:val="upperLetter"/>
      <w:start w:val="9"/>
    </w:lvl>
    <w:lvl w:ilvl="1">
      <w:lvlJc w:val="left"/>
      <w:lvlText w:val="(%2)"/>
      <w:numFmt w:val="lowerLetter"/>
      <w:start w:val="1"/>
    </w:lvl>
  </w:abstractNum>
  <w:abstractNum w:abstractNumId="19">
    <w:nsid w:val="628C895D"/>
    <w:multiLevelType w:val="hybridMultilevel"/>
    <w:lvl w:ilvl="0">
      <w:lvlJc w:val="left"/>
      <w:lvlText w:val="(%1)"/>
      <w:numFmt w:val="lowerLetter"/>
      <w:start w:val="3"/>
    </w:lvl>
    <w:lvl w:ilvl="1">
      <w:lvlJc w:val="left"/>
      <w:lvlText w:val="(%2)"/>
      <w:numFmt w:val="lowerRoman"/>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2024-01-09T15:55:47Z</dcterms:created>
  <dcterms:modified xsi:type="dcterms:W3CDTF">2024-01-09T15:55:47Z</dcterms:modified>
</cp:coreProperties>
</file>