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incorporation)</w:t>
            </w:r>
          </w:p>
        </w:tc>
        <w:tc>
          <w:tcPr>
            <w:tcW w:w="44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2 Tower Place, Suite 2000</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442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500" w:type="dxa"/>
            <w:vAlign w:val="bottom"/>
          </w:tcPr>
          <w:p>
            <w:pPr>
              <w:spacing w:after="0"/>
              <w:rPr>
                <w:sz w:val="24"/>
                <w:szCs w:val="24"/>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4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13, 2025, Standard BioTools Inc. (the “Company”) commenced a restructuring plan, including a reduction-in-force of approximately 15% of its total global workforce. The purpose of this restructuring plan, including the reduction-in-force, is to improve operational efficiency and reduce operating costs of its continuing operations in line with the Company’s current revenue projections, while supporting the execution of the Company’s long-term strategic plan.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currently expects expenses related to the reduction-in-force, consisting primarily of cash severance and termination benefits and related costs, to be approximately $7.5 million. These estimates are subject to a number of assumptions, and actual results may differ. The Company may also incur additional costs not currently contemplated due to events that may occur as a result of, or that are associated with, the operational restructuring plan, including the reduction-in-force. The Company expects these costs to be payable over the next several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statements related to the expected costs and timing of costs associated with the reduction-in-force, expected reductions of operating expenses, and the Company’s expectations with respect to current revenue projections.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In addition, the Company’s costs may be greater than anticipated and the workforce and operating expense reductions may have an adverse impact on the Company’s sales and development activities. Additionally, these forward-looking statements should be considered in conjunction with the cautionary statements and risk factors described in the Company’s Annual Report on Form 10-K for the year ended December 31, 2024, Quarterly Report on Form 10-Q for the quarter ended June 30, 2025, and its other filings filed from time to time with the Securities and Exchange Commission. The Company does not assume any obligation to update any forward-looking statement,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17, 2025</w:t>
            </w:r>
          </w:p>
        </w:tc>
        <w:tc>
          <w:tcPr>
            <w:tcW w:w="70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6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88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2025-09-17T15:13:58Z</dcterms:created>
  <dcterms:modified xsi:type="dcterms:W3CDTF">2025-09-17T15:13:58Z</dcterms:modified>
</cp:coreProperties>
</file>