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July 29,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held our 2015 annual meeting of stockholders on July 29, 2015 (the “Annual Meeting”). Of the 28,863,262 shares of our common stock outstanding as the record date of June 8, 2015, 26,606,781 shares were represented at the Annual Meeting, either in person or by proxy, constituting approximately 92% of the outstanding shares of common stock. The matters voted on at the Annual Meeting and the votes cast with respect to each such matter are set forth below:</w:t>
      </w:r>
    </w:p>
    <w:p>
      <w:pPr>
        <w:spacing w:after="0" w:line="142" w:lineRule="exact"/>
        <w:rPr>
          <w:sz w:val="20"/>
          <w:szCs w:val="20"/>
          <w:color w:val="auto"/>
        </w:rPr>
      </w:pPr>
    </w:p>
    <w:p>
      <w:pPr>
        <w:ind w:left="660" w:hanging="652"/>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Election of Class II Directors. </w:t>
      </w:r>
      <w:r>
        <w:rPr>
          <w:rFonts w:ascii="Arial" w:cs="Arial" w:eastAsia="Arial" w:hAnsi="Arial"/>
          <w:sz w:val="18"/>
          <w:szCs w:val="18"/>
          <w:color w:val="auto"/>
        </w:rPr>
        <w:t>Each of the following nominees was elected to serve as a Class II director, to hold office until our 2018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or until his successor has been duly elected and qualified or his earlier resignation or removal:</w:t>
      </w:r>
    </w:p>
    <w:p>
      <w:pPr>
        <w:spacing w:after="0" w:line="112"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940" w:type="dxa"/>
            <w:vAlign w:val="bottom"/>
          </w:tcPr>
          <w:p>
            <w:pPr>
              <w:spacing w:after="0"/>
              <w:rPr>
                <w:sz w:val="20"/>
                <w:szCs w:val="20"/>
                <w:color w:val="auto"/>
              </w:rPr>
            </w:pPr>
            <w:r>
              <w:rPr>
                <w:rFonts w:ascii="Arial" w:cs="Arial" w:eastAsia="Arial" w:hAnsi="Arial"/>
                <w:sz w:val="16"/>
                <w:szCs w:val="16"/>
                <w:b w:val="1"/>
                <w:bCs w:val="1"/>
                <w:color w:val="auto"/>
              </w:rPr>
              <w:t>Nominee</w:t>
            </w:r>
          </w:p>
        </w:tc>
        <w:tc>
          <w:tcPr>
            <w:tcW w:w="2840" w:type="dxa"/>
            <w:vAlign w:val="bottom"/>
          </w:tcPr>
          <w:p>
            <w:pPr>
              <w:jc w:val="center"/>
              <w:ind w:left="913"/>
              <w:spacing w:after="0"/>
              <w:rPr>
                <w:sz w:val="20"/>
                <w:szCs w:val="20"/>
                <w:color w:val="auto"/>
              </w:rPr>
            </w:pPr>
            <w:r>
              <w:rPr>
                <w:rFonts w:ascii="Arial" w:cs="Arial" w:eastAsia="Arial" w:hAnsi="Arial"/>
                <w:sz w:val="16"/>
                <w:szCs w:val="16"/>
                <w:b w:val="1"/>
                <w:bCs w:val="1"/>
                <w:color w:val="auto"/>
                <w:w w:val="92"/>
              </w:rPr>
              <w:t>Votes For</w:t>
            </w:r>
          </w:p>
        </w:tc>
        <w:tc>
          <w:tcPr>
            <w:tcW w:w="1960" w:type="dxa"/>
            <w:vAlign w:val="bottom"/>
          </w:tcPr>
          <w:p>
            <w:pPr>
              <w:jc w:val="center"/>
              <w:ind w:left="33"/>
              <w:spacing w:after="0"/>
              <w:rPr>
                <w:sz w:val="20"/>
                <w:szCs w:val="20"/>
                <w:color w:val="auto"/>
              </w:rPr>
            </w:pPr>
            <w:r>
              <w:rPr>
                <w:rFonts w:ascii="Arial" w:cs="Arial" w:eastAsia="Arial" w:hAnsi="Arial"/>
                <w:sz w:val="16"/>
                <w:szCs w:val="16"/>
                <w:b w:val="1"/>
                <w:bCs w:val="1"/>
                <w:color w:val="auto"/>
                <w:w w:val="89"/>
              </w:rPr>
              <w:t>Votes Withheld</w:t>
            </w:r>
          </w:p>
        </w:tc>
        <w:tc>
          <w:tcPr>
            <w:tcW w:w="1660" w:type="dxa"/>
            <w:vAlign w:val="bottom"/>
          </w:tcPr>
          <w:p>
            <w:pPr>
              <w:jc w:val="center"/>
              <w:ind w:left="313"/>
              <w:spacing w:after="0"/>
              <w:rPr>
                <w:sz w:val="20"/>
                <w:szCs w:val="20"/>
                <w:color w:val="auto"/>
              </w:rPr>
            </w:pPr>
            <w:r>
              <w:rPr>
                <w:rFonts w:ascii="Arial" w:cs="Arial" w:eastAsia="Arial" w:hAnsi="Arial"/>
                <w:sz w:val="16"/>
                <w:szCs w:val="16"/>
                <w:b w:val="1"/>
                <w:bCs w:val="1"/>
                <w:color w:val="auto"/>
                <w:w w:val="92"/>
              </w:rPr>
              <w:t>Broker Non-Votes</w:t>
            </w:r>
          </w:p>
        </w:tc>
      </w:tr>
      <w:tr>
        <w:trPr>
          <w:trHeight w:val="276"/>
        </w:trPr>
        <w:tc>
          <w:tcPr>
            <w:tcW w:w="2940" w:type="dxa"/>
            <w:vAlign w:val="bottom"/>
          </w:tcPr>
          <w:p>
            <w:pPr>
              <w:spacing w:after="0"/>
              <w:rPr>
                <w:sz w:val="20"/>
                <w:szCs w:val="20"/>
                <w:color w:val="auto"/>
              </w:rPr>
            </w:pPr>
            <w:r>
              <w:rPr>
                <w:rFonts w:ascii="Arial" w:cs="Arial" w:eastAsia="Arial" w:hAnsi="Arial"/>
                <w:sz w:val="18"/>
                <w:szCs w:val="18"/>
                <w:color w:val="auto"/>
              </w:rPr>
              <w:t>John A. Young</w:t>
            </w:r>
          </w:p>
        </w:tc>
        <w:tc>
          <w:tcPr>
            <w:tcW w:w="2840" w:type="dxa"/>
            <w:vAlign w:val="bottom"/>
          </w:tcPr>
          <w:p>
            <w:pPr>
              <w:jc w:val="center"/>
              <w:ind w:left="913"/>
              <w:spacing w:after="0"/>
              <w:rPr>
                <w:sz w:val="20"/>
                <w:szCs w:val="20"/>
                <w:color w:val="auto"/>
              </w:rPr>
            </w:pPr>
            <w:r>
              <w:rPr>
                <w:rFonts w:ascii="Arial" w:cs="Arial" w:eastAsia="Arial" w:hAnsi="Arial"/>
                <w:sz w:val="18"/>
                <w:szCs w:val="18"/>
                <w:color w:val="auto"/>
                <w:w w:val="88"/>
              </w:rPr>
              <w:t>24,796,745</w:t>
            </w:r>
          </w:p>
        </w:tc>
        <w:tc>
          <w:tcPr>
            <w:tcW w:w="1960" w:type="dxa"/>
            <w:vAlign w:val="bottom"/>
          </w:tcPr>
          <w:p>
            <w:pPr>
              <w:jc w:val="center"/>
              <w:ind w:left="33"/>
              <w:spacing w:after="0"/>
              <w:rPr>
                <w:sz w:val="20"/>
                <w:szCs w:val="20"/>
                <w:color w:val="auto"/>
              </w:rPr>
            </w:pPr>
            <w:r>
              <w:rPr>
                <w:rFonts w:ascii="Arial" w:cs="Arial" w:eastAsia="Arial" w:hAnsi="Arial"/>
                <w:sz w:val="18"/>
                <w:szCs w:val="18"/>
                <w:color w:val="auto"/>
                <w:w w:val="92"/>
              </w:rPr>
              <w:t>247,124</w:t>
            </w:r>
          </w:p>
        </w:tc>
        <w:tc>
          <w:tcPr>
            <w:tcW w:w="1660" w:type="dxa"/>
            <w:vAlign w:val="bottom"/>
          </w:tcPr>
          <w:p>
            <w:pPr>
              <w:jc w:val="center"/>
              <w:ind w:left="333"/>
              <w:spacing w:after="0"/>
              <w:rPr>
                <w:sz w:val="20"/>
                <w:szCs w:val="20"/>
                <w:color w:val="auto"/>
              </w:rPr>
            </w:pPr>
            <w:r>
              <w:rPr>
                <w:rFonts w:ascii="Arial" w:cs="Arial" w:eastAsia="Arial" w:hAnsi="Arial"/>
                <w:sz w:val="18"/>
                <w:szCs w:val="18"/>
                <w:color w:val="auto"/>
                <w:w w:val="89"/>
              </w:rPr>
              <w:t>1,562,912</w:t>
            </w: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Gerhard F. Burbach</w:t>
            </w:r>
          </w:p>
        </w:tc>
        <w:tc>
          <w:tcPr>
            <w:tcW w:w="2840" w:type="dxa"/>
            <w:vAlign w:val="bottom"/>
          </w:tcPr>
          <w:p>
            <w:pPr>
              <w:jc w:val="center"/>
              <w:ind w:left="913"/>
              <w:spacing w:after="0"/>
              <w:rPr>
                <w:sz w:val="20"/>
                <w:szCs w:val="20"/>
                <w:color w:val="auto"/>
              </w:rPr>
            </w:pPr>
            <w:r>
              <w:rPr>
                <w:rFonts w:ascii="Arial" w:cs="Arial" w:eastAsia="Arial" w:hAnsi="Arial"/>
                <w:sz w:val="18"/>
                <w:szCs w:val="18"/>
                <w:color w:val="auto"/>
                <w:w w:val="88"/>
              </w:rPr>
              <w:t>24,876,808</w:t>
            </w:r>
          </w:p>
        </w:tc>
        <w:tc>
          <w:tcPr>
            <w:tcW w:w="1960" w:type="dxa"/>
            <w:vAlign w:val="bottom"/>
          </w:tcPr>
          <w:p>
            <w:pPr>
              <w:jc w:val="center"/>
              <w:ind w:left="33"/>
              <w:spacing w:after="0"/>
              <w:rPr>
                <w:sz w:val="20"/>
                <w:szCs w:val="20"/>
                <w:color w:val="auto"/>
              </w:rPr>
            </w:pPr>
            <w:r>
              <w:rPr>
                <w:rFonts w:ascii="Arial" w:cs="Arial" w:eastAsia="Arial" w:hAnsi="Arial"/>
                <w:sz w:val="18"/>
                <w:szCs w:val="18"/>
                <w:color w:val="auto"/>
                <w:w w:val="92"/>
              </w:rPr>
              <w:t>167,061</w:t>
            </w:r>
          </w:p>
        </w:tc>
        <w:tc>
          <w:tcPr>
            <w:tcW w:w="1660" w:type="dxa"/>
            <w:vAlign w:val="bottom"/>
          </w:tcPr>
          <w:p>
            <w:pPr>
              <w:jc w:val="center"/>
              <w:ind w:left="333"/>
              <w:spacing w:after="0"/>
              <w:rPr>
                <w:sz w:val="20"/>
                <w:szCs w:val="20"/>
                <w:color w:val="auto"/>
              </w:rPr>
            </w:pPr>
            <w:r>
              <w:rPr>
                <w:rFonts w:ascii="Arial" w:cs="Arial" w:eastAsia="Arial" w:hAnsi="Arial"/>
                <w:sz w:val="18"/>
                <w:szCs w:val="18"/>
                <w:color w:val="auto"/>
                <w:w w:val="89"/>
              </w:rPr>
              <w:t>1,562,912</w:t>
            </w:r>
          </w:p>
        </w:tc>
      </w:tr>
    </w:tbl>
    <w:p>
      <w:pPr>
        <w:spacing w:after="0" w:line="346" w:lineRule="exact"/>
        <w:rPr>
          <w:sz w:val="20"/>
          <w:szCs w:val="20"/>
          <w:color w:val="auto"/>
        </w:rPr>
      </w:pPr>
    </w:p>
    <w:p>
      <w:pPr>
        <w:ind w:left="660" w:hanging="652"/>
        <w:spacing w:after="0" w:line="31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Advisory Vote on Approval of Executive Compensation. </w:t>
      </w:r>
      <w:r>
        <w:rPr>
          <w:rFonts w:ascii="Arial" w:cs="Arial" w:eastAsia="Arial" w:hAnsi="Arial"/>
          <w:sz w:val="17"/>
          <w:szCs w:val="17"/>
          <w:color w:val="auto"/>
        </w:rPr>
        <w:t>On an advisory basis, the compensation of our named executive officers for the year</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2014, as disclosed in our proxy statement relating to the Annual Meeting, was approved by our stockholders:</w:t>
      </w:r>
    </w:p>
    <w:p>
      <w:pPr>
        <w:sectPr>
          <w:pgSz w:w="11900" w:h="16838" w:orient="portrait"/>
          <w:cols w:equalWidth="0" w:num="1">
            <w:col w:w="11420"/>
          </w:cols>
          <w:pgMar w:left="240" w:top="742" w:right="239" w:bottom="1440" w:gutter="0" w:footer="0" w:header="0"/>
        </w:sectPr>
      </w:pPr>
    </w:p>
    <w:p>
      <w:pPr>
        <w:spacing w:after="0" w:line="89"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color w:val="auto"/>
        </w:rPr>
        <w:t>Votes For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Votes Against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Abstentions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1440"/>
        <w:spacing w:after="0"/>
        <w:rPr>
          <w:sz w:val="20"/>
          <w:szCs w:val="20"/>
          <w:color w:val="auto"/>
        </w:rPr>
      </w:pPr>
      <w:r>
        <w:rPr>
          <w:rFonts w:ascii="Arial" w:cs="Arial" w:eastAsia="Arial" w:hAnsi="Arial"/>
          <w:sz w:val="14"/>
          <w:szCs w:val="14"/>
          <w:b w:val="1"/>
          <w:bCs w:val="1"/>
          <w:color w:val="auto"/>
        </w:rPr>
        <w:t>Broker Non-Votes</w:t>
      </w:r>
    </w:p>
    <w:p>
      <w:pPr>
        <w:spacing w:after="0" w:line="95" w:lineRule="exact"/>
        <w:rPr>
          <w:sz w:val="20"/>
          <w:szCs w:val="20"/>
          <w:color w:val="auto"/>
        </w:rPr>
      </w:pPr>
    </w:p>
    <w:p>
      <w:pPr>
        <w:sectPr>
          <w:pgSz w:w="11900" w:h="16838" w:orient="portrait"/>
          <w:cols w:equalWidth="0" w:num="4">
            <w:col w:w="3320" w:space="720"/>
            <w:col w:w="1760" w:space="720"/>
            <w:col w:w="1500" w:space="720"/>
            <w:col w:w="2680"/>
          </w:cols>
          <w:pgMar w:left="240" w:top="742" w:right="239" w:bottom="1440" w:gutter="0" w:footer="0" w:header="0"/>
          <w:type w:val="continuous"/>
        </w:sectPr>
      </w:pPr>
    </w:p>
    <w:p>
      <w:pPr>
        <w:jc w:val="center"/>
        <w:ind w:left="640"/>
        <w:spacing w:after="0"/>
        <w:rPr>
          <w:sz w:val="20"/>
          <w:szCs w:val="20"/>
          <w:color w:val="auto"/>
        </w:rPr>
      </w:pPr>
      <w:r>
        <w:rPr>
          <w:rFonts w:ascii="Arial" w:cs="Arial" w:eastAsia="Arial" w:hAnsi="Arial"/>
          <w:sz w:val="16"/>
          <w:szCs w:val="16"/>
          <w:color w:val="auto"/>
        </w:rPr>
        <w:t>24,750,077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287,121</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Arial" w:cs="Arial" w:eastAsia="Arial" w:hAnsi="Arial"/>
          <w:sz w:val="15"/>
          <w:szCs w:val="15"/>
          <w:color w:val="auto"/>
        </w:rPr>
        <w:t>6,671</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6"/>
          <w:szCs w:val="16"/>
          <w:color w:val="auto"/>
        </w:rPr>
        <w:t>1,562,912</w:t>
      </w:r>
    </w:p>
    <w:p>
      <w:pPr>
        <w:spacing w:after="0" w:line="200" w:lineRule="exact"/>
        <w:rPr>
          <w:sz w:val="20"/>
          <w:szCs w:val="20"/>
          <w:color w:val="auto"/>
        </w:rPr>
      </w:pPr>
    </w:p>
    <w:p>
      <w:pPr>
        <w:sectPr>
          <w:pgSz w:w="11900" w:h="16838" w:orient="portrait"/>
          <w:cols w:equalWidth="0" w:num="4">
            <w:col w:w="3500" w:space="720"/>
            <w:col w:w="1800" w:space="720"/>
            <w:col w:w="1540" w:space="720"/>
            <w:col w:w="2420"/>
          </w:cols>
          <w:pgMar w:left="240" w:top="742" w:right="239" w:bottom="1440" w:gutter="0" w:footer="0" w:header="0"/>
          <w:type w:val="continuous"/>
        </w:sectPr>
      </w:pPr>
    </w:p>
    <w:p>
      <w:pPr>
        <w:spacing w:after="0" w:line="8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our 2011 annual meeting, our stockholders approved one year as the frequency of an advisory vote on the compensation of our named executive officers. Based upon such approval, our board of directors has determined that it will hold an advisory vote on the compensation of our named executive officers annually until the next required vote on the frequency of such an advisory vote.</w:t>
      </w:r>
    </w:p>
    <w:p>
      <w:pPr>
        <w:spacing w:after="0" w:line="137" w:lineRule="exact"/>
        <w:rPr>
          <w:sz w:val="20"/>
          <w:szCs w:val="20"/>
          <w:color w:val="auto"/>
        </w:rPr>
      </w:pPr>
    </w:p>
    <w:p>
      <w:pPr>
        <w:ind w:left="660" w:hanging="652"/>
        <w:spacing w:after="0" w:line="34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Ratification of Appointment of Independent Registered Public Accounting Firm. </w:t>
      </w:r>
      <w:r>
        <w:rPr>
          <w:rFonts w:ascii="Arial" w:cs="Arial" w:eastAsia="Arial" w:hAnsi="Arial"/>
          <w:sz w:val="16"/>
          <w:szCs w:val="16"/>
          <w:color w:val="auto"/>
        </w:rPr>
        <w:t>The appointment of Ernst &amp; Young LLP as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accounting firm for the fiscal year ending December 31, 2015 was ratified based on the following results of voting:</w:t>
      </w:r>
    </w:p>
    <w:p>
      <w:pPr>
        <w:sectPr>
          <w:pgSz w:w="11900" w:h="16838" w:orient="portrait"/>
          <w:cols w:equalWidth="0" w:num="1">
            <w:col w:w="11420"/>
          </w:cols>
          <w:pgMar w:left="240" w:top="742" w:right="239" w:bottom="1440" w:gutter="0" w:footer="0" w:header="0"/>
          <w:type w:val="continuous"/>
        </w:sectPr>
      </w:pPr>
    </w:p>
    <w:p>
      <w:pPr>
        <w:spacing w:after="0" w:line="67"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Votes For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Votes Against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Abstentions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Broker Non-Votes</w:t>
      </w:r>
    </w:p>
    <w:p>
      <w:pPr>
        <w:spacing w:after="0" w:line="95" w:lineRule="exact"/>
        <w:rPr>
          <w:sz w:val="20"/>
          <w:szCs w:val="20"/>
          <w:color w:val="auto"/>
        </w:rPr>
      </w:pPr>
    </w:p>
    <w:p>
      <w:pPr>
        <w:sectPr>
          <w:pgSz w:w="11900" w:h="16838" w:orient="portrait"/>
          <w:cols w:equalWidth="0" w:num="4">
            <w:col w:w="3300" w:space="720"/>
            <w:col w:w="1800" w:space="720"/>
            <w:col w:w="1520" w:space="720"/>
            <w:col w:w="2640"/>
          </w:cols>
          <w:pgMar w:left="240" w:top="742" w:right="239" w:bottom="1440" w:gutter="0" w:footer="0" w:header="0"/>
          <w:type w:val="continuous"/>
        </w:sectPr>
      </w:pPr>
    </w:p>
    <w:p>
      <w:pPr>
        <w:jc w:val="center"/>
        <w:ind w:left="600"/>
        <w:spacing w:after="0"/>
        <w:rPr>
          <w:sz w:val="20"/>
          <w:szCs w:val="20"/>
          <w:color w:val="auto"/>
        </w:rPr>
      </w:pPr>
      <w:r>
        <w:rPr>
          <w:rFonts w:ascii="Arial" w:cs="Arial" w:eastAsia="Arial" w:hAnsi="Arial"/>
          <w:sz w:val="15"/>
          <w:szCs w:val="15"/>
          <w:color w:val="auto"/>
        </w:rPr>
        <w:t>26,415,008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190,807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4">
            <w:col w:w="3480" w:space="720"/>
            <w:col w:w="1900" w:space="720"/>
            <w:col w:w="1800" w:space="720"/>
            <w:col w:w="2080"/>
          </w:cols>
          <w:pgMar w:left="240" w:top="742" w:right="2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2019-12-07T23:00:24Z</dcterms:created>
  <dcterms:modified xsi:type="dcterms:W3CDTF">2019-12-07T23:00:24Z</dcterms:modified>
</cp:coreProperties>
</file>