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45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45071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Walder Fredric 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00" w:type="dxa"/>
            <w:vAlign w:val="bottom"/>
            <w:tcBorders>
              <w:top w:val="single" w:sz="8" w:color="0000EE"/>
              <w:bottom w:val="single" w:sz="8" w:color="9A9A9A"/>
            </w:tcBorders>
          </w:tcPr>
          <w:p>
            <w:pPr>
              <w:spacing w:after="0"/>
              <w:rPr>
                <w:sz w:val="15"/>
                <w:szCs w:val="15"/>
                <w:color w:val="auto"/>
              </w:rPr>
            </w:pPr>
          </w:p>
        </w:tc>
        <w:tc>
          <w:tcPr>
            <w:tcW w:w="17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02/09/2011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98"/>
        </w:trPr>
        <w:tc>
          <w:tcPr>
            <w:tcW w:w="1080" w:type="dxa"/>
            <w:vAlign w:val="bottom"/>
          </w:tcPr>
          <w:p>
            <w:pPr>
              <w:ind w:left="40"/>
              <w:spacing w:after="0"/>
              <w:rPr>
                <w:sz w:val="20"/>
                <w:szCs w:val="20"/>
                <w:color w:val="auto"/>
              </w:rPr>
            </w:pPr>
            <w:r>
              <w:rPr>
                <w:rFonts w:ascii="Arial" w:cs="Arial" w:eastAsia="Arial" w:hAnsi="Arial"/>
                <w:sz w:val="18"/>
                <w:szCs w:val="18"/>
                <w:color w:val="0000FF"/>
                <w:w w:val="97"/>
              </w:rPr>
              <w:t>SOUTH SAN</w:t>
            </w:r>
          </w:p>
        </w:tc>
        <w:tc>
          <w:tcPr>
            <w:tcW w:w="720" w:type="dxa"/>
            <w:vAlign w:val="bottom"/>
          </w:tcPr>
          <w:p>
            <w:pPr>
              <w:ind w:left="60"/>
              <w:spacing w:after="0"/>
              <w:rPr>
                <w:sz w:val="20"/>
                <w:szCs w:val="20"/>
                <w:color w:val="auto"/>
              </w:rPr>
            </w:pPr>
            <w:r>
              <w:rPr>
                <w:rFonts w:ascii="Arial" w:cs="Arial" w:eastAsia="Arial" w:hAnsi="Arial"/>
                <w:sz w:val="18"/>
                <w:szCs w:val="18"/>
                <w:color w:val="0000FF"/>
              </w:rPr>
              <w:t>CA</w:t>
            </w:r>
          </w:p>
        </w:tc>
        <w:tc>
          <w:tcPr>
            <w:tcW w:w="840" w:type="dxa"/>
            <w:vAlign w:val="bottom"/>
          </w:tcPr>
          <w:p>
            <w:pPr>
              <w:jc w:val="right"/>
              <w:spacing w:after="0"/>
              <w:rPr>
                <w:sz w:val="20"/>
                <w:szCs w:val="20"/>
                <w:color w:val="auto"/>
              </w:rPr>
            </w:pPr>
            <w:r>
              <w:rPr>
                <w:rFonts w:ascii="Arial" w:cs="Arial" w:eastAsia="Arial" w:hAnsi="Arial"/>
                <w:sz w:val="18"/>
                <w:szCs w:val="18"/>
                <w:color w:val="0000FF"/>
              </w:rPr>
              <w:t>94080</w:t>
            </w:r>
          </w:p>
        </w:tc>
      </w:tr>
      <w:tr>
        <w:trPr>
          <w:trHeight w:val="222"/>
        </w:trPr>
        <w:tc>
          <w:tcPr>
            <w:tcW w:w="1080" w:type="dxa"/>
            <w:vAlign w:val="bottom"/>
          </w:tcPr>
          <w:p>
            <w:pPr>
              <w:ind w:left="40"/>
              <w:spacing w:after="0"/>
              <w:rPr>
                <w:sz w:val="20"/>
                <w:szCs w:val="20"/>
                <w:color w:val="auto"/>
              </w:rPr>
            </w:pPr>
            <w:r>
              <w:rPr>
                <w:rFonts w:ascii="Arial" w:cs="Arial" w:eastAsia="Arial" w:hAnsi="Arial"/>
                <w:sz w:val="18"/>
                <w:szCs w:val="18"/>
                <w:color w:val="0000FF"/>
                <w:w w:val="96"/>
              </w:rPr>
              <w:t>FRANCISCO</w:t>
            </w: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6"/>
        <w:spacing w:after="0"/>
        <w:rPr>
          <w:sz w:val="20"/>
          <w:szCs w:val="20"/>
          <w:color w:val="auto"/>
        </w:rPr>
      </w:pPr>
      <w:r>
        <w:rPr>
          <w:rFonts w:ascii="Arial" w:cs="Arial" w:eastAsia="Arial" w:hAnsi="Arial"/>
          <w:sz w:val="18"/>
          <w:szCs w:val="18"/>
          <w:color w:val="0000FF"/>
        </w:rPr>
        <w:t>Chief Business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29"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6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4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4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jc w:val="center"/>
              <w:ind w:left="122"/>
              <w:spacing w:after="0"/>
              <w:rPr>
                <w:sz w:val="20"/>
                <w:szCs w:val="20"/>
                <w:color w:val="auto"/>
              </w:rPr>
            </w:pPr>
            <w:r>
              <w:rPr>
                <w:rFonts w:ascii="Arial" w:cs="Arial" w:eastAsia="Arial" w:hAnsi="Arial"/>
                <w:sz w:val="18"/>
                <w:szCs w:val="18"/>
                <w:color w:val="0000FF"/>
                <w:w w:val="82"/>
              </w:rPr>
              <w:t>2,890</w:t>
            </w:r>
            <w:r>
              <w:rPr>
                <w:rFonts w:ascii="Arial" w:cs="Arial" w:eastAsia="Arial" w:hAnsi="Arial"/>
                <w:sz w:val="22"/>
                <w:szCs w:val="22"/>
                <w:color w:val="008000"/>
                <w:w w:val="82"/>
                <w:vertAlign w:val="superscript"/>
              </w:rPr>
              <w:t>(2)</w:t>
            </w:r>
          </w:p>
        </w:tc>
        <w:tc>
          <w:tcPr>
            <w:tcW w:w="8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8.38</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(3)</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jc w:val="center"/>
              <w:ind w:left="142"/>
              <w:spacing w:after="0"/>
              <w:rPr>
                <w:sz w:val="20"/>
                <w:szCs w:val="20"/>
                <w:color w:val="auto"/>
              </w:rPr>
            </w:pPr>
            <w:r>
              <w:rPr>
                <w:rFonts w:ascii="Arial" w:cs="Arial" w:eastAsia="Arial" w:hAnsi="Arial"/>
                <w:sz w:val="18"/>
                <w:szCs w:val="18"/>
                <w:color w:val="0000FF"/>
                <w:w w:val="84"/>
              </w:rPr>
              <w:t>115,606</w:t>
            </w:r>
            <w:r>
              <w:rPr>
                <w:rFonts w:ascii="Arial" w:cs="Arial" w:eastAsia="Arial" w:hAnsi="Arial"/>
                <w:sz w:val="22"/>
                <w:szCs w:val="22"/>
                <w:color w:val="008000"/>
                <w:w w:val="84"/>
                <w:vertAlign w:val="superscript"/>
              </w:rPr>
              <w:t>(2)</w:t>
            </w:r>
          </w:p>
        </w:tc>
        <w:tc>
          <w:tcPr>
            <w:tcW w:w="8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4.45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(4)</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jc w:val="center"/>
              <w:ind w:left="122"/>
              <w:spacing w:after="0"/>
              <w:rPr>
                <w:sz w:val="20"/>
                <w:szCs w:val="20"/>
                <w:color w:val="auto"/>
              </w:rPr>
            </w:pPr>
            <w:r>
              <w:rPr>
                <w:rFonts w:ascii="Arial" w:cs="Arial" w:eastAsia="Arial" w:hAnsi="Arial"/>
                <w:sz w:val="18"/>
                <w:szCs w:val="18"/>
                <w:color w:val="0000FF"/>
                <w:w w:val="82"/>
              </w:rPr>
              <w:t>2,889</w:t>
            </w:r>
            <w:r>
              <w:rPr>
                <w:rFonts w:ascii="Arial" w:cs="Arial" w:eastAsia="Arial" w:hAnsi="Arial"/>
                <w:sz w:val="22"/>
                <w:szCs w:val="22"/>
                <w:color w:val="008000"/>
                <w:w w:val="82"/>
                <w:vertAlign w:val="superscript"/>
              </w:rPr>
              <w:t>(2)</w:t>
            </w:r>
          </w:p>
        </w:tc>
        <w:tc>
          <w:tcPr>
            <w:tcW w:w="8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8.38</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60" w:firstLine="9"/>
        <w:spacing w:after="0" w:line="27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25% of the Shares subject to the Option shall vest on the one year anniversary of April 1, 2010 (the "Vesting Commencement Date"), and thereafter 1/48th of the Shares subject to the Option shall vest each monthly anniversary of the Vesting Commencement Date such that the Option will be fully vested on April 1, 2014; provided that vesting for a percentage of the Shares subject to the Option equal to the Company's percentage achievement of its 2010 corporate goals shall be accelerated to December 31, 2010. The percentage of the Option not accelerated vesting shall vest over 4 years as described above. Vesting is subject to reporting person continuing to be a service provider on such dates. The Option shall expire on January 4, 2021.</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Reflects a 1-for-1.73 reverse stock split of the Issuer's outstanding shares effected February 3, 2011.</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25% of the shares subject to the Option shall vest on the one year anniversary of May 17, 2010 (the "Vesting Commencement Date"), and thereafter 1/48th of 25% the shares subject to the Option shall vest on each monthly anniversary of the Vesting Commencement Date such that the Option will be fully vested on May 16, 2014.</w:t>
      </w:r>
    </w:p>
    <w:p>
      <w:pPr>
        <w:spacing w:after="0" w:line="30"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100% of the shares subject to the Option shall vest on April 1, 2014; provided that vesting for a percentage of the shares subject to the Option equal to the reporting person's percentage achievement of his 2010 departmental goals shall be accelerated to December 31, 2010. The shares, if any, not subject to such accelerated vesting shall vest on April 1, 2014. Vesting is subject to the reporting person continuing to be a service provider on such dates. The Option shall expire on January 4, 2021.</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 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Gajus V. Worthington,</w:t>
            </w:r>
          </w:p>
        </w:tc>
        <w:tc>
          <w:tcPr>
            <w:tcW w:w="320" w:type="dxa"/>
            <w:vAlign w:val="bottom"/>
          </w:tcPr>
          <w:p>
            <w:pPr>
              <w:spacing w:after="0"/>
              <w:rPr>
                <w:sz w:val="17"/>
                <w:szCs w:val="17"/>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02/09/2011</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undersigned, as a Section 16 reporting person of Fluidigm Corporation (the "Company"), hereby constitutes and appoints the officers of the Company and the responsible attorneys and paralegals of Wilson Sonsini Goodrich &amp; Rosati, P.C., and each of them, the undersigned's true and lawful attorney-in-fact to:</w:t>
      </w:r>
    </w:p>
    <w:p>
      <w:pPr>
        <w:spacing w:after="0" w:line="207" w:lineRule="exact"/>
        <w:rPr>
          <w:sz w:val="20"/>
          <w:szCs w:val="20"/>
          <w:color w:val="auto"/>
        </w:rPr>
      </w:pPr>
    </w:p>
    <w:p>
      <w:pPr>
        <w:jc w:val="both"/>
        <w:ind w:left="1060" w:right="1779" w:hanging="525"/>
        <w:spacing w:after="0" w:line="237"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ID, 3,4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11" w:lineRule="exact"/>
        <w:rPr>
          <w:rFonts w:ascii="Courier New" w:cs="Courier New" w:eastAsia="Courier New" w:hAnsi="Courier New"/>
          <w:sz w:val="18"/>
          <w:szCs w:val="18"/>
          <w:color w:val="auto"/>
        </w:rPr>
      </w:pPr>
    </w:p>
    <w:p>
      <w:pPr>
        <w:jc w:val="both"/>
        <w:ind w:left="1060" w:right="1779" w:hanging="525"/>
        <w:spacing w:after="0" w:line="237"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undersigned hereby ratifies and confirms all that said attorney-in-fact and agents shall do or cause to be done by virtue hereof. The undersigned acknowledges that the foregoing attorney-in-fact, in serving in such capacity at the request of the undersigned, are not assuming, nor is the Company assuming, any of the undersigned's responsibilities to comply with Section 16 of the Securities Exchange Act of 1934 (as amended).</w:t>
      </w:r>
    </w:p>
    <w:p>
      <w:pPr>
        <w:spacing w:after="0" w:line="210"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ID, 3, 4 and 5 with respect to the undersigned's holdings of and transactions in securities issued by the Company, unless earlier revoked by the undersigned in a signed writing delivered to the Company and the foregoing attorney-in-fact.</w:t>
      </w:r>
    </w:p>
    <w:p>
      <w:pPr>
        <w:spacing w:after="0" w:line="209"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7th day of February, 2011.</w:t>
      </w:r>
    </w:p>
    <w:p>
      <w:pPr>
        <w:spacing w:after="0" w:line="200" w:lineRule="exact"/>
        <w:rPr>
          <w:sz w:val="20"/>
          <w:szCs w:val="20"/>
          <w:color w:val="auto"/>
        </w:rPr>
      </w:pPr>
    </w:p>
    <w:p>
      <w:pPr>
        <w:spacing w:after="0" w:line="205" w:lineRule="exact"/>
        <w:rPr>
          <w:sz w:val="20"/>
          <w:szCs w:val="20"/>
          <w:color w:val="auto"/>
        </w:rPr>
      </w:pPr>
    </w:p>
    <w:p>
      <w:pPr>
        <w:ind w:left="2960"/>
        <w:spacing w:after="0"/>
        <w:tabs>
          <w:tab w:leader="none" w:pos="42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6"/>
          <w:szCs w:val="16"/>
          <w:color w:val="auto"/>
        </w:rPr>
        <w:t>/s/ Fredric C. Walder</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Fredric C. Walder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80208" TargetMode="External"/><Relationship Id="rId12"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2019-12-17T15:21:12Z</dcterms:created>
  <dcterms:modified xsi:type="dcterms:W3CDTF">2019-12-17T15:21:12Z</dcterms:modified>
</cp:coreProperties>
</file>