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ab-20260505.htm"/>
      <w:bookmarkStart w:id="1" w:name="kslab20260505"/>
      <w:bookmarkEnd w:id="0"/>
      <w:bookmarkEnd w:id="1"/>
      <w:r>
        <w:rPr/>
        <w:t> </w:t>
      </w:r>
    </w:p>
    <w:p>
      <w:pPr>
        <w:pStyle w:val="TextBody"/>
        <w:bidi w:val="0"/>
        <w:jc w:val="center"/>
        <w:rPr>
          <w:rFonts w:ascii="Times New Roman" w:hAnsi="Times New Roman"/>
          <w:b/>
          <w:color w:val="000000"/>
          <w:sz w:val="28"/>
        </w:rPr>
      </w:pPr>
      <w:bookmarkStart w:id="2" w:name="section1"/>
      <w:bookmarkEnd w:id="2"/>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8"/>
        </w:rPr>
      </w:pPr>
      <w:r>
        <w:rPr>
          <w:rFonts w:ascii="Times New Roman" w:hAnsi="Times New Roman"/>
          <w:b/>
          <w:color w:val="000000"/>
          <w:sz w:val="28"/>
        </w:rPr>
        <w:t>FORM 8-K</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CURRENT REPORT</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13 or 15(d)</w:t>
      </w:r>
    </w:p>
    <w:p>
      <w:pPr>
        <w:pStyle w:val="TextBody"/>
        <w:bidi w:val="0"/>
        <w:jc w:val="center"/>
        <w:rPr>
          <w:rFonts w:ascii="Times New Roman" w:hAnsi="Times New Roman"/>
          <w:b/>
          <w:color w:val="000000"/>
          <w:sz w:val="20"/>
        </w:rPr>
      </w:pPr>
      <w:r>
        <w:rPr>
          <w:rFonts w:ascii="Times New Roman" w:hAnsi="Times New Roman"/>
          <w:b/>
          <w:color w:val="000000"/>
          <w:sz w:val="20"/>
        </w:rPr>
        <w:t>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Date of Report (date of earliest event reported): May 5, 2026</w:t>
      </w:r>
    </w:p>
    <w:p>
      <w:pPr>
        <w:pStyle w:val="TextBody"/>
        <w:pBdr>
          <w:bottom w:val="single" w:sz="6" w:space="1" w:color="000000"/>
        </w:pBdr>
        <w:bidi w:val="0"/>
        <w:jc w:val="center"/>
        <w:rPr/>
      </w:pPr>
      <w:r>
        <w:rPr/>
        <w:t> </w:t>
      </w:r>
    </w:p>
    <w:p>
      <w:pPr>
        <w:pStyle w:val="TextBody"/>
        <w:bidi w:val="0"/>
        <w:spacing w:before="200" w:after="283"/>
        <w:jc w:val="center"/>
        <w:rPr>
          <w:rFonts w:ascii="Times New Roman" w:hAnsi="Times New Roman"/>
          <w:b/>
          <w:color w:val="000000"/>
          <w:sz w:val="32"/>
        </w:rPr>
      </w:pPr>
      <w:r>
        <w:rPr>
          <w:rFonts w:ascii="Times New Roman" w:hAnsi="Times New Roman"/>
          <w:b/>
          <w:color w:val="000000"/>
          <w:sz w:val="32"/>
        </w:rPr>
        <w:t>Standard BioTools Inc.</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pBdr>
          <w:bottom w:val="single" w:sz="6" w:space="1" w:color="000000"/>
        </w:pBdr>
        <w:bidi w:val="0"/>
        <w:jc w:val="center"/>
        <w:rPr/>
      </w:pPr>
      <w:r>
        <w:rPr/>
        <w:t> </w:t>
      </w:r>
    </w:p>
    <w:p>
      <w:pPr>
        <w:pStyle w:val="TextBody"/>
        <w:bidi w:val="0"/>
        <w:jc w:val="left"/>
        <w:rPr/>
      </w:pPr>
      <w:r>
        <w:rPr/>
        <w:t> </w:t>
      </w:r>
    </w:p>
    <w:tbl>
      <w:tblPr>
        <w:tblW w:w="8268" w:type="dxa"/>
        <w:jc w:val="left"/>
        <w:tblInd w:w="0" w:type="dxa"/>
        <w:tblLayout w:type="fixed"/>
        <w:tblCellMar>
          <w:top w:w="28" w:type="dxa"/>
          <w:left w:w="28" w:type="dxa"/>
          <w:bottom w:w="28" w:type="dxa"/>
          <w:right w:w="28" w:type="dxa"/>
        </w:tblCellMar>
      </w:tblPr>
      <w:tblGrid>
        <w:gridCol w:w="2581"/>
        <w:gridCol w:w="2296"/>
        <w:gridCol w:w="3391"/>
      </w:tblGrid>
      <w:tr>
        <w:trPr/>
        <w:tc>
          <w:tcPr>
            <w:tcW w:w="258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Delaware</w:t>
            </w:r>
          </w:p>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22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001-34180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 File Number)</w:t>
            </w:r>
          </w:p>
        </w:tc>
        <w:tc>
          <w:tcPr>
            <w:tcW w:w="339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77-0513190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Number)</w:t>
            </w:r>
          </w:p>
        </w:tc>
      </w:tr>
      <w:tr>
        <w:trPr/>
        <w:tc>
          <w:tcPr>
            <w:tcW w:w="8268"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50 Milk Street, 10th Floor</w:t>
            </w:r>
          </w:p>
          <w:p>
            <w:pPr>
              <w:pStyle w:val="TableContents"/>
              <w:bidi w:val="0"/>
              <w:spacing w:before="0" w:after="283"/>
              <w:jc w:val="center"/>
              <w:rPr>
                <w:rFonts w:ascii="Times New Roman" w:hAnsi="Times New Roman"/>
                <w:sz w:val="20"/>
              </w:rPr>
            </w:pPr>
            <w:r>
              <w:rPr>
                <w:rFonts w:ascii="Times New Roman" w:hAnsi="Times New Roman"/>
                <w:b/>
                <w:color w:val="000000"/>
                <w:sz w:val="20"/>
              </w:rPr>
              <w:t>Boston, Massachusetts</w:t>
            </w:r>
            <w:r>
              <w:rPr>
                <w:rFonts w:ascii="Times New Roman" w:hAnsi="Times New Roman"/>
                <w:color w:val="000000"/>
                <w:sz w:val="20"/>
              </w:rPr>
              <w:t xml:space="preserve"> </w:t>
            </w:r>
            <w:r>
              <w:rPr>
                <w:rFonts w:ascii="Times New Roman" w:hAnsi="Times New Roman"/>
                <w:b/>
                <w:color w:val="000000"/>
                <w:sz w:val="20"/>
              </w:rPr>
              <w:t>02109</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and zip code)</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266-6000</w:t>
            </w:r>
          </w:p>
        </w:tc>
      </w:tr>
      <w:tr>
        <w:trPr/>
        <w:tc>
          <w:tcPr>
            <w:tcW w:w="8268"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pBdr>
          <w:bottom w:val="single" w:sz="6" w:space="1" w:color="000000"/>
        </w:pBdr>
        <w:bidi w:val="0"/>
        <w:jc w:val="center"/>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t> </w:t>
      </w:r>
    </w:p>
    <w:tbl>
      <w:tblPr>
        <w:tblW w:w="9530" w:type="dxa"/>
        <w:jc w:val="left"/>
        <w:tblInd w:w="0" w:type="dxa"/>
        <w:tblLayout w:type="fixed"/>
        <w:tblCellMar>
          <w:top w:w="28" w:type="dxa"/>
          <w:left w:w="28" w:type="dxa"/>
          <w:bottom w:w="28" w:type="dxa"/>
          <w:right w:w="28" w:type="dxa"/>
        </w:tblCellMar>
      </w:tblPr>
      <w:tblGrid>
        <w:gridCol w:w="349"/>
        <w:gridCol w:w="9181"/>
      </w:tblGrid>
      <w:tr>
        <w:trPr/>
        <w:tc>
          <w:tcPr>
            <w:tcW w:w="349"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49" w:type="dxa"/>
            <w:tcBorders/>
            <w:tcMar>
              <w:top w:w="0" w:type="dxa"/>
              <w:left w:w="0" w:type="dxa"/>
              <w:bottom w:w="0" w:type="dxa"/>
              <w:right w:w="0" w:type="dxa"/>
            </w:tcMar>
            <w:vAlign w:val="center"/>
          </w:tcPr>
          <w:p>
            <w:pPr>
              <w:pStyle w:val="TableContents"/>
              <w:bidi w:val="0"/>
              <w:spacing w:before="0" w:after="283"/>
              <w:ind w:left="0" w:right="0" w:firstLine="18"/>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49" w:type="dxa"/>
            <w:tcBorders/>
            <w:tcMar>
              <w:top w:w="0" w:type="dxa"/>
              <w:left w:w="0" w:type="dxa"/>
              <w:bottom w:w="0" w:type="dxa"/>
              <w:right w:w="0" w:type="dxa"/>
            </w:tcMar>
            <w:vAlign w:val="center"/>
          </w:tcPr>
          <w:p>
            <w:pPr>
              <w:pStyle w:val="TableContents"/>
              <w:bidi w:val="0"/>
              <w:spacing w:before="200" w:after="283"/>
              <w:jc w:val="center"/>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tbl>
      <w:tblPr>
        <w:tblW w:w="9190" w:type="dxa"/>
        <w:jc w:val="left"/>
        <w:tblInd w:w="0" w:type="dxa"/>
        <w:tblLayout w:type="fixed"/>
        <w:tblCellMar>
          <w:top w:w="28" w:type="dxa"/>
          <w:left w:w="28" w:type="dxa"/>
          <w:bottom w:w="28" w:type="dxa"/>
          <w:right w:w="28" w:type="dxa"/>
        </w:tblCellMar>
      </w:tblPr>
      <w:tblGrid>
        <w:gridCol w:w="3571"/>
        <w:gridCol w:w="146"/>
        <w:gridCol w:w="1501"/>
        <w:gridCol w:w="146"/>
        <w:gridCol w:w="382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9190" w:type="dxa"/>
            <w:gridSpan w:val="5"/>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tc>
      </w:tr>
      <w:tr>
        <w:trPr/>
        <w:tc>
          <w:tcPr>
            <w:tcW w:w="3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5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12b-2 of the Exchange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5, 2026, Standard BioTools Inc. issued a press release which included information with respect to certain financial results for the three months ended March 31, 2026. The press release is attached hereto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in the press release, except for the information set forth under the headings “Full Year 2026 Revenue Outlook” and “About Standard BioTools Inc.”, together with the forward-looking statement disclaimer, is incorporated by reference into this Item 2.02 of this Current Report on Form 8-K.</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set forth under the headings “Full Year 2026 Revenue Outlook” and “About Standard BioTools Inc.”, together with the forward-looking statement disclaimer, is incorporated by reference into this Item 7.01 of this Current Report on Form 8-K.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 Financial Statements and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849" w:type="dxa"/>
        <w:jc w:val="left"/>
        <w:tblInd w:w="0" w:type="dxa"/>
        <w:tblLayout w:type="fixed"/>
        <w:tblCellMar>
          <w:top w:w="28" w:type="dxa"/>
          <w:left w:w="28" w:type="dxa"/>
          <w:bottom w:w="28" w:type="dxa"/>
          <w:right w:w="28" w:type="dxa"/>
        </w:tblCellMar>
      </w:tblPr>
      <w:tblGrid>
        <w:gridCol w:w="1066"/>
        <w:gridCol w:w="164"/>
        <w:gridCol w:w="6619"/>
      </w:tblGrid>
      <w:tr>
        <w:trPr/>
        <w:tc>
          <w:tcPr>
            <w:tcW w:w="106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19" w:type="dxa"/>
            <w:tcBorders/>
            <w:vAlign w:val="center"/>
          </w:tcPr>
          <w:p>
            <w:pPr>
              <w:pStyle w:val="TableContents"/>
              <w:bidi w:val="0"/>
              <w:spacing w:before="0" w:after="283"/>
              <w:jc w:val="left"/>
              <w:rPr>
                <w:sz w:val="4"/>
                <w:szCs w:val="4"/>
              </w:rPr>
            </w:pPr>
            <w:r>
              <w:rPr>
                <w:sz w:val="4"/>
                <w:szCs w:val="4"/>
              </w:rPr>
            </w:r>
          </w:p>
        </w:tc>
      </w:tr>
      <w:tr>
        <w:trPr/>
        <w:tc>
          <w:tcPr>
            <w:tcW w:w="10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No.</w:t>
            </w:r>
          </w:p>
        </w:tc>
        <w:tc>
          <w:tcPr>
            <w:tcW w:w="1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19" w:type="dxa"/>
            <w:tcBorders>
              <w:bottom w:val="single" w:sz="4" w:space="0" w:color="000000"/>
            </w:tcBorders>
            <w:tcMar>
              <w:top w:w="0" w:type="dxa"/>
              <w:left w:w="0" w:type="dxa"/>
              <w:right w:w="0" w:type="dxa"/>
            </w:tcMar>
            <w:vAlign w:val="center"/>
          </w:tcPr>
          <w:p>
            <w:pPr>
              <w:pStyle w:val="TableContents"/>
              <w:bidi w:val="0"/>
              <w:spacing w:before="0" w:after="283"/>
              <w:ind w:left="0" w:right="0" w:firstLine="30"/>
              <w:jc w:val="center"/>
              <w:rPr>
                <w:rFonts w:ascii="Times New Roman" w:hAnsi="Times New Roman"/>
                <w:color w:val="000000"/>
                <w:sz w:val="20"/>
              </w:rPr>
            </w:pPr>
            <w:r>
              <w:rPr>
                <w:rFonts w:ascii="Times New Roman" w:hAnsi="Times New Roman"/>
                <w:color w:val="000000"/>
                <w:sz w:val="20"/>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30"/>
              <w:jc w:val="left"/>
              <w:rPr>
                <w:rFonts w:ascii="Times New Roman" w:hAnsi="Times New Roman"/>
                <w:color w:val="000000"/>
                <w:sz w:val="20"/>
              </w:rPr>
            </w:pPr>
            <w:r>
              <w:rPr>
                <w:rFonts w:ascii="Times New Roman" w:hAnsi="Times New Roman"/>
                <w:color w:val="000000"/>
                <w:sz w:val="20"/>
              </w:rPr>
              <w:t>99.1</w:t>
            </w:r>
          </w:p>
        </w:tc>
        <w:tc>
          <w:tcPr>
            <w:tcW w:w="164" w:type="dxa"/>
            <w:tcBorders/>
            <w:tcMar>
              <w:top w:w="0" w:type="dxa"/>
              <w:left w:w="0" w:type="dxa"/>
              <w:bottom w:w="0" w:type="dxa"/>
              <w:right w:w="0" w:type="dxa"/>
            </w:tcMar>
            <w:vAlign w:val="center"/>
          </w:tcPr>
          <w:p>
            <w:pPr>
              <w:pStyle w:val="TableContents"/>
              <w:bidi w:val="0"/>
              <w:spacing w:before="0" w:after="283"/>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pPr>
            <w:hyperlink w:anchor="lab-ex99_1.htm">
              <w:r>
                <w:rPr>
                  <w:rStyle w:val="InternetLink"/>
                  <w:rFonts w:ascii="Times New Roman" w:hAnsi="Times New Roman"/>
                  <w:color w:val="0000FF"/>
                  <w:sz w:val="20"/>
                  <w:u w:val="single"/>
                </w:rPr>
                <w:t>Press release issued by Standard BioTools Inc., dated May 5, 2026</w:t>
              </w:r>
            </w:hyperlink>
          </w:p>
        </w:tc>
      </w:tr>
      <w:tr>
        <w:trPr/>
        <w:tc>
          <w:tcPr>
            <w:tcW w:w="1066"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104</w:t>
            </w:r>
          </w:p>
        </w:tc>
        <w:tc>
          <w:tcPr>
            <w:tcW w:w="164" w:type="dxa"/>
            <w:tcBorders/>
            <w:tcMar>
              <w:top w:w="0" w:type="dxa"/>
              <w:left w:w="0" w:type="dxa"/>
              <w:bottom w:w="0" w:type="dxa"/>
              <w:right w:w="0" w:type="dxa"/>
            </w:tcMar>
            <w:vAlign w:val="center"/>
          </w:tcPr>
          <w:p>
            <w:pPr>
              <w:pStyle w:val="TableContents"/>
              <w:bidi w:val="0"/>
              <w:spacing w:before="0" w:after="283"/>
              <w:ind w:left="0" w:right="0" w:firstLine="18"/>
              <w:jc w:val="left"/>
              <w:rPr/>
            </w:pPr>
            <w:r>
              <w:rPr/>
              <w:t> </w:t>
            </w:r>
          </w:p>
        </w:tc>
        <w:tc>
          <w:tcPr>
            <w:tcW w:w="6619" w:type="dxa"/>
            <w:tcBorders/>
            <w:tcMar>
              <w:top w:w="0" w:type="dxa"/>
              <w:left w:w="0" w:type="dxa"/>
              <w:bottom w:w="0" w:type="dxa"/>
              <w:right w:w="0" w:type="dxa"/>
            </w:tcMar>
            <w:vAlign w:val="center"/>
          </w:tcPr>
          <w:p>
            <w:pPr>
              <w:pStyle w:val="TableContents"/>
              <w:bidi w:val="0"/>
              <w:spacing w:before="0" w:after="283"/>
              <w:ind w:left="0" w:right="0" w:firstLine="18"/>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 Item 2.02 and Item 7.01 of this Current Report on Form 8-K, including Exhibit 99.1 attached hereto, is being furnished and shall not be deemed “filed” for the purposes of Section 18 of the Securities Exchange Act of 1934, as amended (“Exchange Act”), or otherwise subject to the liabilities of that Section and shall not be incorporated by reference into any registration statement or other document pursuant to the Securities Act of 1933, as amended, or the Exchange Act, except as otherwise expressly stated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jc w:val="left"/>
        <w:rPr/>
      </w:pPr>
      <w:r>
        <w:rPr/>
        <w:t> </w:t>
      </w:r>
    </w:p>
    <w:tbl>
      <w:tblPr>
        <w:tblW w:w="3029" w:type="dxa"/>
        <w:jc w:val="left"/>
        <w:tblInd w:w="0" w:type="dxa"/>
        <w:tblLayout w:type="fixed"/>
        <w:tblCellMar>
          <w:top w:w="28" w:type="dxa"/>
          <w:left w:w="28" w:type="dxa"/>
          <w:bottom w:w="28" w:type="dxa"/>
          <w:right w:w="28" w:type="dxa"/>
        </w:tblCellMar>
      </w:tblPr>
      <w:tblGrid>
        <w:gridCol w:w="181"/>
        <w:gridCol w:w="651"/>
        <w:gridCol w:w="166"/>
        <w:gridCol w:w="2031"/>
      </w:tblGrid>
      <w:tr>
        <w:trPr/>
        <w:tc>
          <w:tcPr>
            <w:tcW w:w="18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May 5, 2026</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84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b/>
                <w:color w:val="000000"/>
                <w:sz w:val="20"/>
              </w:rPr>
            </w:pPr>
            <w:r>
              <w:rPr>
                <w:rFonts w:ascii="Times New Roman" w:hAnsi="Times New Roman"/>
                <w:b/>
                <w:color w:val="000000"/>
                <w:sz w:val="20"/>
              </w:rPr>
              <w:t>STANDARD BIOTOOLS INC.</w:t>
            </w:r>
          </w:p>
        </w:tc>
      </w:tr>
      <w:tr>
        <w:trPr/>
        <w:tc>
          <w:tcPr>
            <w:tcW w:w="181" w:type="dxa"/>
            <w:tcBorders/>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By:</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/s/ 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Name: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Alex Kim</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Title:</w:t>
            </w:r>
          </w:p>
        </w:tc>
        <w:tc>
          <w:tcPr>
            <w:tcW w:w="166"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ind w:left="0" w:right="0" w:firstLine="20"/>
              <w:jc w:val="left"/>
              <w:rPr>
                <w:rFonts w:ascii="Times New Roman" w:hAnsi="Times New Roman"/>
                <w:color w:val="000000"/>
                <w:sz w:val="20"/>
              </w:rPr>
            </w:pPr>
            <w:r>
              <w:rPr>
                <w:rFonts w:ascii="Times New Roman" w:hAnsi="Times New Roman"/>
                <w:color w:val="000000"/>
                <w:sz w:val="20"/>
              </w:rPr>
              <w:t>Chief Financial Officer</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651" w:type="dxa"/>
            <w:tcBorders/>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0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 w:name="lab-ex99_1.htm"/>
      <w:bookmarkStart w:id="4" w:name="kslabex99_1"/>
      <w:bookmarkEnd w:id="3"/>
      <w:bookmarkEnd w:id="4"/>
      <w:r>
        <w:rPr/>
        <w:t> </w:t>
      </w:r>
      <w:r>
        <w:br w:type="page"/>
      </w:r>
    </w:p>
    <w:p>
      <w:pPr>
        <w:pStyle w:val="TextBody"/>
        <w:bidi w:val="0"/>
        <w:spacing w:before="0" w:after="240"/>
        <w:jc w:val="right"/>
        <w:rPr>
          <w:rFonts w:ascii="Times New Roman" w:hAnsi="Times New Roman"/>
          <w:b/>
          <w:color w:val="000000"/>
          <w:sz w:val="20"/>
        </w:rPr>
      </w:pPr>
      <w:r>
        <w:rPr>
          <w:rFonts w:ascii="Times New Roman" w:hAnsi="Times New Roman"/>
          <w:b/>
          <w:color w:val="000000"/>
          <w:sz w:val="20"/>
        </w:rPr>
        <w:t>Exhibit 99.1</w:t>
      </w:r>
    </w:p>
    <w:p>
      <w:pPr>
        <w:pStyle w:val="TextBody"/>
        <w:bidi w:val="0"/>
        <w:jc w:val="left"/>
        <w:rPr/>
      </w:pPr>
      <w:r>
        <w:rPr/>
        <w:drawing>
          <wp:inline distT="0" distB="0" distL="0" distR="0">
            <wp:extent cx="10953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95375" cy="781050"/>
                    </a:xfrm>
                    <a:prstGeom prst="rect">
                      <a:avLst/>
                    </a:prstGeom>
                  </pic:spPr>
                </pic:pic>
              </a:graphicData>
            </a:graphic>
          </wp:inline>
        </w:drawing>
      </w:r>
    </w:p>
    <w:p>
      <w:pPr>
        <w:pStyle w:val="TextBody"/>
        <w:bidi w:val="0"/>
        <w:jc w:val="center"/>
        <w:rPr>
          <w:rFonts w:ascii="Times New Roman" w:hAnsi="Times New Roman"/>
          <w:b/>
          <w:color w:val="000000"/>
          <w:sz w:val="27"/>
        </w:rPr>
      </w:pPr>
      <w:r>
        <w:rPr>
          <w:rFonts w:ascii="Times New Roman" w:hAnsi="Times New Roman"/>
          <w:b/>
          <w:color w:val="000000"/>
          <w:sz w:val="27"/>
        </w:rPr>
        <w:t>Standard BioTools Reports First Quarter 2026 Financial Results</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2"/>
        </w:rPr>
        <w:t>BOSTON, Mass., May 5, 2026 (GLOBE NEWSWIRE) -- Standard BioTools Inc. (NASDAQ: LAB) (the “Company” or “Standard BioTools”) today announced financial results for the quarter ended March 31, 2026.</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b/>
          <w:color w:val="000000"/>
          <w:sz w:val="22"/>
        </w:rPr>
      </w:pPr>
      <w:r>
        <w:rPr>
          <w:rFonts w:ascii="Times New Roman" w:hAnsi="Times New Roman"/>
          <w:b/>
          <w:color w:val="000000"/>
          <w:sz w:val="22"/>
        </w:rPr>
        <w:t>Recent Highlights: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First quarter 2026 revenue of $21.1 million</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54% reduction in operating loss and 78% improvement in adjusted EBITDA year-over-year supporting path to positive adjusted EBITDA exiting 2026</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i/>
          <w:color w:val="000000"/>
          <w:sz w:val="22"/>
        </w:rPr>
      </w:pPr>
      <w:r>
        <w:rPr>
          <w:rFonts w:ascii="Times New Roman" w:hAnsi="Times New Roman"/>
          <w:i/>
          <w:color w:val="000000"/>
          <w:sz w:val="22"/>
        </w:rPr>
        <w:t>$524 million in cash &amp; investments as of March 31, 2026, excluding $25 million earnout received after quarter end, to fuel inorganic growth strategy</w:t>
      </w:r>
    </w:p>
    <w:p>
      <w:pPr>
        <w:pStyle w:val="TextBody"/>
        <w:bidi w:val="0"/>
        <w:jc w:val="left"/>
        <w:rPr>
          <w:color w:val="000000"/>
        </w:rPr>
      </w:pPr>
      <w:r>
        <w:rPr>
          <w:color w:val="000000"/>
        </w:rPr>
        <w:t>“</w:t>
      </w:r>
      <w:r>
        <w:rPr>
          <w:rFonts w:ascii="Times New Roman" w:hAnsi="Times New Roman"/>
          <w:color w:val="000000"/>
          <w:sz w:val="22"/>
        </w:rPr>
        <w:t>We delivered a strong start to 2026, with first quarter performance coming in above expectations,” said Michael Egholm, PhD, President and Chief Executive Officer of Standard BioTools. “We are operating our base business with consistency, delivering year-over-year top-line growth, and our cost savings initiatives are taking hold with a 78% improvement in adjusted EBITDA to a loss of $3.1 million in the quarter, reinforcing our path to profitability in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Dr. Egholm continued, “With the sale of SomaLogic to Illumina complete, we are fully focused on strategic capital deployment to transform the business. Our strong balance sheet, with approximately $550 million in cash and investments inclusive of a $25 million earnout received after quarter end, provides substantial flexibility to pursue attractive opportunities and create shareholder value.”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b/>
          <w:color w:val="000000"/>
          <w:sz w:val="22"/>
        </w:rPr>
        <w:t>Financial Results Table: Continuing Operations</w:t>
      </w:r>
    </w:p>
    <w:p>
      <w:pPr>
        <w:pStyle w:val="TextBody"/>
        <w:bidi w:val="0"/>
        <w:jc w:val="both"/>
        <w:rPr/>
      </w:pPr>
      <w:r>
        <w:rPr/>
        <w:t> </w:t>
      </w:r>
    </w:p>
    <w:tbl>
      <w:tblPr>
        <w:tblW w:w="9644" w:type="dxa"/>
        <w:jc w:val="left"/>
        <w:tblInd w:w="0" w:type="dxa"/>
        <w:tblLayout w:type="fixed"/>
        <w:tblCellMar>
          <w:top w:w="28" w:type="dxa"/>
          <w:left w:w="28" w:type="dxa"/>
          <w:bottom w:w="28" w:type="dxa"/>
          <w:right w:w="28" w:type="dxa"/>
        </w:tblCellMar>
      </w:tblPr>
      <w:tblGrid>
        <w:gridCol w:w="5161"/>
        <w:gridCol w:w="506"/>
        <w:gridCol w:w="1369"/>
        <w:gridCol w:w="271"/>
        <w:gridCol w:w="146"/>
        <w:gridCol w:w="506"/>
        <w:gridCol w:w="1369"/>
        <w:gridCol w:w="316"/>
      </w:tblGrid>
      <w:tr>
        <w:trPr/>
        <w:tc>
          <w:tcPr>
            <w:tcW w:w="516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Reported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(Unaudited, in millions, except percentages)</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restricted cash, and liquid investments</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First Quarter 2026 Financial Results: Continuing Operations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Revenue</w:t>
      </w:r>
      <w:r>
        <w:rPr>
          <w:color w:val="000000"/>
        </w:rPr>
        <w:t xml:space="preserve"> </w:t>
      </w:r>
      <w:r>
        <w:rPr>
          <w:rFonts w:ascii="Times New Roman" w:hAnsi="Times New Roman"/>
          <w:color w:val="000000"/>
          <w:sz w:val="22"/>
        </w:rPr>
        <w:t xml:space="preserve">was $21.1 million in the first quarter of 2026, up 5% year-over-year.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Consumables</w:t>
      </w:r>
      <w:r>
        <w:rPr>
          <w:color w:val="000000"/>
        </w:rPr>
        <w:t xml:space="preserve"> </w:t>
      </w:r>
      <w:r>
        <w:rPr>
          <w:rFonts w:ascii="Times New Roman" w:hAnsi="Times New Roman"/>
          <w:color w:val="000000"/>
          <w:sz w:val="22"/>
        </w:rPr>
        <w:t xml:space="preserve">revenue was $11.0 million in the first quarter of 2026, up 35% year-over-year. Greater consumables revenue in the quarter reflected growth across all product categories, primarily driven by microfluidics.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Instruments</w:t>
      </w:r>
      <w:r>
        <w:rPr>
          <w:color w:val="000000"/>
        </w:rPr>
        <w:t xml:space="preserve"> </w:t>
      </w:r>
      <w:r>
        <w:rPr>
          <w:rFonts w:ascii="Times New Roman" w:hAnsi="Times New Roman"/>
          <w:color w:val="000000"/>
          <w:sz w:val="22"/>
        </w:rPr>
        <w:t xml:space="preserve">revenue was $4.5 million in the first quarter of 2026, down 33% year-over-year. Instrument revenue in the quarter, compared against particularly strong prior year results, remained impacted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spacing w:before="120" w:after="283"/>
        <w:jc w:val="left"/>
        <w:rPr/>
      </w:pPr>
      <w:r>
        <w:rPr>
          <w:rFonts w:ascii="Times New Roman" w:hAnsi="Times New Roman"/>
          <w:color w:val="000000"/>
          <w:sz w:val="22"/>
        </w:rPr>
        <w:t>by capital-constrained end-markets.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Services</w:t>
      </w:r>
      <w:r>
        <w:rPr>
          <w:color w:val="000000"/>
        </w:rPr>
        <w:t xml:space="preserve"> </w:t>
      </w:r>
      <w:r>
        <w:rPr>
          <w:rFonts w:ascii="Times New Roman" w:hAnsi="Times New Roman"/>
          <w:color w:val="000000"/>
          <w:sz w:val="22"/>
        </w:rPr>
        <w:t xml:space="preserve">revenue, which is predominantly Field Services, was $5.7 million in the first quarter of 2026, up 5% year-over-year.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Gross margins</w:t>
      </w:r>
      <w:r>
        <w:rPr>
          <w:color w:val="000000"/>
        </w:rPr>
        <w:t xml:space="preserve"> </w:t>
      </w:r>
      <w:r>
        <w:rPr>
          <w:rFonts w:ascii="Times New Roman" w:hAnsi="Times New Roman"/>
          <w:color w:val="000000"/>
          <w:sz w:val="22"/>
        </w:rPr>
        <w:t xml:space="preserve">in the first quarter of 2026 were approximately 53.5%, versus 54.6% in the first quarter of 2025; and non-GAAP gross margins in the first quarter of 2026 were approximately 57.7%, versus 57.1% in the first quarter of 2025. Gross margins and non-GAAP gross margins were driven by volume and product mix.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Operating expenses </w:t>
      </w:r>
      <w:r>
        <w:rPr>
          <w:rFonts w:ascii="Times New Roman" w:hAnsi="Times New Roman"/>
          <w:color w:val="000000"/>
          <w:sz w:val="22"/>
        </w:rPr>
        <w:t xml:space="preserve">in the first quarter of 2026 were $23.8 million, a decrease of $14.2 million, or down 37%, compared to the first quarter of 2025. Operating expenses included $3.1 million in restructuring and related charges. Non-GAAP operating expenses, which exclude transaction costs, stock-based compensation, and restructuring charges, were $15.3 million in the first quarter of 2026, a decrease of $10.3 million, or down 40%, compared to the first quarter of 2025. The decrease in operating expenses was largely due to previously announced restructuring actions.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2"/>
        </w:rPr>
        <w:t xml:space="preserve">Net loss </w:t>
      </w:r>
      <w:r>
        <w:rPr>
          <w:rFonts w:ascii="Times New Roman" w:hAnsi="Times New Roman"/>
          <w:color w:val="000000"/>
          <w:sz w:val="22"/>
        </w:rPr>
        <w:t>for the first quarter of 2026 was $14.6 million, compared to a net loss of $23.4 million in the first quarter of 2025, representing a change of $8.7 million or 37%. Adjusted EBITDA for the first quarter of 2026 was a loss of $3.1 million, versus an adjusted EBITDA loss of $14.1 million in the first quarter of 2025, an improvement of $11.0 million, or 78%.</w:t>
      </w:r>
    </w:p>
    <w:p>
      <w:pPr>
        <w:pStyle w:val="TextBody"/>
        <w:bidi w:val="0"/>
        <w:jc w:val="left"/>
        <w:rPr>
          <w:rFonts w:ascii="Times New Roman" w:hAnsi="Times New Roman"/>
          <w:sz w:val="20"/>
        </w:rPr>
      </w:pPr>
      <w:r>
        <w:rPr>
          <w:rFonts w:ascii="Times New Roman" w:hAnsi="Times New Roman"/>
          <w:b/>
          <w:color w:val="000000"/>
          <w:sz w:val="22"/>
        </w:rPr>
        <w:t>Full Year 2026 Revenue Outlook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For fiscal year 2026, the Company continues to expect revenue in the range of $80 million to $85 million.</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Use of Non-GAAP Financial Information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Standard BioTools has presented certain financial information in accordance with U.S. GAAP and on a non-GAAP basis. The non-GAAP financial measures included in this press release are non-GAAP gross margin, non-GAAP gross profit, non-GAAP operating expenses, and adjusted EBITDA. Management uses these non-GAAP financial measures, in addition to GAAP financial measures, as a measure of operating performance because the non-GAAP financial measures do not include the impact of items that management does not consider indicative of the Company’s core operating performance. Management believes that non-GAAP financial measures, taken in conjunction with GAAP financial measures, provide useful information for both management and investors by excluding certain non-cash and other expenses that are not indicative of the Company’s core operating results. Management uses non-GAAP measures to compare the Company’s performance relative to forecasts and strategic plans and to benchmark the Company’s performance externally against competitors. Non-GAAP information is not prepared under a comprehensive set of accounting rules and should only be used to supplement an understanding of the Company’s operating results as reported under U.S. GAAP. Standard BioTools encourages investors to carefully consider its results under GAAP, as well as its supplemental non-GAAP information and the reconciliations between these presentations, to more fully understand its business. Reconciliations between GAAP and non-GAAP financial measures are presented in the accompanying tables of this release.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Forward-Looking Statements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This press release contains forward-looking statements within the meaning of the Private Securities Litigation Reform Act of 1995, including, among others, statements regarding future financial and business performance, including with respect to the full year 2026 revenue outlook; the Company’s beliefs about future profitability; operational and strategic plans; deployment of capital; market and growth opportunity and potential; and the potential to realize the expected benefits from the transaction with Illumina and the expected benefits and synergies of prior and potential future acquisitions, including the potential for such transactions to drive long-term profitable growth. Forward-looking statements are subject to numerous risks and uncertainties that could cause actual results to differ materially from currently anticipated results, including, but not limited to, the potential that the expected benefits and opportunities of the transaction may not be realized or may take longer to realize than expected; risks that the anticipated benefits and</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pPr>
      <w:r>
        <w:rPr/>
        <w:t> </w:t>
      </w:r>
    </w:p>
    <w:p>
      <w:pPr>
        <w:pStyle w:val="TextBody"/>
        <w:bidi w:val="0"/>
        <w:jc w:val="left"/>
        <w:rPr>
          <w:rFonts w:ascii="Times New Roman" w:hAnsi="Times New Roman"/>
          <w:sz w:val="20"/>
        </w:rPr>
      </w:pPr>
      <w:r>
        <w:rPr>
          <w:rFonts w:ascii="Times New Roman" w:hAnsi="Times New Roman"/>
          <w:color w:val="000000"/>
          <w:sz w:val="22"/>
        </w:rPr>
        <w:t>synergies resulting from prior and potential future acquisitions and the integration of any such businesses, including the potential for such transactions to drive long-term profitable growth, may not be fully realized or may take longer to realize than expected; risks that the Company may not realize expected cost savings from such transactions; possible integration, restructuring and transition-related disruption resulting from such transactions, including through the loss of customers, suppliers, and employees and adverse impacts on the Company’s development activities and results of operation; integration and restructuring activities, including customer and employee relations, management distraction, and reduced operating performance; risks that internal and external costs required for ongoing and planned activities may be higher than expected, which may cause the Company to use cash more quickly than it expects or change or curtail some of the Company’s plans, or both; risks that the Company’s expectations as to expenses, cash usage, and cash needs may prove not to be correct for other reasons such as changes in plans or actual events being different than our assumptions; changes in the Company’s business or external market conditions; existing and potential future NIH funding pressures; the effect from existing and potential future U.S. export controls and tariffs; challenges inherent in developing, manufacturing, launching, marketing, and selling new products; interruptions or delays in the supply of components or materials for, or manufacturing of, the Company’s products; reliance on sales of capital equipment for a significant proportion of revenues in each quarter; seasonal variations in customer operations; unanticipated increases in costs or expenses; continued or sustained budgetary, inflationary, or recessionary pressures; uncertainties in contractual relationships; reductions in research and development spending or changes in budget priorities by customers; uncertainties relating to the Company’s research and development activities, and distribution plans and capabilities; potential product performance and quality issues; risks associated with international operations; intellectual property risks; and competition. For information regarding other related risks, see the “Risk Factors” section of the Company’s annual report on Form 10-K, for the year ended December 31, 2025, filed with the SEC on March 16, 2026, the Company’s quarterly report on Form 10-Q for the quarter ended March 31, 2026, to be filed with the SEC, and in the Company’s other filings with the SEC. These forward-looking statements speak only as of the date hereof. The Company disclaims any obligation to update these forward-looking statements except as may be required by law.</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About Standard BioTools Inc.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Standard BioTools, Inc. (Nasdaq: LAB), is committed to setting the new standard in the life science tools industry through strategic consolidation, best-in-class operations and a world class management team. The Company's established portfolio includes essential, standardized next-generation solutions designed to help biomedical researchers develop better therapeutics faster. Learn more at </w:t>
      </w:r>
      <w:r>
        <w:rPr>
          <w:rFonts w:ascii="Times New Roman" w:hAnsi="Times New Roman"/>
          <w:color w:val="0000FF"/>
          <w:sz w:val="22"/>
        </w:rPr>
        <w:t>standardbio.com</w:t>
      </w:r>
      <w:r>
        <w:rPr>
          <w:rFonts w:ascii="Times New Roman" w:hAnsi="Times New Roman"/>
          <w:color w:val="000000"/>
          <w:sz w:val="20"/>
        </w:rPr>
        <w:t xml:space="preserve"> </w:t>
      </w:r>
      <w:r>
        <w:rPr>
          <w:rFonts w:ascii="Times New Roman" w:hAnsi="Times New Roman"/>
          <w:color w:val="000000"/>
          <w:sz w:val="22"/>
        </w:rPr>
        <w:t>or connect with us on X, Facebook®, LinkedIn, and YouTube.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For Research Use Only. Not for use in diagnostic procedures.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Limited Use Label License and other terms may apply: </w:t>
      </w:r>
      <w:r>
        <w:rPr>
          <w:rFonts w:ascii="Times New Roman" w:hAnsi="Times New Roman"/>
          <w:color w:val="0000FF"/>
          <w:sz w:val="22"/>
        </w:rPr>
        <w:t>standardbio.com/legal/salesterms</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Patent and License Information: </w:t>
      </w:r>
      <w:r>
        <w:rPr>
          <w:rFonts w:ascii="Times New Roman" w:hAnsi="Times New Roman"/>
          <w:color w:val="0000FF"/>
          <w:sz w:val="22"/>
        </w:rPr>
        <w:t>standardbio.com/legal/notices</w:t>
      </w:r>
      <w:r>
        <w:rPr>
          <w:rFonts w:ascii="Times New Roman" w:hAnsi="Times New Roman"/>
          <w:color w:val="000000"/>
          <w:sz w:val="22"/>
        </w:rPr>
        <w:t xml:space="preserve">. </w:t>
        <w:br/>
        <w:t xml:space="preserve">Trademarks: </w:t>
      </w:r>
      <w:r>
        <w:rPr>
          <w:rFonts w:ascii="Times New Roman" w:hAnsi="Times New Roman"/>
          <w:color w:val="0000FF"/>
          <w:sz w:val="22"/>
        </w:rPr>
        <w:t>standardbio.com/legal/trademarks</w:t>
      </w:r>
      <w:r>
        <w:rPr>
          <w:rFonts w:ascii="Times New Roman" w:hAnsi="Times New Roman"/>
          <w:color w:val="000000"/>
          <w:sz w:val="22"/>
        </w:rPr>
        <w:t>. Any other trademarks are the sole property of their respective owners. ©2026 Standard BioTools Inc. (f.k.a. Fluidigm Corporation). All rights reserved.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color w:val="000000"/>
          <w:sz w:val="22"/>
        </w:rPr>
        <w:t>Investor Contact: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FF"/>
          <w:sz w:val="22"/>
          <w:u w:val="single"/>
        </w:rPr>
        <w:t>ir@standardbio.com</w:t>
      </w:r>
      <w:r>
        <w:rPr>
          <w:rFonts w:ascii="Times New Roman" w:hAnsi="Times New Roman"/>
          <w:color w:val="000000"/>
          <w:sz w:val="20"/>
        </w:rPr>
        <w:t xml:space="preserve">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 except per share amounts)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21"/>
        <w:gridCol w:w="146"/>
        <w:gridCol w:w="252"/>
        <w:gridCol w:w="934"/>
        <w:gridCol w:w="198"/>
        <w:gridCol w:w="174"/>
        <w:gridCol w:w="252"/>
        <w:gridCol w:w="934"/>
        <w:gridCol w:w="394"/>
      </w:tblGrid>
      <w:tr>
        <w:trPr/>
        <w:tc>
          <w:tcPr>
            <w:tcW w:w="6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6,431</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2,132</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(12,496</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(26,970</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(14,615</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(23,489</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141,694</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127,068</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0.33</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used in computing 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388,202</w:t>
            </w:r>
          </w:p>
        </w:tc>
        <w:tc>
          <w:tcPr>
            <w:tcW w:w="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378,228</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BALANCE SHEETS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center"/>
        <w:rPr/>
      </w:pPr>
      <w:r>
        <w:rPr/>
        <w:t> </w:t>
      </w:r>
    </w:p>
    <w:tbl>
      <w:tblPr>
        <w:tblW w:w="7930" w:type="dxa"/>
        <w:jc w:val="left"/>
        <w:tblInd w:w="0" w:type="dxa"/>
        <w:tblLayout w:type="fixed"/>
        <w:tblCellMar>
          <w:top w:w="28" w:type="dxa"/>
          <w:left w:w="28" w:type="dxa"/>
          <w:bottom w:w="28" w:type="dxa"/>
          <w:right w:w="28" w:type="dxa"/>
        </w:tblCellMar>
      </w:tblPr>
      <w:tblGrid>
        <w:gridCol w:w="4321"/>
        <w:gridCol w:w="346"/>
        <w:gridCol w:w="239"/>
        <w:gridCol w:w="886"/>
        <w:gridCol w:w="146"/>
        <w:gridCol w:w="146"/>
        <w:gridCol w:w="309"/>
        <w:gridCol w:w="1146"/>
        <w:gridCol w:w="391"/>
      </w:tblGrid>
      <w:tr>
        <w:trPr/>
        <w:tc>
          <w:tcPr>
            <w:tcW w:w="432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120,863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consideration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assets held for sale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454,264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29,783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grant income, 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 held for sale</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notes,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grant income, non-current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424,291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567,754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CONDENSED CONSOLIDATED STATEMENTS OF CASH FLOWS</w:t>
      </w:r>
    </w:p>
    <w:p>
      <w:pPr>
        <w:pStyle w:val="TextBody"/>
        <w:bidi w:val="0"/>
        <w:jc w:val="center"/>
        <w:rPr>
          <w:rFonts w:ascii="Times New Roman" w:hAnsi="Times New Roman"/>
          <w:sz w:val="20"/>
        </w:rPr>
      </w:pPr>
      <w:r>
        <w:rPr>
          <w:rFonts w:ascii="Times New Roman" w:hAnsi="Times New Roman"/>
          <w:b/>
          <w:color w:val="000000"/>
          <w:sz w:val="22"/>
        </w:rPr>
        <w:t>Continuing and Discontinued Operations</w:t>
      </w:r>
      <w:r>
        <w:rPr>
          <w:rFonts w:ascii="Times New Roman" w:hAnsi="Times New Roman"/>
          <w:color w:val="000000"/>
          <w:sz w:val="20"/>
        </w:rPr>
        <w:t xml:space="preserve"> </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9430" w:type="dxa"/>
        <w:jc w:val="left"/>
        <w:tblInd w:w="0" w:type="dxa"/>
        <w:tblLayout w:type="fixed"/>
        <w:tblCellMar>
          <w:top w:w="28" w:type="dxa"/>
          <w:left w:w="28" w:type="dxa"/>
          <w:bottom w:w="28" w:type="dxa"/>
          <w:right w:w="28" w:type="dxa"/>
        </w:tblCellMar>
      </w:tblPr>
      <w:tblGrid>
        <w:gridCol w:w="6286"/>
        <w:gridCol w:w="146"/>
        <w:gridCol w:w="249"/>
        <w:gridCol w:w="996"/>
        <w:gridCol w:w="196"/>
        <w:gridCol w:w="172"/>
        <w:gridCol w:w="249"/>
        <w:gridCol w:w="925"/>
        <w:gridCol w:w="2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127,068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sale of business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(172,289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discount on short-term investments,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excess and obsolete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contingent consideration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non-cash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(46,597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 for sale of business,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short-term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(127,208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long-term marketable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(58,517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equity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and maturities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191,090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for taxes related to net share settlement of equity awards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foreign exchange rate fluctuations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123,296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267,864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consists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267,864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REVENUE</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jc w:val="left"/>
        <w:rPr/>
      </w:pPr>
      <w:r>
        <w:rPr/>
        <w:t> </w:t>
      </w:r>
    </w:p>
    <w:tbl>
      <w:tblPr>
        <w:tblW w:w="5231" w:type="dxa"/>
        <w:jc w:val="left"/>
        <w:tblInd w:w="0" w:type="dxa"/>
        <w:tblLayout w:type="fixed"/>
        <w:tblCellMar>
          <w:top w:w="28" w:type="dxa"/>
          <w:left w:w="28" w:type="dxa"/>
          <w:bottom w:w="28" w:type="dxa"/>
          <w:right w:w="28" w:type="dxa"/>
        </w:tblCellMar>
      </w:tblPr>
      <w:tblGrid>
        <w:gridCol w:w="2296"/>
        <w:gridCol w:w="146"/>
        <w:gridCol w:w="245"/>
        <w:gridCol w:w="785"/>
        <w:gridCol w:w="169"/>
        <w:gridCol w:w="169"/>
        <w:gridCol w:w="245"/>
        <w:gridCol w:w="785"/>
        <w:gridCol w:w="3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Consumables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15,454</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Services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5,692</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21,146</w:t>
            </w:r>
          </w:p>
        </w:tc>
        <w:tc>
          <w:tcPr>
            <w:tcW w:w="1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GROSS PROFIT TO NON-GAAP GROSS PROFIT AND MARGIN PERCENTAGE</w:t>
      </w:r>
    </w:p>
    <w:p>
      <w:pPr>
        <w:pStyle w:val="TextBody"/>
        <w:bidi w:val="0"/>
        <w:jc w:val="left"/>
        <w:rPr/>
      </w:pPr>
      <w:r>
        <w:rPr/>
        <w:t> </w:t>
      </w:r>
    </w:p>
    <w:tbl>
      <w:tblPr>
        <w:tblW w:w="7006" w:type="dxa"/>
        <w:jc w:val="left"/>
        <w:tblInd w:w="0" w:type="dxa"/>
        <w:tblLayout w:type="fixed"/>
        <w:tblCellMar>
          <w:top w:w="28" w:type="dxa"/>
          <w:left w:w="28" w:type="dxa"/>
          <w:bottom w:w="28" w:type="dxa"/>
          <w:right w:w="28" w:type="dxa"/>
        </w:tblCellMar>
      </w:tblPr>
      <w:tblGrid>
        <w:gridCol w:w="3656"/>
        <w:gridCol w:w="146"/>
        <w:gridCol w:w="268"/>
        <w:gridCol w:w="861"/>
        <w:gridCol w:w="345"/>
        <w:gridCol w:w="185"/>
        <w:gridCol w:w="268"/>
        <w:gridCol w:w="861"/>
        <w:gridCol w:w="416"/>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11,308</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12,195</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11,554</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margin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gross margin percentage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TO NON-GAAP OPERATING EXPENSES</w:t>
      </w:r>
    </w:p>
    <w:p>
      <w:pPr>
        <w:pStyle w:val="TextBody"/>
        <w:bidi w:val="0"/>
        <w:jc w:val="left"/>
        <w:rPr/>
      </w:pPr>
      <w:r>
        <w:rPr/>
        <w:t> </w:t>
      </w:r>
    </w:p>
    <w:tbl>
      <w:tblPr>
        <w:tblW w:w="7037" w:type="dxa"/>
        <w:jc w:val="left"/>
        <w:tblInd w:w="0" w:type="dxa"/>
        <w:tblLayout w:type="fixed"/>
        <w:tblCellMar>
          <w:top w:w="28" w:type="dxa"/>
          <w:left w:w="28" w:type="dxa"/>
          <w:bottom w:w="28" w:type="dxa"/>
          <w:right w:w="28" w:type="dxa"/>
        </w:tblCellMar>
      </w:tblPr>
      <w:tblGrid>
        <w:gridCol w:w="3791"/>
        <w:gridCol w:w="146"/>
        <w:gridCol w:w="282"/>
        <w:gridCol w:w="904"/>
        <w:gridCol w:w="222"/>
        <w:gridCol w:w="195"/>
        <w:gridCol w:w="282"/>
        <w:gridCol w:w="904"/>
        <w:gridCol w:w="31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23,804</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38,019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(4,460</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15,282</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R&amp;D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R&amp;D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18,607</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(7,468</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SG&amp;A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13,495</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20,697</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STANDARD BIOTOOLS INC.</w:t>
      </w:r>
    </w:p>
    <w:p>
      <w:pPr>
        <w:pStyle w:val="TextBody"/>
        <w:bidi w:val="0"/>
        <w:jc w:val="center"/>
        <w:rPr>
          <w:rFonts w:ascii="Times New Roman" w:hAnsi="Times New Roman"/>
          <w:b/>
          <w:color w:val="000000"/>
          <w:sz w:val="22"/>
        </w:rPr>
      </w:pPr>
      <w:r>
        <w:rPr>
          <w:rFonts w:ascii="Times New Roman" w:hAnsi="Times New Roman"/>
          <w:b/>
          <w:color w:val="000000"/>
          <w:sz w:val="22"/>
        </w:rPr>
        <w:t>RECONCILIATION OF GAAP TO NON-GAAP FINANCIAL INFORMATION</w:t>
      </w:r>
    </w:p>
    <w:p>
      <w:pPr>
        <w:pStyle w:val="TextBody"/>
        <w:bidi w:val="0"/>
        <w:jc w:val="center"/>
        <w:rPr>
          <w:rFonts w:ascii="Times New Roman" w:hAnsi="Times New Roman"/>
          <w:b/>
          <w:color w:val="000000"/>
          <w:sz w:val="22"/>
        </w:rPr>
      </w:pPr>
      <w:r>
        <w:rPr>
          <w:rFonts w:ascii="Times New Roman" w:hAnsi="Times New Roman"/>
          <w:b/>
          <w:color w:val="000000"/>
          <w:sz w:val="22"/>
        </w:rPr>
        <w:t>Continuing Operations</w:t>
      </w:r>
    </w:p>
    <w:p>
      <w:pPr>
        <w:pStyle w:val="TextBody"/>
        <w:bidi w:val="0"/>
        <w:jc w:val="center"/>
        <w:rPr>
          <w:rFonts w:ascii="Times New Roman" w:hAnsi="Times New Roman"/>
          <w:i/>
          <w:color w:val="000000"/>
          <w:sz w:val="22"/>
        </w:rPr>
      </w:pPr>
      <w:r>
        <w:rPr>
          <w:rFonts w:ascii="Times New Roman" w:hAnsi="Times New Roman"/>
          <w:i/>
          <w:color w:val="000000"/>
          <w:sz w:val="22"/>
        </w:rPr>
        <w:t>(In thousands)</w:t>
      </w:r>
    </w:p>
    <w:p>
      <w:pPr>
        <w:pStyle w:val="TextBody"/>
        <w:bidi w:val="0"/>
        <w:jc w:val="center"/>
        <w:rPr>
          <w:rFonts w:ascii="Times New Roman" w:hAnsi="Times New Roman"/>
          <w:i/>
          <w:color w:val="000000"/>
          <w:sz w:val="22"/>
        </w:rPr>
      </w:pPr>
      <w:r>
        <w:rPr>
          <w:rFonts w:ascii="Times New Roman" w:hAnsi="Times New Roman"/>
          <w:i/>
          <w:color w:val="000000"/>
          <w:sz w:val="22"/>
        </w:rPr>
        <w:t>(Unaudited)</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ITEMIZED RECONCILIATION OF GAAP NET LOSS TO ADJUSTED EBITDA</w:t>
      </w:r>
    </w:p>
    <w:p>
      <w:pPr>
        <w:pStyle w:val="TextBody"/>
        <w:bidi w:val="0"/>
        <w:jc w:val="left"/>
        <w:rPr/>
      </w:pPr>
      <w:r>
        <w:rPr/>
        <w:t> </w:t>
      </w:r>
    </w:p>
    <w:tbl>
      <w:tblPr>
        <w:tblW w:w="7135" w:type="dxa"/>
        <w:jc w:val="left"/>
        <w:tblInd w:w="0" w:type="dxa"/>
        <w:tblLayout w:type="fixed"/>
        <w:tblCellMar>
          <w:top w:w="28" w:type="dxa"/>
          <w:left w:w="28" w:type="dxa"/>
          <w:bottom w:w="28" w:type="dxa"/>
          <w:right w:w="28" w:type="dxa"/>
        </w:tblCellMar>
      </w:tblPr>
      <w:tblGrid>
        <w:gridCol w:w="3791"/>
        <w:gridCol w:w="246"/>
        <w:gridCol w:w="244"/>
        <w:gridCol w:w="853"/>
        <w:gridCol w:w="308"/>
        <w:gridCol w:w="285"/>
        <w:gridCol w:w="244"/>
        <w:gridCol w:w="853"/>
        <w:gridCol w:w="311"/>
      </w:tblGrid>
      <w:tr>
        <w:trPr/>
        <w:tc>
          <w:tcPr>
            <w:tcW w:w="37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from continuing operations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(14,626</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(23,370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(benefit)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net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(3,511</w:t>
            </w:r>
          </w:p>
        </w:tc>
        <w:tc>
          <w:tcPr>
            <w:tcW w:w="3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Restructuring and related charges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Transaction and integration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5,001</w:t>
            </w:r>
          </w:p>
        </w:tc>
        <w:tc>
          <w:tcPr>
            <w:tcW w:w="30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8,049</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disposal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0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non-operating expense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5,630</w:t>
            </w:r>
          </w:p>
        </w:tc>
        <w:tc>
          <w:tcPr>
            <w:tcW w:w="30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w:t>
            </w:r>
          </w:p>
        </w:tc>
        <w:tc>
          <w:tcPr>
            <w:tcW w:w="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3245</Words>
  <Characters>18683</Characters>
  <CharactersWithSpaces>22181</CharactersWithSpaces>
  <Paragraphs>1679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