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2024</w:t>
      </w:r>
    </w:p>
    <w:p>
      <w:pPr>
        <w:jc w:val="center"/>
        <w:ind w:right="-79"/>
        <w:spacing w:after="0" w:line="228" w:lineRule="auto"/>
        <w:rPr>
          <w:sz w:val="20"/>
          <w:szCs w:val="20"/>
          <w:color w:val="auto"/>
        </w:rPr>
      </w:pPr>
      <w:r>
        <w:rPr>
          <w:rFonts w:ascii="Times New Roman" w:cs="Times New Roman" w:eastAsia="Times New Roman" w:hAnsi="Times New Roman"/>
          <w:sz w:val="22"/>
          <w:szCs w:val="22"/>
          <w:b w:val="1"/>
          <w:bCs w:val="1"/>
          <w:color w:val="auto"/>
        </w:rPr>
        <w:t>or</w:t>
      </w:r>
    </w:p>
    <w:p>
      <w:pPr>
        <w:spacing w:after="0" w:line="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80"/>
          </w:cols>
          <w:pgMar w:left="320" w:top="1079" w:right="399" w:bottom="1440" w:gutter="0" w:footer="0" w:header="0"/>
        </w:sectPr>
      </w:pPr>
    </w:p>
    <w:p>
      <w:pPr>
        <w:spacing w:after="0" w:line="5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 w:lineRule="exact"/>
        <w:rPr>
          <w:sz w:val="24"/>
          <w:szCs w:val="24"/>
          <w:color w:val="auto"/>
        </w:rPr>
      </w:pPr>
    </w:p>
    <w:p>
      <w:pPr>
        <w:sectPr>
          <w:pgSz w:w="11900" w:h="16838" w:orient="portrait"/>
          <w:cols w:equalWidth="0" w:num="2">
            <w:col w:w="6580" w:space="720"/>
            <w:col w:w="3880"/>
          </w:cols>
          <w:pgMar w:left="320" w:top="1079" w:right="399" w:bottom="1440" w:gutter="0" w:footer="0" w:header="0"/>
          <w:type w:val="continuous"/>
        </w:sectPr>
      </w:pPr>
    </w:p>
    <w:p>
      <w:pPr>
        <w:ind w:left="4000"/>
        <w:spacing w:after="0" w:line="197" w:lineRule="auto"/>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53340</wp:posOffset>
            </wp:positionV>
            <wp:extent cx="1284605" cy="924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4605" cy="924560"/>
                    </a:xfrm>
                    <a:prstGeom prst="rect">
                      <a:avLst/>
                    </a:prstGeom>
                    <a:noFill/>
                  </pic:spPr>
                </pic:pic>
              </a:graphicData>
            </a:graphic>
          </wp:anchor>
        </w:drawing>
      </w:r>
    </w:p>
    <w:p>
      <w:pPr>
        <w:sectPr>
          <w:pgSz w:w="11900" w:h="16838" w:orient="portrait"/>
          <w:cols w:equalWidth="0" w:num="1">
            <w:col w:w="11180"/>
          </w:cols>
          <w:pgMar w:left="320" w:top="1079" w:right="3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0"/>
          <w:szCs w:val="40"/>
          <w:b w:val="1"/>
          <w:bCs w:val="1"/>
          <w:color w:val="auto"/>
        </w:rPr>
        <w:t>STANDARD BIOTOOLS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980" w:type="dxa"/>
        <w:tblCellMar>
          <w:top w:w="0" w:type="dxa"/>
          <w:left w:w="0" w:type="dxa"/>
          <w:bottom w:w="0" w:type="dxa"/>
          <w:right w:w="0" w:type="dxa"/>
        </w:tblCellMar>
      </w:tblPr>
      <w:tr>
        <w:trPr>
          <w:trHeight w:val="188"/>
        </w:trPr>
        <w:tc>
          <w:tcPr>
            <w:tcW w:w="266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spacing w:after="0"/>
              <w:rPr>
                <w:sz w:val="16"/>
                <w:szCs w:val="16"/>
                <w:color w:val="auto"/>
              </w:rPr>
            </w:pPr>
          </w:p>
        </w:tc>
        <w:tc>
          <w:tcPr>
            <w:tcW w:w="280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77-0513190</w:t>
            </w:r>
          </w:p>
        </w:tc>
        <w:tc>
          <w:tcPr>
            <w:tcW w:w="0" w:type="dxa"/>
            <w:vAlign w:val="bottom"/>
          </w:tcPr>
          <w:p>
            <w:pPr>
              <w:spacing w:after="0"/>
              <w:rPr>
                <w:sz w:val="1"/>
                <w:szCs w:val="1"/>
                <w:color w:val="auto"/>
              </w:rPr>
            </w:pPr>
          </w:p>
        </w:tc>
      </w:tr>
      <w:tr>
        <w:trPr>
          <w:trHeight w:val="204"/>
        </w:trPr>
        <w:tc>
          <w:tcPr>
            <w:tcW w:w="6440" w:type="dxa"/>
            <w:vAlign w:val="bottom"/>
            <w:gridSpan w:val="2"/>
          </w:tcPr>
          <w:p>
            <w:pPr>
              <w:jc w:val="center"/>
              <w:ind w:right="27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80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84"/>
        </w:trPr>
        <w:tc>
          <w:tcPr>
            <w:tcW w:w="266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2 Tower Place, Suite 2000</w:t>
            </w:r>
          </w:p>
        </w:tc>
        <w:tc>
          <w:tcPr>
            <w:tcW w:w="3780" w:type="dxa"/>
            <w:vAlign w:val="bottom"/>
          </w:tcPr>
          <w:p>
            <w:pPr>
              <w:spacing w:after="0"/>
              <w:rPr>
                <w:sz w:val="24"/>
                <w:szCs w:val="24"/>
                <w:color w:val="auto"/>
              </w:rPr>
            </w:pPr>
          </w:p>
        </w:tc>
        <w:tc>
          <w:tcPr>
            <w:tcW w:w="2800" w:type="dxa"/>
            <w:vAlign w:val="bottom"/>
            <w:vMerge w:val="restart"/>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77"/>
        </w:trPr>
        <w:tc>
          <w:tcPr>
            <w:tcW w:w="266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South San Francisco, CA</w:t>
            </w:r>
          </w:p>
        </w:tc>
        <w:tc>
          <w:tcPr>
            <w:tcW w:w="378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440" w:type="dxa"/>
            <w:vAlign w:val="bottom"/>
            <w:gridSpan w:val="2"/>
          </w:tcPr>
          <w:p>
            <w:pPr>
              <w:jc w:val="center"/>
              <w:ind w:right="2728"/>
              <w:spacing w:after="0" w:line="160"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2800" w:type="dxa"/>
            <w:vAlign w:val="bottom"/>
          </w:tcPr>
          <w:p>
            <w:pPr>
              <w:jc w:val="center"/>
              <w:ind w:right="468"/>
              <w:spacing w:after="0" w:line="160"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0"/>
        </w:trPr>
        <w:tc>
          <w:tcPr>
            <w:tcW w:w="2660" w:type="dxa"/>
            <w:vAlign w:val="bottom"/>
          </w:tcPr>
          <w:p>
            <w:pPr>
              <w:spacing w:after="0"/>
              <w:rPr>
                <w:sz w:val="13"/>
                <w:szCs w:val="13"/>
                <w:color w:val="auto"/>
              </w:rPr>
            </w:pPr>
          </w:p>
        </w:tc>
        <w:tc>
          <w:tcPr>
            <w:tcW w:w="65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(650) 266-6000</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37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_____________________________________________</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37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8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Trading Symbol(s)</w:t>
            </w:r>
          </w:p>
        </w:tc>
        <w:tc>
          <w:tcPr>
            <w:tcW w:w="28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8"/>
        </w:trPr>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 per share</w:t>
            </w:r>
          </w:p>
        </w:tc>
        <w:tc>
          <w:tcPr>
            <w:tcW w:w="37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LAB</w:t>
            </w:r>
          </w:p>
        </w:tc>
        <w:tc>
          <w:tcPr>
            <w:tcW w:w="28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40"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374"/>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140"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left="380"/>
        <w:spacing w:after="0" w:line="161" w:lineRule="exact"/>
        <w:tabs>
          <w:tab w:leader="none" w:pos="7040" w:val="left"/>
          <w:tab w:leader="none" w:pos="76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November 1, 2024, there were 372,258,798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potential growth opportunities, market growth expectations, the effects of competition, cost structure optimization, acceleration of growth, potential merger and acquisition activity and restructuring plans (including expense reduction activities involving potential subleasing, talent relocation plans and severance obligations, modifications to the scope of our proteomic and genomics businesses and discontinuing of certain product lines) and our expectations regarding the benefits and integration of acquired businesses and/or products (including in connection with our merger with SomaLogic, Inc. in January 2024).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our Annual Report on Form 10-K for the year ended December 31, 2023 filed with the Securities and Exchange Commission on March 1, 2024. Given these uncertainties, you should not place undue reliance on these forward-looking statements.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spacing w:after="0" w:line="182"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Standard BioTools, the Standard BioTools logo, Fluidigm®, the Fluidigm logo, 48.Atlas™, Access Array™, Advanta™, Advanta EASE™, Atlas™, Biomark™, Biomark X™, “Bringing new insights to life”™, C1™, Callisto™, Cell-ID™, CyTOF®, CyTOF XT™, the CyTOF XT logo, D3™, Delta Gene™, Direct™, Digital Array™, Dynamic Array™, EP1™, EQ™, FC1™, Flex Six™, Flow Conductor™, FluiDesign™, Helios™, High-Precision</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 xml:space="preserve">96.96 Genotyping™, HTI™,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and Cardio </w:t>
      </w:r>
      <w:r>
        <w:rPr>
          <w:rFonts w:ascii="Times New Roman" w:cs="Times New Roman" w:eastAsia="Times New Roman" w:hAnsi="Times New Roman"/>
          <w:sz w:val="24"/>
          <w:szCs w:val="24"/>
          <w:color w:val="auto"/>
          <w:vertAlign w:val="subscript"/>
        </w:rPr>
        <w:t>DM</w:t>
      </w:r>
      <w:r>
        <w:rPr>
          <w:rFonts w:ascii="Times New Roman" w:cs="Times New Roman" w:eastAsia="Times New Roman" w:hAnsi="Times New Roman"/>
          <w:sz w:val="18"/>
          <w:szCs w:val="18"/>
          <w:color w:val="auto"/>
        </w:rPr>
        <w:t>™ are trademarks or registered trademarks of Standard BioTools Inc. or its affiliates in the United States and/or other countries. Other service marks, trademarks and trade names referred to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11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r>
      <w:tr>
        <w:trPr>
          <w:trHeight w:val="4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38"/>
        </w:trPr>
        <w:tc>
          <w:tcPr>
            <w:tcW w:w="1020" w:type="dxa"/>
            <w:vAlign w:val="bottom"/>
          </w:tcPr>
          <w:p>
            <w:pPr>
              <w:spacing w:after="0"/>
              <w:rPr>
                <w:sz w:val="24"/>
                <w:szCs w:val="24"/>
                <w:color w:val="auto"/>
              </w:rPr>
            </w:pP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19"/>
        </w:trPr>
        <w:tc>
          <w:tcPr>
            <w:tcW w:w="1020" w:type="dxa"/>
            <w:vAlign w:val="bottom"/>
          </w:tcPr>
          <w:p>
            <w:pPr>
              <w:spacing w:after="0"/>
              <w:rPr>
                <w:sz w:val="24"/>
                <w:szCs w:val="24"/>
                <w:color w:val="auto"/>
              </w:rPr>
            </w:pP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73"/>
        </w:trPr>
        <w:tc>
          <w:tcPr>
            <w:tcW w:w="1020" w:type="dxa"/>
            <w:vAlign w:val="bottom"/>
          </w:tcPr>
          <w:p>
            <w:pPr>
              <w:spacing w:after="0"/>
              <w:rPr>
                <w:sz w:val="24"/>
                <w:szCs w:val="24"/>
                <w:color w:val="auto"/>
              </w:rPr>
            </w:pP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nine months ended September 30, 2024 and 2023</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71"/>
        </w:trPr>
        <w:tc>
          <w:tcPr>
            <w:tcW w:w="1020" w:type="dxa"/>
            <w:vAlign w:val="bottom"/>
          </w:tcPr>
          <w:p>
            <w:pPr>
              <w:spacing w:after="0"/>
              <w:rPr>
                <w:sz w:val="24"/>
                <w:szCs w:val="24"/>
                <w:color w:val="auto"/>
              </w:rPr>
            </w:pP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and nine months ended September 30, 2024 and</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r>
      <w:tr>
        <w:trPr>
          <w:trHeight w:val="398"/>
        </w:trPr>
        <w:tc>
          <w:tcPr>
            <w:tcW w:w="1020" w:type="dxa"/>
            <w:vAlign w:val="bottom"/>
          </w:tcPr>
          <w:p>
            <w:pPr>
              <w:spacing w:after="0"/>
              <w:rPr>
                <w:sz w:val="24"/>
                <w:szCs w:val="24"/>
                <w:color w:val="auto"/>
              </w:rPr>
            </w:pP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r>
      <w:tr>
        <w:trPr>
          <w:trHeight w:val="398"/>
        </w:trPr>
        <w:tc>
          <w:tcPr>
            <w:tcW w:w="1020" w:type="dxa"/>
            <w:vAlign w:val="bottom"/>
          </w:tcPr>
          <w:p>
            <w:pPr>
              <w:spacing w:after="0"/>
              <w:rPr>
                <w:sz w:val="24"/>
                <w:szCs w:val="24"/>
                <w:color w:val="auto"/>
              </w:rPr>
            </w:pP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5180" w:type="dxa"/>
            <w:vAlign w:val="bottom"/>
            <w:tcBorders>
              <w:left w:val="single" w:sz="8" w:color="0000FF"/>
            </w:tcBorders>
            <w:gridSpan w:val="6"/>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00" w:type="dxa"/>
            <w:vAlign w:val="bottom"/>
            <w:gridSpan w:val="9"/>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r>
      <w:tr>
        <w:trPr>
          <w:trHeight w:val="46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766445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697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33655</wp:posOffset>
            </wp:positionV>
            <wp:extent cx="307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2">
            <w:col w:w="10520" w:space="260"/>
            <w:col w:w="360"/>
          </w:cols>
          <w:pgMar w:left="380" w:top="980"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8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210,647</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51,704</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Short-term investments</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155,683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63,191</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35,317</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19,660</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Inventory</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42,644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20,533</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9,316</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453,607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158,215</w:t>
            </w: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Inventory, non-current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17,949</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receivable, non-current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41,982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24,187</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 net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30,264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30,663</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4,640</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2,285</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Acquired intangible assets, net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23,367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106,342</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106,317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681,539</w:t>
            </w:r>
          </w:p>
        </w:tc>
        <w:tc>
          <w:tcPr>
            <w:tcW w:w="260" w:type="dxa"/>
            <w:vAlign w:val="bottom"/>
          </w:tcPr>
          <w:p>
            <w:pPr>
              <w:spacing w:after="0"/>
              <w:rPr>
                <w:sz w:val="15"/>
                <w:szCs w:val="15"/>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323,067</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MEZZANINE EQUITY AND STOCKHOLDERS’ EQUITY (DEFICIT)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10,926</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9,236</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31,686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21,019</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6,122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4,323</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revenue, current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11,607</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grant income, current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3,532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3,612</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Term loan, current</w:t>
            </w:r>
          </w:p>
        </w:tc>
        <w:tc>
          <w:tcPr>
            <w:tcW w:w="220" w:type="dxa"/>
            <w:vAlign w:val="bottom"/>
          </w:tcPr>
          <w:p>
            <w:pPr>
              <w:spacing w:after="0"/>
              <w:rPr>
                <w:sz w:val="16"/>
                <w:szCs w:val="16"/>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Convertible notes, current</w:t>
            </w: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54,913</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54,530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120,615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109,327</w:t>
            </w: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Convertible notes, non-current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Term loan, non-current</w:t>
            </w:r>
          </w:p>
        </w:tc>
        <w:tc>
          <w:tcPr>
            <w:tcW w:w="220" w:type="dxa"/>
            <w:vAlign w:val="bottom"/>
          </w:tcPr>
          <w:p>
            <w:pPr>
              <w:spacing w:after="0"/>
              <w:rPr>
                <w:sz w:val="16"/>
                <w:szCs w:val="16"/>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28,140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30,374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revenue, non-current</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32,682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3,520</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grant income, non-current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8,119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10,755</w:t>
            </w:r>
          </w:p>
        </w:tc>
        <w:tc>
          <w:tcPr>
            <w:tcW w:w="10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192,206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159,865</w:t>
            </w:r>
          </w:p>
        </w:tc>
        <w:tc>
          <w:tcPr>
            <w:tcW w:w="100" w:type="dxa"/>
            <w:vAlign w:val="bottom"/>
          </w:tcPr>
          <w:p>
            <w:pPr>
              <w:spacing w:after="0"/>
              <w:rPr>
                <w:sz w:val="15"/>
                <w:szCs w:val="15"/>
                <w:color w:val="auto"/>
              </w:rPr>
            </w:pPr>
          </w:p>
        </w:tc>
      </w:tr>
      <w:tr>
        <w:trPr>
          <w:trHeight w:val="18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8)</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Mezzanine equity:</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2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5"/>
                <w:szCs w:val="15"/>
                <w:color w:val="auto"/>
              </w:rPr>
              <w:t>Redeemable preferred stock: $0.001 par value; zero and 256 shares authorized and issued and outstanding at September</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30, 2024 and December 31, 2023, respectively; aggregate liquidation preference of zero and $255,559 at September 30,</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2024 and December 31, 2023, respectively</w:t>
            </w:r>
          </w:p>
        </w:tc>
        <w:tc>
          <w:tcPr>
            <w:tcW w:w="2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311,253</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 (deficit):</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2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5"/>
                <w:szCs w:val="15"/>
                <w:color w:val="auto"/>
              </w:rPr>
              <w:t>Preferred stock: $0.001 par value, 10,000 and 9,744 shares authorized at September 30, 2024 and December 31, 2023,</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respectively; no shares issued and outstanding at September 30, 2024 and December 31, 2023</w:t>
            </w:r>
          </w:p>
        </w:tc>
        <w:tc>
          <w:tcPr>
            <w:tcW w:w="2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7720" w:type="dxa"/>
            <w:vAlign w:val="bottom"/>
          </w:tcPr>
          <w:p>
            <w:pPr>
              <w:ind w:left="200"/>
              <w:spacing w:after="0" w:line="158" w:lineRule="exact"/>
              <w:rPr>
                <w:sz w:val="20"/>
                <w:szCs w:val="20"/>
                <w:color w:val="auto"/>
              </w:rPr>
            </w:pPr>
            <w:r>
              <w:rPr>
                <w:rFonts w:ascii="Times New Roman" w:cs="Times New Roman" w:eastAsia="Times New Roman" w:hAnsi="Times New Roman"/>
                <w:sz w:val="15"/>
                <w:szCs w:val="15"/>
                <w:color w:val="auto"/>
              </w:rPr>
              <w:t>Common stock: $0.001 par value, 600,000 shares authorized at September 30, 2024 and 400,000 shares authorized at</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December 31, 2023; 390,841 and 83,364 shares issued at September 30, 2024 and December 31, 2023, respectively;</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372,261 and 80,232 shares outstanding at September 30, 2024 and December 31, 2023, respectively</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1,688,398</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860,816</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Pr>
          <w:p>
            <w:pPr>
              <w:spacing w:after="0"/>
              <w:rPr>
                <w:sz w:val="16"/>
                <w:szCs w:val="16"/>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(1,409 )</w:t>
            </w:r>
          </w:p>
        </w:tc>
        <w:tc>
          <w:tcPr>
            <w:tcW w:w="24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(2,221 )</w:t>
            </w: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2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(1,151,579 )</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(1,000,752 )</w:t>
            </w: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stock at cost: 18,580 and 3,132 shares at September 30, 2024 and December 31, 2023, respectively</w:t>
            </w:r>
          </w:p>
        </w:tc>
        <w:tc>
          <w:tcPr>
            <w:tcW w:w="220" w:type="dxa"/>
            <w:vAlign w:val="bottom"/>
          </w:tcPr>
          <w:p>
            <w:pPr>
              <w:spacing w:after="0"/>
              <w:rPr>
                <w:sz w:val="16"/>
                <w:szCs w:val="16"/>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(46,467 )</w:t>
            </w:r>
          </w:p>
        </w:tc>
        <w:tc>
          <w:tcPr>
            <w:tcW w:w="240" w:type="dxa"/>
            <w:vAlign w:val="bottom"/>
          </w:tcPr>
          <w:p>
            <w:pPr>
              <w:spacing w:after="0"/>
              <w:rPr>
                <w:sz w:val="16"/>
                <w:szCs w:val="16"/>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(5,977 )</w:t>
            </w:r>
          </w:p>
        </w:tc>
      </w:tr>
      <w:tr>
        <w:trPr>
          <w:trHeight w:val="20"/>
        </w:trPr>
        <w:tc>
          <w:tcPr>
            <w:tcW w:w="7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489,333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(148,051 )</w:t>
            </w:r>
          </w:p>
        </w:tc>
      </w:tr>
      <w:tr>
        <w:trPr>
          <w:trHeight w:val="182"/>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Total liabilities, mezzanine equity and stockholders’ equity (deficit)</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681,539</w:t>
            </w: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323,067</w:t>
            </w:r>
          </w:p>
        </w:tc>
        <w:tc>
          <w:tcPr>
            <w:tcW w:w="100" w:type="dxa"/>
            <w:vAlign w:val="bottom"/>
            <w:tcBorders>
              <w:top w:val="single" w:sz="8" w:color="CFF0FC"/>
            </w:tcBorders>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-5299710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-5299710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-4331970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-3098800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-2131695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-153670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revenue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127,714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204,776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(31,718 )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(21,172 )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(142,419 )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(55,214 )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(865 )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(26,820 )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(20,947 )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(104,512 )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(54,266 )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(104,813 )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(46,014 )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(150,827 )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Shares used in computing net loss per share attributable to common</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371,538</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79,152</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346,093</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78,967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-3801110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-3801110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-3801110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-3801110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-3176270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-3176270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-3176270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-1917065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-1917065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-1917065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-1292225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-1292225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-1292225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-975360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-975360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-975360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-658495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-316230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-299085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-316230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-299085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-299085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(104,813 )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(304 )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(403 )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(560 )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gain on investments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(398 )</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(26,847 )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(21,395 )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(104,001 )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(54,933 )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90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8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vMerge w:val="restart"/>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9"/>
              </w:rPr>
              <w:t>Accum.</w:t>
            </w:r>
          </w:p>
        </w:tc>
        <w:tc>
          <w:tcPr>
            <w:tcW w:w="180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21"/>
        </w:trPr>
        <w:tc>
          <w:tcPr>
            <w:tcW w:w="3200" w:type="dxa"/>
            <w:vAlign w:val="bottom"/>
          </w:tcPr>
          <w:p>
            <w:pPr>
              <w:spacing w:after="0"/>
              <w:rPr>
                <w:sz w:val="19"/>
                <w:szCs w:val="19"/>
                <w:color w:val="auto"/>
              </w:rPr>
            </w:pPr>
          </w:p>
        </w:tc>
        <w:tc>
          <w:tcPr>
            <w:tcW w:w="8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9"/>
                <w:szCs w:val="19"/>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 Loss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20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83,364</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860,816</w:t>
            </w:r>
          </w:p>
        </w:tc>
        <w:tc>
          <w:tcPr>
            <w:tcW w:w="2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(2,221 )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4"/>
                <w:szCs w:val="14"/>
                <w:color w:val="auto"/>
              </w:rPr>
              <w:t>(1,000,75</w:t>
            </w:r>
          </w:p>
        </w:tc>
        <w:tc>
          <w:tcPr>
            <w:tcW w:w="22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(3,132 )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(5,977 )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(148,051 )</w:t>
            </w: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04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Conversion of redeemable preferred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92,931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357,174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(46,014 )</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311,253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restricted stock, net of shares</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withheld</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(4,119 )</w:t>
            </w:r>
          </w:p>
        </w:tc>
        <w:tc>
          <w:tcPr>
            <w:tcW w:w="12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(11,051 )</w:t>
            </w:r>
          </w:p>
        </w:tc>
        <w:tc>
          <w:tcPr>
            <w:tcW w:w="140" w:type="dxa"/>
            <w:vAlign w:val="bottom"/>
          </w:tcPr>
          <w:p>
            <w:pPr>
              <w:spacing w:after="0"/>
              <w:rPr>
                <w:sz w:val="16"/>
                <w:szCs w:val="16"/>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(11,051 )</w:t>
            </w:r>
          </w:p>
        </w:tc>
        <w:tc>
          <w:tcPr>
            <w:tcW w:w="0" w:type="dxa"/>
            <w:vAlign w:val="bottom"/>
          </w:tcPr>
          <w:p>
            <w:pPr>
              <w:spacing w:after="0"/>
              <w:rPr>
                <w:sz w:val="1"/>
                <w:szCs w:val="1"/>
                <w:color w:val="auto"/>
              </w:rPr>
            </w:pPr>
          </w:p>
        </w:tc>
      </w:tr>
      <w:tr>
        <w:trPr>
          <w:trHeight w:val="57"/>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relinquished in litigation</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settlement</w:t>
            </w: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Merger consideration (1)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209,577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444,010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(32,157 )</w:t>
            </w:r>
          </w:p>
        </w:tc>
        <w:tc>
          <w:tcPr>
            <w:tcW w:w="10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(32,157 )</w:t>
            </w:r>
          </w:p>
        </w:tc>
        <w:tc>
          <w:tcPr>
            <w:tcW w:w="0" w:type="dxa"/>
            <w:vAlign w:val="bottom"/>
          </w:tcPr>
          <w:p>
            <w:pPr>
              <w:spacing w:after="0"/>
              <w:rPr>
                <w:sz w:val="1"/>
                <w:szCs w:val="1"/>
                <w:color w:val="auto"/>
              </w:rPr>
            </w:pPr>
          </w:p>
        </w:tc>
      </w:tr>
      <w:tr>
        <w:trPr>
          <w:trHeight w:val="186"/>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3200" w:type="dxa"/>
            <w:vAlign w:val="bottom"/>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March 31, 2024</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387,652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1,674,672</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(1,792 )</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(1,078,92</w:t>
            </w:r>
          </w:p>
        </w:tc>
        <w:tc>
          <w:tcPr>
            <w:tcW w:w="22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(7,251 )</w:t>
            </w:r>
          </w:p>
        </w:tc>
        <w:tc>
          <w:tcPr>
            <w:tcW w:w="12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(17,028 )</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577,316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restricted stock, net of shares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withheld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(327 )</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(326 )</w:t>
            </w:r>
          </w:p>
        </w:tc>
        <w:tc>
          <w:tcPr>
            <w:tcW w:w="0" w:type="dxa"/>
            <w:vAlign w:val="bottom"/>
          </w:tcPr>
          <w:p>
            <w:pPr>
              <w:spacing w:after="0"/>
              <w:rPr>
                <w:sz w:val="1"/>
                <w:szCs w:val="1"/>
                <w:color w:val="auto"/>
              </w:rPr>
            </w:pPr>
          </w:p>
        </w:tc>
      </w:tr>
      <w:tr>
        <w:trPr>
          <w:trHeight w:val="185"/>
        </w:trPr>
        <w:tc>
          <w:tcPr>
            <w:tcW w:w="3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(11,329 )</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(29,439 )</w:t>
            </w:r>
          </w:p>
        </w:tc>
        <w:tc>
          <w:tcPr>
            <w:tcW w:w="1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(29,439 )</w:t>
            </w: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(45,718 )</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(45,718 )</w:t>
            </w: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June 30, 2024</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389,703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1,682,480</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(1,500 )</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(1,124,64</w:t>
            </w:r>
          </w:p>
        </w:tc>
        <w:tc>
          <w:tcPr>
            <w:tcW w:w="22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(18,580 )</w:t>
            </w:r>
          </w:p>
        </w:tc>
        <w:tc>
          <w:tcPr>
            <w:tcW w:w="12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(46,467 )</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510,261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200" w:type="dxa"/>
            <w:vAlign w:val="bottom"/>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0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200" w:type="dxa"/>
            <w:vAlign w:val="bottom"/>
            <w:tcBorders>
              <w:top w:val="single" w:sz="8" w:color="CFF0FC"/>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Issuance of restricted stock, net of shares</w:t>
            </w: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withheld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(71 )</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r>
        <w:trPr>
          <w:trHeight w:val="185"/>
        </w:trPr>
        <w:tc>
          <w:tcPr>
            <w:tcW w:w="3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option exercises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(26,938 )</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(26,938 )</w:t>
            </w: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as of September 30, 2024</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390,841</w:t>
            </w:r>
          </w:p>
        </w:tc>
        <w:tc>
          <w:tcPr>
            <w:tcW w:w="2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4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1,688,398</w:t>
            </w:r>
          </w:p>
        </w:tc>
        <w:tc>
          <w:tcPr>
            <w:tcW w:w="2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(1,409 )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(1,151,57</w:t>
            </w:r>
          </w:p>
        </w:tc>
        <w:tc>
          <w:tcPr>
            <w:tcW w:w="22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(18,580 )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(46,467 )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489,333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04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-1009650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-992505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-1009650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-992505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-1009650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-992505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-1009650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-992505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-1009650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-992505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-1009650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-992505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-1009650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-992505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 xml:space="preserve">(1) Merger consideration included 26,367 shares of common stock that were issued to a related party. See Note 17, </w:t>
      </w:r>
      <w:r>
        <w:rPr>
          <w:rFonts w:ascii="Times New Roman" w:cs="Times New Roman" w:eastAsia="Times New Roman" w:hAnsi="Times New Roman"/>
          <w:sz w:val="14"/>
          <w:szCs w:val="14"/>
          <w:i w:val="1"/>
          <w:iCs w:val="1"/>
          <w:color w:val="auto"/>
        </w:rPr>
        <w:t>Related Parties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40" w:type="dxa"/>
            <w:vAlign w:val="bottom"/>
            <w:gridSpan w:val="4"/>
            <w:vMerge w:val="restart"/>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94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8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Accum.</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9"/>
              </w:rPr>
              <w:t>Accum.</w:t>
            </w:r>
          </w:p>
        </w:tc>
        <w:tc>
          <w:tcPr>
            <w:tcW w:w="120" w:type="dxa"/>
            <w:vAlign w:val="bottom"/>
          </w:tcPr>
          <w:p>
            <w:pPr>
              <w:spacing w:after="0"/>
              <w:rPr>
                <w:sz w:val="13"/>
                <w:szCs w:val="13"/>
                <w:color w:val="auto"/>
              </w:rPr>
            </w:pPr>
          </w:p>
        </w:tc>
        <w:tc>
          <w:tcPr>
            <w:tcW w:w="170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 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79,904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847,008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(1,896 )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(926,096 )</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(422 )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(563 )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(81,467 )</w:t>
            </w: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restricted stock, net of shares withheld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185"/>
        </w:trPr>
        <w:tc>
          <w:tcPr>
            <w:tcW w:w="3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(1,250 )</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(2,466 )</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(2,466 )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(16,843 )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(16,843 )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March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850,063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(1,328 )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(942,939 )</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(1,672 )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(3,029 )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(97,153 )</w:t>
            </w: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restricted stock, net of shares withheld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85"/>
        </w:trPr>
        <w:tc>
          <w:tcPr>
            <w:tcW w:w="3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(1,209 )</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(2,375 )</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(2,375 )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(17,040 )</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(17,040 )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82,002</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853,466</w:t>
            </w:r>
          </w:p>
        </w:tc>
        <w:tc>
          <w:tcPr>
            <w:tcW w:w="2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(1,551 )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(959,979 )</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(2,881 )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(5,404 )</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(113,387 )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20" w:type="dxa"/>
            <w:vAlign w:val="bottom"/>
            <w:shd w:val="clear" w:color="auto" w:fill="CFF0FC"/>
          </w:tcPr>
          <w:p>
            <w:pPr>
              <w:ind w:left="200"/>
              <w:spacing w:after="0" w:line="119" w:lineRule="exact"/>
              <w:rPr>
                <w:sz w:val="20"/>
                <w:szCs w:val="20"/>
                <w:color w:val="auto"/>
              </w:rPr>
            </w:pPr>
            <w:r>
              <w:rPr>
                <w:rFonts w:ascii="Times New Roman" w:cs="Times New Roman" w:eastAsia="Times New Roman" w:hAnsi="Times New Roman"/>
                <w:sz w:val="13"/>
                <w:szCs w:val="13"/>
                <w:color w:val="auto"/>
              </w:rPr>
              <w:t>Issuance of restricted stock, net of shares withheld</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for taxes, and other</w:t>
            </w:r>
          </w:p>
        </w:tc>
        <w:tc>
          <w:tcPr>
            <w:tcW w:w="7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option exercise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(176 )</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(399 )</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(399 )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(20,997 )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(20,997 )</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(398 )</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(398 )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82,527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856,926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(1,949 )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(980,976 )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(3,057 )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(5,803 )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(131,720 )</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-1052830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-1052830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-1052830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-1052830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-1052830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-1052830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-1052830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(104,813 )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Bargain purchase gain</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(25,213 )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items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(14,910 )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(2,718 )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(12,887 )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(3,572 )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(2,802 )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(4,433 )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(129,395 )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(29,226 )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acquired in Merger</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(226,612 )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(55,857 )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91,964</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(4,973 )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(2,753 )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337,448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(8,192 )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term loan fee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(40,490 )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(5,240 )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(48,096 )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(5,806 )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(518 )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(1,874 )</w:t>
            </w: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211,938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 transferred in connection with Merger (1)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444,219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right-of-use assets and lease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-4095115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-4095115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-3153410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-3153410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-1903095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-1903095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-1577975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-1577975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-1261110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-1261110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 xml:space="preserve">(1) Equity consideration transferred in connection with the Merger included 26,367 shares of common stock that were issued to a related party. See Note 17, </w:t>
      </w:r>
      <w:r>
        <w:rPr>
          <w:rFonts w:ascii="Times New Roman" w:cs="Times New Roman" w:eastAsia="Times New Roman" w:hAnsi="Times New Roman"/>
          <w:sz w:val="14"/>
          <w:szCs w:val="14"/>
          <w:i w:val="1"/>
          <w:iCs w:val="1"/>
          <w:color w:val="auto"/>
        </w:rPr>
        <w:t>Related Parties</w:t>
      </w:r>
      <w:r>
        <w:rPr>
          <w:rFonts w:ascii="Times New Roman" w:cs="Times New Roman" w:eastAsia="Times New Roman" w:hAnsi="Times New Roman"/>
          <w:sz w:val="14"/>
          <w:szCs w:val="14"/>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Standard BioTools Inc. ("Standard BioTools" or the "Company") is a Delaware corporation headquartered in South San Francisco, California. The Company has an established portfolio of essential technologies that assist biomedical researchers develop medicines faster and better. The Company has created high resolution instruments designed to provide reliable and repeatable insights in health and disease, through the use of proprietary mass cytometry and microfluidics technologies, which are useful in proteomics and genomics, to help transform scientific discoveries into better patient outcomes. Additionally, the Company has an integrated proteomics platform ("SomaScan® Platform"), capable of robust, high throughput proteomics analysis with broad proteome coverage, low limits of detection, and high reproducibility.</w:t>
      </w:r>
    </w:p>
    <w:p>
      <w:pPr>
        <w:spacing w:after="0" w:line="7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September 30, 2024, results of operations for the three and nine months ended September 30, 2024 and 2023, and cash flows for the nine months ended September 30, 2024 and 2023. The condensed consolidated balance sheet at December 31, 2023 was derived from audited annual financial statements but does not contain all of the footnote disclosures from the annual financial statements. Certain prior period amounts have been reclassified to conform to the current period presentation.</w:t>
      </w:r>
    </w:p>
    <w:p>
      <w:pPr>
        <w:spacing w:after="0" w:line="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2023 ("2023 Financial Statements") included in the Company's Annual Report on Form 10-K for the fiscal year ended December 31, 2023, filed with the SEC on March 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results are not necessarily indicative of the results to be expected for the full year ending December 31,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spacing w:after="0" w:line="1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the fair value of intangible assets acquired in business combinations.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Charges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Restructuring and related charges include employee separation costs, contract termination costs, and other costs associated with implementing restructuring plans. Employee separation costs principally consist of one-time termination benefits and contractual</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termination benefits for severance, other termination benefit costs, and stock-based compensation expense for the acceleration of equity awards.</w:t>
      </w:r>
    </w:p>
    <w:p>
      <w:pPr>
        <w:spacing w:after="0" w:line="3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records restructuring charges based on whether the termination benefits are provided under an ongoing benefit arrangement or under a one-time benefit arrangement. The Company accounts for ongoing benefit arrangements, such as those documented by employment agreements, in accordance with ASC 712, </w:t>
      </w:r>
      <w:r>
        <w:rPr>
          <w:rFonts w:ascii="Times New Roman" w:cs="Times New Roman" w:eastAsia="Times New Roman" w:hAnsi="Times New Roman"/>
          <w:sz w:val="18"/>
          <w:szCs w:val="18"/>
          <w:i w:val="1"/>
          <w:iCs w:val="1"/>
          <w:color w:val="auto"/>
        </w:rPr>
        <w:t>Compensation - Nonretirement Postemployment Benefits</w:t>
      </w:r>
      <w:r>
        <w:rPr>
          <w:rFonts w:ascii="Times New Roman" w:cs="Times New Roman" w:eastAsia="Times New Roman" w:hAnsi="Times New Roman"/>
          <w:sz w:val="18"/>
          <w:szCs w:val="18"/>
          <w:color w:val="auto"/>
        </w:rPr>
        <w:t xml:space="preserve"> ("ASC 712"). Under ASC 712, liabilities for post-employment benefits are recorded at the time the obligations are probable of being incurred and can be reasonably estimated. The Company accounts for one-time employment benefit arrangements in accordance with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One-time termination benefits expenses are recorded at the date the entity notifies the employee, unless the employee must provide future service, in which case the benefits are expensed ratably over the future service period. Other associated costs are recognized in the period in which the liability is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117" w:lineRule="exact"/>
        <w:rPr>
          <w:sz w:val="20"/>
          <w:szCs w:val="20"/>
          <w:color w:val="auto"/>
        </w:rPr>
      </w:pPr>
    </w:p>
    <w:p>
      <w:pPr>
        <w:ind w:left="760" w:right="320"/>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When the fair value of net assets acquired and liabilities assumed exceeds the purchase price, the Company records a gain on bargain purchase in earnings in the period of acquisition. Determining the fair value of assets acquired and liabilities assumed in a business combination requires management to use significant judgment and estimates, especially with respect to intangible assets. Transaction costs, including legal, accounting, and integration expenses, are expensed as incurred and are included in operating expenses in the Company's condensed consolidated statements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capitalizes certain internal and external costs related to the acquisition and development of internal-use software or cloud computing arrangements during the application development stages of projects. The costs incurred for development of software intended for internal use and cloud computing arrangements are capitalized in accordance with authoritative accounting guidance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costs are included in property and equipment, net of accumulated depreciation and amortization in the condensed consolidated balance sheets.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When the software is ready for its intended use, the Company amortizes these costs using the straight-line method over the estimated useful life of the asset, typically three years, or, for cloud computing service arrangements, over the term of the hosting arrangement. Costs incurred during the preliminary project or the post-implementation/operation stages of the project are expensed as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costs incurred for the development of computer software to be sold, leased, or otherwise marketed are capitalized in accordance with authoritative accounting guidance, when technological feasibility has been established. Technological feasibility generally occurs when all planning, design, coding and testing activities are completed that are necessary to establish that the product can be produced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1" w:name="page12"/>
    <w:bookmarkEnd w:id="11"/>
    <w:p>
      <w:pPr>
        <w:ind w:right="80"/>
        <w:spacing w:after="0" w:line="265" w:lineRule="auto"/>
        <w:rPr>
          <w:sz w:val="20"/>
          <w:szCs w:val="20"/>
          <w:color w:val="auto"/>
        </w:rPr>
      </w:pPr>
      <w:r>
        <w:rPr>
          <w:rFonts w:ascii="Times New Roman" w:cs="Times New Roman" w:eastAsia="Times New Roman" w:hAnsi="Times New Roman"/>
          <w:sz w:val="18"/>
          <w:szCs w:val="18"/>
          <w:color w:val="auto"/>
        </w:rPr>
        <w:t>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Capitalized software costs include direct labor and related expenses for software development for new products. Capitalized software costs are included in other long-term assets in the condensed consolidated balance sheets. Amortization of capitalized software development costs begins when the product is available for general release. Amortization is provided on a product-by-product basis using the straight-line method over periods of three years. Unamortized capitalized software development costs determined to be in excess of the net realizable value of the product are expensed immediately. 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w:t>
      </w:r>
    </w:p>
    <w:p>
      <w:pPr>
        <w:spacing w:after="0" w:line="17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1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 generates product revenue from the sale of instruments and consumables, including Integrated Fluidic Circuits and reagents.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60 days.</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Revenue from the sales of certain instruments that involve significant customization, which primarily includes sales of the SomaScan® equipment bundle, is recognized over time as the Company's performance creates an asset that the customer simultaneously controls (the instrument installation and customization occurs at the customer site). Revenue is recognized based on the progress made toward achieving the performance obligation utilizing an input method of costs incurred relative to total estimated costs.</w:t>
      </w:r>
    </w:p>
    <w:p>
      <w:pPr>
        <w:spacing w:after="0" w:line="182"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The Company sometimes perform shipping and handling activities after control of the product passes to the customer. The Company has made an accounting policy election to account for these activities as product fulfillment activities rather than as separate performance obligations.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119"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The Company generates services revenue from the sale of lab services and field services. Lab services revenue is generated by performing the SomaScan® assay on customer samples to generate data on protein biomarkers. Lab services revenue is recognized at a point in time when the analysis data or report is delivered to the customer. SomaScan® services are sold at a fixed price per sample without any volume discounts, rebates, or refunds. The delivery of each assay data report is a separate performance obligation.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4" w:right="35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Field services revenue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 service on a monthly, quarterly, annual or multi-year basis. Payments collected in advance of service are reported on the Company's condensed consolidated balance sheets as deferred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From time to time the Company enters into collaboration arrangements in which both parties are active participants in the arrangement and are exposed to the significant risks and rewards of the collaboration, in which case the collaboration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With such collaborations, the Company determines if any obligations are an output of the Company's ordinary activities in exchange for consideration, and if so, the Company applies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such activities.</w:t>
      </w:r>
    </w:p>
    <w:p>
      <w:pPr>
        <w:spacing w:after="0" w:line="18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For other payments received from collaborative partners for other collaboration activities, which primarily include research and development activities, the Company analogizes to ASC 606. Revenue from such activities is recognized as the Company satisfies its obligations.</w:t>
      </w:r>
    </w:p>
    <w:p>
      <w:pPr>
        <w:spacing w:after="0" w:line="16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The Company receives grants from various entities to perform research and development activities over contractually defined periods. Grant revenue is not accounted for under ASC 606, as the grant agreement is not with a customer. As there is no authoritative GAAP guidance for grants awarded to for-profit entities, the Company has applied the guidance in ASC 958,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xml:space="preserve"> by analogy. Revenue is generally recognized provided that the conditions under which the grants were provided have been met and any remaining performance obligations are perfunctory.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described in </w:t>
      </w:r>
      <w:r>
        <w:rPr>
          <w:rFonts w:ascii="Times New Roman" w:cs="Times New Roman" w:eastAsia="Times New Roman" w:hAnsi="Times New Roman"/>
          <w:sz w:val="18"/>
          <w:szCs w:val="18"/>
          <w:i w:val="1"/>
          <w:iCs w:val="1"/>
          <w:color w:val="auto"/>
        </w:rPr>
        <w:t>Note 2, Business Combination</w:t>
      </w:r>
      <w:r>
        <w:rPr>
          <w:rFonts w:ascii="Times New Roman" w:cs="Times New Roman" w:eastAsia="Times New Roman" w:hAnsi="Times New Roman"/>
          <w:sz w:val="18"/>
          <w:szCs w:val="18"/>
          <w:color w:val="auto"/>
        </w:rPr>
        <w:t>, the Company assumed warrant liabilities for the warrants issued in connection with the initial public offering CM Life Sciences II Inc ("CMLS II"), the predecessor company of SomaLogic, Inc. ("SomaLogic"). CMLS II issued 5,519,991 warrants (the “Public Warrants”) to purchase shares of SomaLogic common stock, par value $0.0001 per share ("SomaLogic Common Stock"), at $11.50 per share. Simultaneously, with the consummation of the CMLS II initial public offering, CMLS II issued 5,013,333 warrants through a private placement (the “Private Placement Warrants”, and together with the Public Warrants, the “Warrants”) to purchase shares of SomaLogic Common Stock at $11.50 per share. As of January 5, 2024 (the "Closing Date"), the Warrants converted into the right to receive, upon exercise of such Warrant, 1.11 shares of the Company's common stock for each share of SomaLogic Common Stock previously underlying the Warrants. The Public Warrants are no longer publicly traded and are now identical to the Private Placement Warrants.</w:t>
      </w:r>
    </w:p>
    <w:p>
      <w:pPr>
        <w:spacing w:after="0" w:line="1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Warrants are classified as liabilities on the condensed consolidated balance sheet as of September 30, 2024 as these instruments are precluded from being indexed to the Company's own stock given that the terms allow for a settlement adjustment that does not meet the scope for the fixed-for-fixed exception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Since the Warrants meet the definition of a derivative under ASC 815-40, the Company recorded these warrants as long-term liabilities at fair value as of the Closing Date, with subsequent changes in fair value recognized within other income (expense), net in the condensed consolidated statement of operations for the three and nine months ended September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 manages its business through two reportable operating segments: proteomics and genomics. Segment information is consistent with how management reviews the business, makes investing and resource allocation decisions and assesses performance. The Company's chief operating decision maker ("CODM"), its chief executive officer, assesses performance of operating segments and determines the allocation of resources based primarily on segment operating loss.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3" w:name="page14"/>
    <w:bookmarkEnd w:id="13"/>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Changes and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 Improvements to Reportable Segment Disclosures</w:t>
      </w:r>
      <w:r>
        <w:rPr>
          <w:rFonts w:ascii="Times New Roman" w:cs="Times New Roman" w:eastAsia="Times New Roman" w:hAnsi="Times New Roman"/>
          <w:sz w:val="18"/>
          <w:szCs w:val="18"/>
          <w:color w:val="auto"/>
        </w:rPr>
        <w:t>, which requires disclosure of more detailed information about a reportable segment’s expenses. The new standard is effective for fiscal years beginning after December 15, 2023 and interim periods beginning after December 15, 2024. The amendments must be applied retrospectively, and early adoption is permitted. The Company expects to adopt ASU 2023-07 in its Annual Report on Form 10-K for the year ended December 31, 2024, and expects to include additional segment disclosures as a result of adoption.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Improvements to Income Tax Disclosures</w:t>
      </w:r>
      <w:r>
        <w:rPr>
          <w:rFonts w:ascii="Times New Roman" w:cs="Times New Roman" w:eastAsia="Times New Roman" w:hAnsi="Times New Roman"/>
          <w:sz w:val="18"/>
          <w:szCs w:val="18"/>
          <w:color w:val="auto"/>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impact of adoption on its income tax disclosures; however, adoption will not impact the Company's results of operations.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No. 2024-03, Disaggregation of Income Statement Expenses</w:t>
      </w:r>
      <w:r>
        <w:rPr>
          <w:rFonts w:ascii="Times New Roman" w:cs="Times New Roman" w:eastAsia="Times New Roman" w:hAnsi="Times New Roman"/>
          <w:sz w:val="18"/>
          <w:szCs w:val="18"/>
          <w:color w:val="auto"/>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is effective for fiscal years beginning after December 15, 2026, with early adoption permitted, and may be applied retrospectively or prospectively. The Company is currently evaluating the impact of this standard on its financial statement disclosures.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w:t>
      </w:r>
    </w:p>
    <w:p>
      <w:pPr>
        <w:spacing w:after="0" w:line="229"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On the Closing Date, the Company completed the merger (the "Merger") with SomaLogic. As a result, SomaLogic and its subsidiaries became wholly owned subsidiaries of Standard BioTools. Upon completion of the Merger, each share of SomaLogic common stock, par value $0.0001 per share (the "SomaLogic Common Stock"), was exchanged for 1.11 shares of the Company's common stock, par value $0.001 per share. The fair value of the Company's common stock provided in exchange for SomaLogic Common Stock was approximately $419.2 million.</w:t>
      </w:r>
    </w:p>
    <w:p>
      <w:pPr>
        <w:spacing w:after="0" w:line="1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Purchase consideration also included replacement of equity awards attributable to pre-combination services. The acquisition-date fair value of consideration transferred in the Merger totaled approximately $444.2 million, comprising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SomaLogic Common Stock issued and outstanding as of January 5, 2024</w:t>
            </w:r>
          </w:p>
        </w:tc>
        <w:tc>
          <w:tcPr>
            <w:tcW w:w="6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exchange ratio</w:t>
            </w: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Standard BioTools common stock issued to SomaLogic stockholders</w:t>
            </w: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BioTools common stock price at close of Merger</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Standard BioTools common stock issued to SomaLogic stockholders</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Standard BioTools replacement equity awards attributable to pre-combination service</w:t>
            </w: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Fair value of restricted shares subject to service conditions</w:t>
            </w:r>
          </w:p>
        </w:tc>
        <w:tc>
          <w:tcPr>
            <w:tcW w:w="6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(1,858 )</w:t>
            </w:r>
          </w:p>
        </w:tc>
        <w:tc>
          <w:tcPr>
            <w:tcW w:w="0" w:type="dxa"/>
            <w:vAlign w:val="bottom"/>
          </w:tcPr>
          <w:p>
            <w:pPr>
              <w:spacing w:after="0"/>
              <w:rPr>
                <w:sz w:val="1"/>
                <w:szCs w:val="1"/>
                <w:color w:val="auto"/>
              </w:rPr>
            </w:pPr>
          </w:p>
        </w:tc>
      </w:tr>
      <w:tr>
        <w:trPr>
          <w:trHeight w:val="234"/>
        </w:trPr>
        <w:tc>
          <w:tcPr>
            <w:tcW w:w="9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444,219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9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9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300"/>
        <w:spacing w:after="0" w:line="260" w:lineRule="auto"/>
        <w:rPr>
          <w:sz w:val="20"/>
          <w:szCs w:val="20"/>
          <w:color w:val="auto"/>
        </w:rPr>
      </w:pPr>
      <w:r>
        <w:rPr>
          <w:rFonts w:ascii="Times New Roman" w:cs="Times New Roman" w:eastAsia="Times New Roman" w:hAnsi="Times New Roman"/>
          <w:sz w:val="18"/>
          <w:szCs w:val="18"/>
          <w:color w:val="auto"/>
        </w:rPr>
        <w:t>The Company accounted for the Merger as a business combination, using the acquisition method of accounting in accordance with ASC 805. The identifiable assets acquired and liabilities assumed of SomaLogic were recorded at their estimated fair values as of the acquisition date and consolidated with those of the Company. The following table reflects the preliminary allocation of consideration transferred to the identifiable assets acquired and liabilities assumed based on the estimated fair values as of the Closing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8"/>
        </w:trPr>
        <w:tc>
          <w:tcPr>
            <w:tcW w:w="9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148,305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inventory</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tcPr>
          <w:p>
            <w:pPr>
              <w:spacing w:after="0"/>
              <w:rPr>
                <w:sz w:val="20"/>
                <w:szCs w:val="20"/>
                <w:color w:val="auto"/>
              </w:rPr>
            </w:pPr>
          </w:p>
        </w:tc>
      </w:tr>
      <w:tr>
        <w:trPr>
          <w:trHeight w:val="240"/>
        </w:trPr>
        <w:tc>
          <w:tcPr>
            <w:tcW w:w="9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533,287</w:t>
            </w:r>
          </w:p>
        </w:tc>
        <w:tc>
          <w:tcPr>
            <w:tcW w:w="100" w:type="dxa"/>
            <w:vAlign w:val="bottom"/>
            <w:shd w:val="clear" w:color="auto" w:fill="CFF0FC"/>
          </w:tcPr>
          <w:p>
            <w:pPr>
              <w:spacing w:after="0"/>
              <w:rPr>
                <w:sz w:val="20"/>
                <w:szCs w:val="20"/>
                <w:color w:val="auto"/>
              </w:rPr>
            </w:pP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6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 liabilities</w:t>
            </w:r>
          </w:p>
        </w:tc>
        <w:tc>
          <w:tcPr>
            <w:tcW w:w="6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7"/>
        </w:trPr>
        <w:tc>
          <w:tcPr>
            <w:tcW w:w="9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63,855</w:t>
            </w:r>
          </w:p>
        </w:tc>
        <w:tc>
          <w:tcPr>
            <w:tcW w:w="100" w:type="dxa"/>
            <w:vAlign w:val="bottom"/>
          </w:tcPr>
          <w:p>
            <w:pPr>
              <w:spacing w:after="0"/>
              <w:rPr>
                <w:sz w:val="21"/>
                <w:szCs w:val="21"/>
                <w:color w:val="auto"/>
              </w:rPr>
            </w:pPr>
          </w:p>
        </w:tc>
      </w:tr>
      <w:tr>
        <w:trPr>
          <w:trHeight w:val="250"/>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on bargain purchase</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(25,213 )</w:t>
            </w:r>
          </w:p>
        </w:tc>
      </w:tr>
      <w:tr>
        <w:trPr>
          <w:trHeight w:val="20"/>
        </w:trPr>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-3938270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exceeded the fair value of the consideration transferred, resulting in a bargain purchase gain. Before recognizing a gain on a bargain purchase, management reassessed the methods used in the acquisition accounting and verified that management had identified all of the assets acquired and all of the liabilities assumed, and that there were no additional assets or liabilities to be considered. Management also reassessed the procedures used to measure amounts recognized at the Closing Date to ensure that the measurements reflected all consideration transferred based on available information as of the Closing Date. Management determined that the bargain purchase gain was primarily attributable to a rapid decline in the price of the Company's common stock in the days following the announcement of the Merger, which persisted through the close of the Merger. The bargain purchase gain is separately stated below income from operations in the accompanying condensed consolidated statements of operations for the nine months ended September 30, 2024.</w:t>
      </w:r>
    </w:p>
    <w:p>
      <w:pPr>
        <w:spacing w:after="0" w:line="18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preliminary fair value estimates of the net assets acquired are based upon preliminary calculations and valuations and are subject to change as the Company obtains additional information during the measurement period (up to one year from the Closing Date).</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acquired consisted of developed technology, customer relationships, and tradename. The fair values of the developed technology and customer relationships were estimated using variations of the multi-period excess earnings method, which isolates the net earnings attributable to the asset being measured. The fair value of the SomaLogic trade name was estimated using the relief-from-royalty method, which determines the present value of license fees avoided by owning the trade name. The useful lives of acquired intangibles was estimated based on the contractual terms or period over which approximately 85% to 90% of the cumulative discounted cash flows would be realized, depending on the nature of the asset. The valuation of the intangible assets acquired in connection with the Merger, along with their estimated useful lives, is as follows (in thousands):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years</w:t>
            </w:r>
          </w:p>
        </w:tc>
      </w:tr>
      <w:tr>
        <w:trPr>
          <w:trHeight w:val="238"/>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years</w:t>
            </w:r>
          </w:p>
        </w:tc>
      </w:tr>
      <w:tr>
        <w:trPr>
          <w:trHeight w:val="232"/>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fair value of intangible assets acquired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As a result of the Merger, the Company incurred $1.9 million of transaction bonuses recorded in selling, general, and administrative expenses on the condensed consolidated statement of operations. Additionally, the Company incurred $12.3 million of acquisition-related transaction costs reflected in transaction and integration expenses on the condensed consolidated statement of operations for the nine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Results</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the Company and SomaLogic, as if the companies were combined as of January 1, 2023.</w:t>
      </w:r>
    </w:p>
    <w:p>
      <w:pPr>
        <w:spacing w:after="0" w:line="16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for the nine months ended September 30, 2024 combines the Company's financial results for the nine months ended September 30, 2024 and the historical results of SomaLogic for the 5-day period ended on the Closing Date. The unaudited pro forma financial information for the three and nine months ended September 30, 2023 combines the historical results of the Company and SomaLogic for their respective three and nine-month periods ended September 30, 2023. The pro forma financial information for the three and nine months ended September 30, 2023 has been adjusted to include certain nonrecurring impacts associated with the Merger, including the bargain purchase gain and transaction costs. These same impacts have been eliminated from the pro forma financial information for the nine months ended September 30, 2024.</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as presented below is for informational purposes only and is not necessarily indicative of the results of operations that would have been achieved if the acquisitions had taken place on January 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3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128,359</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141,047</w:t>
            </w:r>
          </w:p>
        </w:tc>
        <w:tc>
          <w:tcPr>
            <w:tcW w:w="100" w:type="dxa"/>
            <w:vAlign w:val="bottom"/>
            <w:shd w:val="clear" w:color="auto" w:fill="CFF0FC"/>
          </w:tcPr>
          <w:p>
            <w:pPr>
              <w:spacing w:after="0"/>
              <w:rPr>
                <w:sz w:val="20"/>
                <w:szCs w:val="20"/>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(26,938 )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(41,204 )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(134,607 )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(109,000 )</w:t>
            </w:r>
          </w:p>
        </w:tc>
      </w:tr>
      <w:tr>
        <w:trPr>
          <w:trHeight w:val="548"/>
        </w:trPr>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6" w:name="page17"/>
    <w:bookmarkEnd w:id="16"/>
    <w:p>
      <w:pPr>
        <w:ind w:right="240"/>
        <w:spacing w:after="0" w:line="265" w:lineRule="auto"/>
        <w:rPr>
          <w:sz w:val="20"/>
          <w:szCs w:val="20"/>
          <w:color w:val="auto"/>
        </w:rPr>
      </w:pPr>
      <w:r>
        <w:rPr>
          <w:rFonts w:ascii="Times New Roman" w:cs="Times New Roman" w:eastAsia="Times New Roman" w:hAnsi="Times New Roman"/>
          <w:sz w:val="18"/>
          <w:szCs w:val="18"/>
          <w:color w:val="auto"/>
        </w:rPr>
        <w:t>The results of SomaLogic have been consolidated with the Company's results since the Closing Date. For the period of January 6, 2024 to September 30, 2024, SomaLogic contributed revenue and loss of $61.5 million and $30.6 million, respectively. For the three months ended September 30, 2024, SomaLogic contributed revenue and loss of $22.9 million and $1.6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and Geographic Area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 by Product Type and Geographic Area</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 and nine months ended September 30, 2024 and 2023, respectively, based on product type and the geographic location of customers’ facilities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Consumables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product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 services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Field services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tcPr>
          <w:p>
            <w:pPr>
              <w:spacing w:after="0"/>
              <w:rPr>
                <w:sz w:val="20"/>
                <w:szCs w:val="20"/>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77,082</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127,714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23,751</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32,975</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127,714</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-2319655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-2319655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-2319655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-1694815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-1694815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-1694815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-1052830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-1035685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-1052830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-1035685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-1052830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-1035685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Illumina Cambridge, Ltd.</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Company assumed a multi-year arrangement with Illumina Cambridge, Ltd. ("Illumina"), originally entered into by SomaLogic and Illumina in December 2021 (the "Illumina Agreement"), to jointly develop and commercialize co-branded kits that will combine Illumina's Next Generation Sequencing ("NGS") technology with SomaScan® technology (the "Co-Branded Kits"). Pursuant to the Illumina Agreement, SomaLogic received a non-refundable upfront payment of $30.0 million in January 2022. Subsequent to executing the Illumina Agreement, Illumina paid an additional $0.5 million to purchase the equipment, supplies and training necessary to run the SomaScan® assay at their facilities, representing a modification to the Illumina Agreement. As of the Closing Date, the Company determined that the transaction price of the Illumina Agreement was $30.5 million. Subsequent to commercialization of the Co-Branded Kits, the Company is entitled to receive $124.5 million of minimum guaranteed royalties through the term of the Illumina Agreement. No royalties were included in the Illumina transaction price as probability of commercialization had not been achieved as of the Closing Date.</w:t>
      </w:r>
    </w:p>
    <w:p>
      <w:pPr>
        <w:spacing w:after="0" w:line="18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Subsequent to commercialization of the Co-Branded Kits, Illumina has the right to purchase SOMAmer reagents below SSP through the remaining term of the Illumina Agreement, which will continue for approximately 8 years following commercialization. Illumina's option to purchase SOMAmer reagents below SSP for this period represents a significant material right (the "Material Right"). As of the Closing Date, the Company allocated $30.4 million of the Illumina transaction price to the Material Right, which will be recognized as revenue as Illumina purchases SOMAmer reagents post commercialization.</w:t>
      </w:r>
    </w:p>
    <w:p>
      <w:pPr>
        <w:spacing w:after="0" w:line="1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the Company determined that commercialization of the Co-Branded Kits is probable due to the launch of an early-access program, and adjusted the transaction price to include $127.9 million of royalties expected to be received from 2025 through 2032. The Company allocated $0.4 million of the adjusted transaction price to satisfy performance obligations, and recognized that amount as revenue on a cumulative catch-up basis. The total transaction price of the Illumina Agreement as adjusted is $158.4 million. Substantially all of the transaction price is allocated to the Material Right, which the Company expects to recognize as revenue over an 8-year period from 2025 through 2032.</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NEC Corporation</w:t>
      </w:r>
    </w:p>
    <w:p>
      <w:pPr>
        <w:spacing w:after="0" w:line="2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Additionally, in connection with the Merger, the Company assumed a joint development and commercialization agreement (the "JDCA") with NEC Solution Innovators, Ltd. ("NEC"), originally entered into by SomaLogic and NEC in March 2020, to develop and commercialize SomaScan® services in Japan. The JDCA is within the scope of ASC 808 as both companies are active participants and are exposed to significant rewards and risks dependent on commercial failure or success, and is accounted for by analogy to ASC 606.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the Company assumed certain contract liabilities and recorded $1.8 million of deferred revenue as of the Closing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JDCA, the Company was entitled to receive $2.0 million in exchange for research and development services, which was received in April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deferred revenue related to the JDCA was $1.5 million, which is expected to be fully recognized by March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England Biolabs, Inc.</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Also in connection with the Merger, the Company assumed a non-exclusive licensing agreement with New England Biolabs, Inc. ("NEB"), originally entered into by SomaLogic and NEB in September 2022 (the "License Agreement"), whereby the Company provides a license to use certain proprietary information and know-how relating to SomaLogic's aptamer technology. Under the License Agreement, the Company is guaranteed fixed minimum royalties of $8.7 million to be received through September 2025. No revenue related to the guaranteed fixed minimum royalties will be recognized, as all revenue related to the receivable was recognized by SomaLogic prior to the Merger. Any revenue above the guaranteed fixed minimum royalties will be recognized in the period in which the subsequent sale or usage has occurred. As of September 30, 2024, royalties receivable related to this agreement were $8.2 million, including a current and non-current portion of $4.8 million and $3.4 million,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Unfulfilled Performance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deferred revenue is as follows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NEC</w:t>
            </w:r>
          </w:p>
        </w:tc>
        <w:tc>
          <w:tcPr>
            <w:tcW w:w="18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Illumina</w:t>
            </w:r>
          </w:p>
        </w:tc>
        <w:tc>
          <w:tcPr>
            <w:tcW w:w="240" w:type="dxa"/>
            <w:vAlign w:val="bottom"/>
          </w:tcPr>
          <w:p>
            <w:pPr>
              <w:spacing w:after="0"/>
              <w:rPr>
                <w:sz w:val="16"/>
                <w:szCs w:val="16"/>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6"/>
                <w:szCs w:val="16"/>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at December 31, 2023</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100" w:type="dxa"/>
            <w:vAlign w:val="bottom"/>
            <w:shd w:val="clear" w:color="auto" w:fill="CFF0FC"/>
          </w:tcPr>
          <w:p>
            <w:pPr>
              <w:spacing w:after="0"/>
              <w:rPr>
                <w:sz w:val="20"/>
                <w:szCs w:val="20"/>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assumed in connection with merger</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w:t>
            </w:r>
          </w:p>
        </w:tc>
        <w:tc>
          <w:tcPr>
            <w:tcW w:w="100" w:type="dxa"/>
            <w:vAlign w:val="bottom"/>
          </w:tcPr>
          <w:p>
            <w:pPr>
              <w:spacing w:after="0"/>
              <w:rPr>
                <w:sz w:val="20"/>
                <w:szCs w:val="20"/>
                <w:color w:val="auto"/>
              </w:rPr>
            </w:pPr>
          </w:p>
        </w:tc>
      </w:tr>
      <w:tr>
        <w:trPr>
          <w:trHeight w:val="215"/>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revenue from beginning or assumed deferred 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(1,247 )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(10,899 )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(12,552 )</w:t>
            </w: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the period, net of revenue recognized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at September 30, 2024</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recognize revenue from unfulfilled performance obligations associated with service contracts that were partially completed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in the following periods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 w:type="dxa"/>
            <w:vAlign w:val="bottom"/>
          </w:tcPr>
          <w:p>
            <w:pPr>
              <w:spacing w:after="0"/>
              <w:rPr>
                <w:sz w:val="18"/>
                <w:szCs w:val="18"/>
                <w:color w:val="auto"/>
              </w:rPr>
            </w:pPr>
          </w:p>
        </w:tc>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xml:space="preserve">Expected Revenue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r>
      <w:tr>
        <w:trPr>
          <w:trHeight w:val="236"/>
        </w:trPr>
        <w:tc>
          <w:tcPr>
            <w:tcW w:w="80" w:type="dxa"/>
            <w:vAlign w:val="bottom"/>
          </w:tcPr>
          <w:p>
            <w:pPr>
              <w:spacing w:after="0"/>
              <w:rPr>
                <w:sz w:val="20"/>
                <w:szCs w:val="20"/>
                <w:color w:val="auto"/>
              </w:rPr>
            </w:pPr>
          </w:p>
        </w:tc>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FF0FC"/>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100" w:type="dxa"/>
            <w:vAlign w:val="bottom"/>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FF0FC"/>
          </w:tcPr>
          <w:p>
            <w:pPr>
              <w:spacing w:after="0"/>
              <w:rPr>
                <w:sz w:val="21"/>
                <w:szCs w:val="21"/>
                <w:color w:val="auto"/>
              </w:rPr>
            </w:pPr>
          </w:p>
        </w:tc>
      </w:tr>
      <w:tr>
        <w:trPr>
          <w:trHeight w:val="238"/>
        </w:trPr>
        <w:tc>
          <w:tcPr>
            <w:tcW w:w="8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0"/>
                <w:szCs w:val="20"/>
                <w:color w:val="auto"/>
              </w:rPr>
            </w:pPr>
          </w:p>
        </w:tc>
      </w:tr>
      <w:tr>
        <w:trPr>
          <w:trHeight w:val="276"/>
        </w:trPr>
        <w:tc>
          <w:tcPr>
            <w:tcW w:w="80" w:type="dxa"/>
            <w:vAlign w:val="bottom"/>
          </w:tcPr>
          <w:p>
            <w:pPr>
              <w:spacing w:after="0"/>
              <w:rPr>
                <w:sz w:val="24"/>
                <w:szCs w:val="24"/>
                <w:color w:val="auto"/>
              </w:rPr>
            </w:pPr>
          </w:p>
        </w:tc>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00" w:type="dxa"/>
            <w:vAlign w:val="bottom"/>
            <w:shd w:val="clear" w:color="auto" w:fill="CFF0FC"/>
          </w:tcPr>
          <w:p>
            <w:pPr>
              <w:spacing w:after="0"/>
              <w:rPr>
                <w:sz w:val="24"/>
                <w:szCs w:val="24"/>
                <w:color w:val="auto"/>
              </w:rPr>
            </w:pPr>
          </w:p>
        </w:tc>
      </w:tr>
      <w:tr>
        <w:trPr>
          <w:trHeight w:val="120"/>
        </w:trPr>
        <w:tc>
          <w:tcPr>
            <w:tcW w:w="80" w:type="dxa"/>
            <w:vAlign w:val="bottom"/>
            <w:tcBorders>
              <w:bottom w:val="single" w:sz="8" w:color="auto"/>
            </w:tcBorders>
          </w:tcPr>
          <w:p>
            <w:pPr>
              <w:spacing w:after="0"/>
              <w:rPr>
                <w:sz w:val="10"/>
                <w:szCs w:val="10"/>
                <w:color w:val="auto"/>
              </w:rPr>
            </w:pPr>
          </w:p>
        </w:tc>
        <w:tc>
          <w:tcPr>
            <w:tcW w:w="2920" w:type="dxa"/>
            <w:vAlign w:val="bottom"/>
            <w:tcBorders>
              <w:top w:val="single" w:sz="8" w:color="CFF0FC"/>
              <w:bottom w:val="single" w:sz="8" w:color="auto"/>
            </w:tcBorders>
          </w:tcPr>
          <w:p>
            <w:pPr>
              <w:spacing w:after="0"/>
              <w:rPr>
                <w:sz w:val="10"/>
                <w:szCs w:val="10"/>
                <w:color w:val="auto"/>
              </w:rPr>
            </w:pPr>
          </w:p>
        </w:tc>
        <w:tc>
          <w:tcPr>
            <w:tcW w:w="60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-119380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-102235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520" w:right="480" w:hanging="512"/>
        <w:spacing w:after="0" w:line="265"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spacing w:after="0" w:line="17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also has unsatisfied performance obligations for service contracts with an expected term of one year or less not included in the amounts above.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0" w:right="399" w:bottom="1440" w:gutter="0" w:footer="0" w:header="0"/>
        </w:sectPr>
      </w:pPr>
    </w:p>
    <w:bookmarkStart w:id="18" w:name="page19"/>
    <w:bookmarkEnd w:id="18"/>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segment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141605</wp:posOffset>
            </wp:positionV>
            <wp:extent cx="102235" cy="1536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141605</wp:posOffset>
            </wp:positionV>
            <wp:extent cx="93980" cy="1536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141605</wp:posOffset>
            </wp:positionV>
            <wp:extent cx="93980" cy="153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5367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Borders>
              <w:top w:val="single" w:sz="8" w:color="auto"/>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Proteomics</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Genomics</w:t>
            </w:r>
          </w:p>
        </w:tc>
        <w:tc>
          <w:tcPr>
            <w:tcW w:w="3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85,798</w:t>
            </w:r>
          </w:p>
        </w:tc>
        <w:tc>
          <w:tcPr>
            <w:tcW w:w="70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32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85,825</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320" w:type="dxa"/>
            <w:vAlign w:val="bottom"/>
            <w:tcBorders>
              <w:bottom w:val="single" w:sz="8" w:color="CFF0FC"/>
              <w:right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Acquired intangible assets, net consisted of the following (in thousands):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2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60" w:type="dxa"/>
            <w:vAlign w:val="bottom"/>
          </w:tcPr>
          <w:p>
            <w:pPr>
              <w:spacing w:after="0"/>
              <w:rPr>
                <w:sz w:val="11"/>
                <w:szCs w:val="11"/>
                <w:color w:val="auto"/>
              </w:rPr>
            </w:pPr>
          </w:p>
        </w:tc>
        <w:tc>
          <w:tcPr>
            <w:tcW w:w="72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200" w:type="dxa"/>
            <w:vAlign w:val="bottom"/>
            <w:gridSpan w:val="4"/>
          </w:tcPr>
          <w:p>
            <w:pPr>
              <w:jc w:val="right"/>
              <w:ind w:right="5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1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(119,081 )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7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117,354</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(115,954 )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(294 )</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(172 )</w:t>
            </w:r>
          </w:p>
        </w:tc>
        <w:tc>
          <w:tcPr>
            <w:tcW w:w="4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(119,547 )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7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117,354</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(115,954 )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-1501140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-1483995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-1501140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-1483995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-1501140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-1483995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-156845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-156845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-156845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-156845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-156845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Total amortization expense of the Company's acquired intangible assets was $0.7 million and $2.8 million for the three months ended September 30, 2024 and 2023, respectively. Total amortization expense of the Company's acquired intangible assets was $3.5 million and $8.4 million for the nine months ended September 30, 2024 and 2023, respectively. There were no indicators of impairment of goodwill, long-lived assets or intangible assets during the nine months ended September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future expected amortization expense of acquired intangible assets, net was as follows (in thousands):</w:t>
      </w: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Fiscal Period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 w:type="dxa"/>
            <w:vAlign w:val="bottom"/>
          </w:tcPr>
          <w:p>
            <w:pPr>
              <w:spacing w:after="0"/>
              <w:rPr>
                <w:sz w:val="20"/>
                <w:szCs w:val="20"/>
                <w:color w:val="auto"/>
              </w:rPr>
            </w:pPr>
          </w:p>
        </w:tc>
        <w:tc>
          <w:tcPr>
            <w:tcW w:w="6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280" w:type="dxa"/>
            <w:vAlign w:val="bottom"/>
            <w:tcBorders>
              <w:top w:val="single" w:sz="8" w:color="auto"/>
            </w:tcBorders>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80" w:type="dxa"/>
            <w:vAlign w:val="bottom"/>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80" w:type="dxa"/>
            <w:vAlign w:val="bottom"/>
          </w:tcPr>
          <w:p>
            <w:pPr>
              <w:spacing w:after="0"/>
              <w:rPr>
                <w:sz w:val="21"/>
                <w:szCs w:val="21"/>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80" w:type="dxa"/>
            <w:vAlign w:val="bottom"/>
          </w:tcPr>
          <w:p>
            <w:pPr>
              <w:spacing w:after="0"/>
              <w:rPr>
                <w:sz w:val="24"/>
                <w:szCs w:val="24"/>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FF0FC"/>
            </w:tcBorders>
            <w:shd w:val="clear" w:color="auto" w:fill="CFF0FC"/>
          </w:tcPr>
          <w:p>
            <w:pPr>
              <w:spacing w:after="0"/>
              <w:rPr>
                <w:sz w:val="24"/>
                <w:szCs w:val="24"/>
                <w:color w:val="auto"/>
              </w:rPr>
            </w:pPr>
          </w:p>
        </w:tc>
        <w:tc>
          <w:tcPr>
            <w:tcW w:w="18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565"/>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r>
      <w:tr>
        <w:trPr>
          <w:trHeight w:val="23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7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51,704</w:t>
            </w:r>
          </w:p>
        </w:tc>
        <w:tc>
          <w:tcPr>
            <w:tcW w:w="60" w:type="dxa"/>
            <w:vAlign w:val="bottom"/>
            <w:shd w:val="clear" w:color="auto" w:fill="CFF0FC"/>
          </w:tcPr>
          <w:p>
            <w:pPr>
              <w:spacing w:after="0"/>
              <w:rPr>
                <w:sz w:val="20"/>
                <w:szCs w:val="20"/>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tcPr>
          <w:p>
            <w:pPr>
              <w:spacing w:after="0"/>
              <w:rPr>
                <w:sz w:val="20"/>
                <w:szCs w:val="20"/>
                <w:color w:val="auto"/>
              </w:rPr>
            </w:pPr>
          </w:p>
        </w:tc>
      </w:tr>
      <w:tr>
        <w:trPr>
          <w:trHeight w:val="276"/>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211,938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52,499</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-1557655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-1540510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Restricted cash of $1.3 million and $0.8 million is included in other non-current assets on the condensed consolidated balance sheets as of September 30, 2024, and December 31, 2023,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6"/>
                <w:szCs w:val="16"/>
                <w:color w:val="auto"/>
              </w:rPr>
            </w:pPr>
          </w:p>
        </w:tc>
      </w:tr>
      <w:tr>
        <w:trPr>
          <w:trHeight w:val="23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35,337</w:t>
            </w: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19,972</w:t>
            </w:r>
          </w:p>
        </w:tc>
        <w:tc>
          <w:tcPr>
            <w:tcW w:w="60" w:type="dxa"/>
            <w:vAlign w:val="bottom"/>
            <w:shd w:val="clear" w:color="auto" w:fill="CFF0FC"/>
          </w:tcPr>
          <w:p>
            <w:pPr>
              <w:spacing w:after="0"/>
              <w:rPr>
                <w:sz w:val="20"/>
                <w:szCs w:val="20"/>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receivable, current</w:t>
            </w:r>
          </w:p>
        </w:tc>
        <w:tc>
          <w:tcPr>
            <w:tcW w:w="26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60" w:type="dxa"/>
            <w:vAlign w:val="bottom"/>
          </w:tcPr>
          <w:p>
            <w:pPr>
              <w:spacing w:after="0"/>
              <w:rPr>
                <w:sz w:val="20"/>
                <w:szCs w:val="20"/>
                <w:color w:val="auto"/>
              </w:rPr>
            </w:pPr>
          </w:p>
        </w:tc>
        <w:tc>
          <w:tcPr>
            <w:tcW w:w="2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(628 )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r>
      <w:tr>
        <w:trPr>
          <w:trHeight w:val="276"/>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35,317</w:t>
            </w:r>
          </w:p>
        </w:tc>
        <w:tc>
          <w:tcPr>
            <w:tcW w:w="2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19,660</w:t>
            </w:r>
          </w:p>
        </w:tc>
        <w:tc>
          <w:tcPr>
            <w:tcW w:w="60" w:type="dxa"/>
            <w:vAlign w:val="bottom"/>
            <w:tcBorders>
              <w:bottom w:val="single" w:sz="8" w:color="CFF0FC"/>
            </w:tcBorders>
            <w:shd w:val="clear" w:color="auto" w:fill="CFF0FC"/>
          </w:tcPr>
          <w:p>
            <w:pPr>
              <w:spacing w:after="0"/>
              <w:rPr>
                <w:sz w:val="24"/>
                <w:szCs w:val="24"/>
                <w:color w:val="auto"/>
              </w:rPr>
            </w:pPr>
          </w:p>
        </w:tc>
      </w:tr>
      <w:tr>
        <w:trPr>
          <w:trHeight w:val="565"/>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80" w:type="dxa"/>
            <w:vAlign w:val="bottom"/>
          </w:tcPr>
          <w:p>
            <w:pPr>
              <w:spacing w:after="0"/>
              <w:rPr>
                <w:sz w:val="20"/>
                <w:szCs w:val="20"/>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00" w:type="dxa"/>
            <w:vAlign w:val="bottom"/>
            <w:tcBorders>
              <w:right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current</w:t>
            </w: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42,644</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314"/>
        </w:trPr>
        <w:tc>
          <w:tcPr>
            <w:tcW w:w="8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Inventory, non-current </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-1870075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-1852930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-1870075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-1852930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-551180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-551180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-208915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-208915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19005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77" w:lineRule="exact"/>
        <w:rPr>
          <w:sz w:val="20"/>
          <w:szCs w:val="20"/>
          <w:color w:val="auto"/>
        </w:rPr>
      </w:pPr>
    </w:p>
    <w:p>
      <w:pPr>
        <w:ind w:left="520" w:right="560" w:hanging="512"/>
        <w:spacing w:after="0" w:line="28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inventory that is not expected to be used within 12 months of the balance sheet date is classified as non-current inventory on the condensed consolidated balance sheets.</w:t>
      </w:r>
    </w:p>
    <w:p>
      <w:pPr>
        <w:spacing w:after="0" w:line="23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Company recorded charges for excess and obsolete inventory of $0.1 million and $0.4 million for the three months ended September 30, 2024 and 2023, respectively, and $2.0 million and $1.0 million for the nine months ended September 30, 2024 and 2023,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59,785</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35,563</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21"/>
                <w:szCs w:val="21"/>
                <w:color w:val="auto"/>
              </w:rPr>
            </w:pPr>
          </w:p>
        </w:tc>
        <w:tc>
          <w:tcPr>
            <w:tcW w:w="2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(69,623 )</w:t>
            </w:r>
          </w:p>
        </w:tc>
        <w:tc>
          <w:tcPr>
            <w:tcW w:w="26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(35,489 )</w:t>
            </w: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41,982</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-658495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-658495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$3.2 million and $1.2 million for the three months ended September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$9.4 million and $2.9 million for the nine months ended September 30, 2024 and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which are included in current liabilities on the condensed consolidated balance sheets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shd w:val="clear" w:color="auto" w:fill="CFF0FC"/>
          </w:tcPr>
          <w:p>
            <w:pPr>
              <w:spacing w:after="0"/>
              <w:rPr>
                <w:sz w:val="20"/>
                <w:szCs w:val="20"/>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contingency accruals</w:t>
            </w: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2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FF0FC"/>
          </w:tcPr>
          <w:p>
            <w:pPr>
              <w:spacing w:after="0"/>
              <w:rPr>
                <w:sz w:val="21"/>
                <w:szCs w:val="2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2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FF0FC"/>
          </w:tcPr>
          <w:p>
            <w:pPr>
              <w:spacing w:after="0"/>
              <w:rPr>
                <w:sz w:val="21"/>
                <w:szCs w:val="2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Pr>
          <w:p>
            <w:pPr>
              <w:spacing w:after="0"/>
              <w:rPr>
                <w:sz w:val="20"/>
                <w:szCs w:val="20"/>
                <w:color w:val="auto"/>
              </w:rPr>
            </w:pPr>
          </w:p>
        </w:tc>
      </w:tr>
      <w:tr>
        <w:trPr>
          <w:trHeight w:val="27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00" w:type="dxa"/>
            <w:vAlign w:val="bottom"/>
            <w:shd w:val="clear" w:color="auto" w:fill="CFF0FC"/>
          </w:tcPr>
          <w:p>
            <w:pPr>
              <w:spacing w:after="0"/>
              <w:rPr>
                <w:sz w:val="24"/>
                <w:szCs w:val="24"/>
                <w:color w:val="auto"/>
              </w:rPr>
            </w:pPr>
          </w:p>
        </w:tc>
      </w:tr>
      <w:tr>
        <w:trPr>
          <w:trHeight w:val="551"/>
        </w:trPr>
        <w:tc>
          <w:tcPr>
            <w:tcW w:w="432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tcPr>
          <w:p>
            <w:pPr>
              <w:jc w:val="right"/>
              <w:ind w:right="85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3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-881380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-864235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for additional information on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-7620</wp:posOffset>
            </wp:positionV>
            <wp:extent cx="3644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Grant Income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2020, the Company executed a contract with the National Institutes of Health ("NIH") under NIH’s Rapid Acceleration of Diagnostics program to support the expansion of the Company’s production capacity for its COVID-19 test products. Under the now-completed contract, the Company received $34.0 million of funding from the NIH and used $22.2 million on capital expenditures for its Singapore manufacturing facility. The amortization of the deferred income, which is offset against depreciation, was $0.9 million for each of the three months ended September 30, 2024 and 2023, and $2.7 million for each of the nine months ended September 30, 2024 and 2023. Cumulative amounts applied against depreciation expense for these assets placed in service were $10.5 million and $7.8 million as of September 30, 2024 and December 31, 2023, respectively, and the carrying values of these assets were $11.7 million and $14.4 million as of these same dates, respectively.</w:t>
      </w:r>
    </w:p>
    <w:p>
      <w:pPr>
        <w:spacing w:after="0" w:line="18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current portion of deferred grant income on the Company’s condensed consolidated balance sheets represents amounts expected to be offset against depreciation expense over the next twelve months. The non-current portion of deferred grant income includes amounts expected to be offset against depreciation expense in later periods.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carrying value of debt consists of the following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2014</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r>
      <w:tr>
        <w:trPr>
          <w:trHeight w:val="243"/>
        </w:trPr>
        <w:tc>
          <w:tcPr>
            <w:tcW w:w="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2019</w:t>
            </w:r>
          </w:p>
        </w:tc>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current</w:t>
            </w:r>
          </w:p>
        </w:tc>
        <w:tc>
          <w:tcPr>
            <w:tcW w:w="1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notes, net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55,099</w:t>
            </w:r>
          </w:p>
        </w:tc>
        <w:tc>
          <w:tcPr>
            <w:tcW w:w="100" w:type="dxa"/>
            <w:vAlign w:val="bottom"/>
          </w:tcPr>
          <w:p>
            <w:pPr>
              <w:spacing w:after="0"/>
              <w:rPr>
                <w:sz w:val="20"/>
                <w:szCs w:val="20"/>
                <w:color w:val="auto"/>
              </w:rPr>
            </w:pPr>
          </w:p>
        </w:tc>
      </w:tr>
      <w:tr>
        <w:trPr>
          <w:trHeight w:val="247"/>
        </w:trPr>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FF0FC"/>
          </w:tcPr>
          <w:p>
            <w:pPr>
              <w:spacing w:after="0"/>
              <w:rPr>
                <w:sz w:val="21"/>
                <w:szCs w:val="21"/>
                <w:color w:val="auto"/>
              </w:rPr>
            </w:pPr>
          </w:p>
        </w:tc>
      </w:t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76"/>
        </w:trPr>
        <w:tc>
          <w:tcPr>
            <w:tcW w:w="72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-658495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-658495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In February 2014, the Company closed an underwritten public offering of 2014 Senior Convertible Notes (the "2014 Notes"), which will mature on February 1, 2034, unless earlier converted, redeemed or repurchased in accordance with the terms of the 2014 Notes. Holders may require the Company to repurchase all or a portion of their 2014 Notes beginning on February 6, 2029 at a repurchase price in cash equal to 100% of the principal amount of the 2014 Notes plus accrued and unpaid interest. In March 2024, the Company repurchased $0.3 million of the outstanding principal amount of the 2014 Notes.</w:t>
      </w:r>
    </w:p>
    <w:p>
      <w:pPr>
        <w:spacing w:after="0" w:line="16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November 2019, the Company issued $55.0 million aggregate principal amount of 2019 Senior Convertible Notes (the "2019 Notes" and together with the 2014 Notes, the "Convertible Notes"). Net proceeds from the 2019 Notes issuance of $52.7 million, after deductions for commissions and other debt issuance costs, were used to retire all but $1.1 million of the aggregate principal value of the 2014 Notes then outstanding. The 2019 Notes bear interest at 5.25% per annum, payable semiannually on June 1 and December 1 of each year.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conversion of the 2019 Notes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 The 2019 Notes are convertible at the Company’s option in whole but not in part into shares of the Company’s common stock upon certain conditions if the volume-weighted average price of the Company’s common stock has equaled or exceeded 130% of the conversion price then in effect for a specified number of days.</w:t>
      </w:r>
    </w:p>
    <w:p>
      <w:pPr>
        <w:spacing w:after="0" w:line="1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Offering-related costs related to the Convertible Notes were capitalized as debt issuance costs and are recorded as an offset to the carrying value of the 2019 Notes.</w:t>
      </w:r>
    </w:p>
    <w:p>
      <w:pPr>
        <w:spacing w:after="0" w:line="16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carrying values of the Convertible Notes approximate fair values as the interest rate and terms are reflective of the rate the Company could obtain on debt with similar terms and conditions. The Convertible Notes are not regularly traded and there is no</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1" w:name="page22"/>
    <w:bookmarkEnd w:id="21"/>
    <w:p>
      <w:pPr>
        <w:ind w:right="580"/>
        <w:spacing w:after="0" w:line="281" w:lineRule="auto"/>
        <w:rPr>
          <w:sz w:val="20"/>
          <w:szCs w:val="20"/>
          <w:color w:val="auto"/>
        </w:rPr>
      </w:pPr>
      <w:r>
        <w:rPr>
          <w:rFonts w:ascii="Times New Roman" w:cs="Times New Roman" w:eastAsia="Times New Roman" w:hAnsi="Times New Roman"/>
          <w:sz w:val="18"/>
          <w:szCs w:val="18"/>
          <w:color w:val="auto"/>
        </w:rPr>
        <w:t>public market for the Convertible Notes. The estimated fair values for the Convertible Notes represent Level 3 valuations since the fair values for the Convertible Notes cannot be determined by using readily observable inputs or measures, such as market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 net</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August 2, 2021, the Company amended its revolving credit facility to, amongst other things, provide for a new $10.0 million term loan facility (the "Term Loan Facility"). As of December 31, 2023, the Term Loan Facility was fully drawn with an outstanding principal balance of $7.9 million and a carrying value of $8.4 million. The interest rate on the Term Loan Facility was the greater of 4.0% per annum or a floating per annum rate equal to the prime rate plus 0.75%. Interest on any outstanding term loan advances was due and payable monthly. In addition to the monthly interest payments, a final payment equal to 6.5% of the original principal amount of each advance was due the earlier of the maturity date or the date the advance is repaid. Principal balances were required to be repaid in 24 equal installments which began on August 1, 2023. The stated maturity of the Term Loan Facility was July 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4, 2024, the Company fully repaid all outstanding indebtedness owed pursuant to the Term Loan Facility and terminated the agreement.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In connection with the Merger, the Company assumed three leases for office and laboratory space, with lease terms of three to five years. One of the assumed leases expired on June 30, 2024 and has not been renewed. The remaining leases require monthly lease payments that may be subject to annual increases throughout the lease term. The remaining leases also include renewal options at the Company's election to renew or extend the leases for additional periods ranging from three to ten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Lease costs for operating leases are recognized on a straight-line basis over the lease term. The total lease cost for the period, including the Company's historical leases and those assumed in connection with the Merger, was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(1,076 )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(3,228 )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(1,978 )</w:t>
            </w: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the undiscounted lease payment maturities to the lease liabilities for the Company's operating leases: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6"/>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9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(11,761 )</w:t>
            </w:r>
          </w:p>
        </w:tc>
        <w:tc>
          <w:tcPr>
            <w:tcW w:w="60" w:type="dxa"/>
            <w:vAlign w:val="bottom"/>
          </w:tcPr>
          <w:p>
            <w:pPr>
              <w:spacing w:after="0"/>
              <w:rPr>
                <w:sz w:val="20"/>
                <w:szCs w:val="20"/>
                <w:color w:val="auto"/>
              </w:rPr>
            </w:pPr>
          </w:p>
        </w:tc>
      </w:tr>
      <w:tr>
        <w:trPr>
          <w:trHeight w:val="240"/>
        </w:trPr>
        <w:tc>
          <w:tcPr>
            <w:tcW w:w="9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20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(6,122 )</w:t>
            </w:r>
          </w:p>
        </w:tc>
        <w:tc>
          <w:tcPr>
            <w:tcW w:w="60" w:type="dxa"/>
            <w:vAlign w:val="bottom"/>
          </w:tcPr>
          <w:p>
            <w:pPr>
              <w:spacing w:after="0"/>
              <w:rPr>
                <w:sz w:val="20"/>
                <w:szCs w:val="20"/>
                <w:color w:val="auto"/>
              </w:rPr>
            </w:pPr>
          </w:p>
        </w:tc>
      </w:tr>
      <w:tr>
        <w:trPr>
          <w:trHeight w:val="276"/>
        </w:trPr>
        <w:tc>
          <w:tcPr>
            <w:tcW w:w="92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08"/>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Lease Information</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information related to the Company's operating leases was as follows: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9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gridSpan w:val="2"/>
          </w:tcPr>
          <w:p>
            <w:pPr>
              <w:spacing w:after="0"/>
              <w:rPr>
                <w:sz w:val="24"/>
                <w:szCs w:val="24"/>
                <w:color w:val="auto"/>
              </w:rPr>
            </w:pPr>
          </w:p>
        </w:tc>
      </w:tr>
      <w:tr>
        <w:trPr>
          <w:trHeight w:val="236"/>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548"/>
        </w:trPr>
        <w:tc>
          <w:tcPr>
            <w:tcW w:w="92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9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362" w:right="279" w:bottom="1086" w:gutter="0" w:footer="0" w:header="0"/>
        </w:sectPr>
      </w:pPr>
    </w:p>
    <w:bookmarkStart w:id="22" w:name="page23"/>
    <w:bookmarkEnd w:id="22"/>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contractual and legally binding purchase commitments. As of September 30, 2024, the Company's open commitments totaled $16.2 million.</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Illumina Agreement, SomaLogic, and now the Company, is required to engage with two contract manufacturing organizations in order to ensure manufacturing capacity. In 2023, SomaLogic contracted with Integrated DNA Technologies, Inc. (“IDT”) to manufacture custom products. Under the contract manufacturing agreement with IDT, SomaLogic committed to minimum annual purchases of $2.3 million, which obligation the Company subsumed in connection with the Merger. As the minimum contract term is three years, the total purchase commitment related to the Illumina Agreement is $6.9 million. As of September 30, 2024, the Company had not yet began placing orders under the Illumina Agreement.</w:t>
      </w:r>
    </w:p>
    <w:p>
      <w:pPr>
        <w:spacing w:after="0" w:line="18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The Company does not expect the license payments to be material in any particular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7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Litigation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is due on November 1, 2024, and the defendants’ reply brief is due on December 13, 2024.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ind w:right="60"/>
        <w:spacing w:after="0" w:line="265" w:lineRule="auto"/>
        <w:rPr>
          <w:sz w:val="20"/>
          <w:szCs w:val="20"/>
          <w:color w:val="auto"/>
        </w:rPr>
      </w:pPr>
      <w:r>
        <w:rPr>
          <w:rFonts w:ascii="Times New Roman" w:cs="Times New Roman" w:eastAsia="Times New Roman" w:hAnsi="Times New Roman"/>
          <w:sz w:val="18"/>
          <w:szCs w:val="18"/>
          <w:color w:val="auto"/>
        </w:rPr>
        <w:t>Between October 24, 2023 and January 3, 2024, SomaLogic received 18 letters from purported stockholders demanding that SomaLogic allow the inspection of its books and records and/or make corrective disclosures to its registration statement. The Company has resolved fee disputes with all but two stockholder’s counsel.</w:t>
      </w:r>
    </w:p>
    <w:p>
      <w:pPr>
        <w:spacing w:after="0" w:line="6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In February 2024, the Company settled previously outstanding litigation with a former stockholder of SomaLogic, whereby the Company relinquished 422,048 shares of the Company's common stock that were subject to vesting conditions.</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nine months ended September 30, 2024.</w:t>
      </w:r>
    </w:p>
    <w:p>
      <w:pPr>
        <w:spacing w:after="0" w:line="6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On June 4, 2024, the Company received a demand pursuant to Section 220 of the Delaware General Corporation Law from a stockholder to inspect the Company’s books and records relating to the prior conversion of the Company’s Series B preferred stock. The Company has responded to the demand and has produced documents.</w:t>
      </w:r>
    </w:p>
    <w:p>
      <w:pPr>
        <w:spacing w:after="0" w:line="6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55"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the Merger, the Company is responsible for SomaLogic’s liabilities and obligations, including with respect to legal, financial, regulatory, and compliance matters. These liabilities and obligations will result in additional cost and expense by the Company and, if the Company has underestimated the amount of these costs and expenses or if the Company fails to satisfy any such liabilities or obligations, the Company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the Company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measured at fair value on a recurring basis within the fair value hierarchy as of September 30,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4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investments—U.S. treasury securities</w:t>
            </w: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155,683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155,683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340,910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-1026795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-1026795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-1026795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-1026795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24" w:name="page25"/>
    <w:bookmarkEnd w:id="24"/>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measured at fair value on a recurring basis within the fair value hierarchy as of December 31,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7"/>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4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investments—U.S. treasury securities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98,576</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within the hierarchy and no changes in the valuation techniques used during the 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available-for-sale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80" w:type="dxa"/>
            <w:vAlign w:val="bottom"/>
          </w:tcPr>
          <w:p>
            <w:pPr>
              <w:jc w:val="center"/>
              <w:ind w:left="402"/>
              <w:spacing w:after="0" w:line="142"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88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8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8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investments—U.S. treasury securities</w:t>
            </w:r>
          </w:p>
        </w:tc>
        <w:tc>
          <w:tcPr>
            <w:tcW w:w="1880" w:type="dxa"/>
            <w:vAlign w:val="bottom"/>
            <w:tcBorders>
              <w:bottom w:val="single" w:sz="8" w:color="CFF0FC"/>
            </w:tcBorders>
            <w:shd w:val="clear" w:color="auto" w:fill="CFF0FC"/>
          </w:tcPr>
          <w:p>
            <w:pPr>
              <w:jc w:val="center"/>
              <w:ind w:left="442"/>
              <w:spacing w:after="0"/>
              <w:rPr>
                <w:sz w:val="20"/>
                <w:szCs w:val="20"/>
                <w:color w:val="auto"/>
              </w:rPr>
            </w:pPr>
            <w:r>
              <w:rPr>
                <w:rFonts w:ascii="Times New Roman" w:cs="Times New Roman" w:eastAsia="Times New Roman" w:hAnsi="Times New Roman"/>
                <w:sz w:val="18"/>
                <w:szCs w:val="18"/>
                <w:color w:val="auto"/>
                <w:w w:val="99"/>
              </w:rPr>
              <w:t>1 or less</w:t>
            </w: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340,562</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80" w:type="dxa"/>
            <w:vAlign w:val="bottom"/>
          </w:tcPr>
          <w:p>
            <w:pPr>
              <w:jc w:val="center"/>
              <w:ind w:left="402"/>
              <w:spacing w:after="0" w:line="142"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88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8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8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investments—U.S. treasury securities</w:t>
            </w:r>
          </w:p>
        </w:tc>
        <w:tc>
          <w:tcPr>
            <w:tcW w:w="1880" w:type="dxa"/>
            <w:vAlign w:val="bottom"/>
            <w:tcBorders>
              <w:bottom w:val="single" w:sz="8" w:color="CFF0FC"/>
            </w:tcBorders>
            <w:shd w:val="clear" w:color="auto" w:fill="CFF0FC"/>
          </w:tcPr>
          <w:p>
            <w:pPr>
              <w:jc w:val="center"/>
              <w:ind w:left="442"/>
              <w:spacing w:after="0"/>
              <w:rPr>
                <w:sz w:val="20"/>
                <w:szCs w:val="20"/>
                <w:color w:val="auto"/>
              </w:rPr>
            </w:pPr>
            <w:r>
              <w:rPr>
                <w:rFonts w:ascii="Times New Roman" w:cs="Times New Roman" w:eastAsia="Times New Roman" w:hAnsi="Times New Roman"/>
                <w:sz w:val="18"/>
                <w:szCs w:val="18"/>
                <w:color w:val="auto"/>
                <w:w w:val="99"/>
              </w:rPr>
              <w:t>1 or less</w:t>
            </w: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-1309370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-1309370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-1309370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As of September 30, 2024,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measured at fair value on a recurring basis</w:t>
      </w:r>
    </w:p>
    <w:p>
      <w:pPr>
        <w:spacing w:after="0" w:line="33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and indicates the fair value hierarchy of the valuation inputs we utilized to determine such fair value: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 liabilities as of Closing Date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(474 )</w:t>
            </w:r>
          </w:p>
        </w:tc>
      </w:tr>
      <w:tr>
        <w:trPr>
          <w:trHeight w:val="276"/>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 liabilities as of September 30, 2024</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1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The Warrants were valued using Level 2 inputs as of the Closing Date as the Public Warrants were actively traded at that date. Therefore, the Company had directly observable prices for identical instruments as of the Closing Date. Following the Closing Date, and as of September 30, 2024, the Public Warrants were no longer publicly traded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so the Warrants were valued using a binomial lattice model (a special case of the income approach), using the following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-172085</wp:posOffset>
            </wp:positionV>
            <wp:extent cx="3073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7"/>
        </w:trPr>
        <w:tc>
          <w:tcPr>
            <w:tcW w:w="9200" w:type="dxa"/>
            <w:vAlign w:val="bottom"/>
          </w:tcPr>
          <w:p>
            <w:pPr>
              <w:spacing w:after="0"/>
              <w:rPr>
                <w:sz w:val="16"/>
                <w:szCs w:val="16"/>
                <w:color w:val="auto"/>
              </w:rPr>
            </w:pPr>
          </w:p>
        </w:tc>
        <w:tc>
          <w:tcPr>
            <w:tcW w:w="1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gridSpan w:val="2"/>
          </w:tcPr>
          <w:p>
            <w:pPr>
              <w:spacing w:after="0"/>
              <w:rPr>
                <w:sz w:val="16"/>
                <w:szCs w:val="16"/>
                <w:color w:val="auto"/>
              </w:rPr>
            </w:pP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70.2 %</w:t>
            </w:r>
          </w:p>
        </w:tc>
      </w:tr>
      <w:tr>
        <w:trPr>
          <w:trHeight w:val="245"/>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3.65 %</w:t>
            </w:r>
          </w:p>
        </w:tc>
      </w:tr>
      <w:tr>
        <w:trPr>
          <w:trHeight w:val="249"/>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term</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Mezzanine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Preferred Stock</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March 18, 2024, the Company entered into an exchange agreement (the “Exchange Agreement”) with Casdin Private Growth Equity Fund II, L.P. and Casdin Partners Master Fund, L.P. (together, "Casdin"), and Viking Global Opportunities Illiquid Investments Sub Master LP and Viking Global Opportunities Drawdown LP (together, “Viking” and, collectively with Casdin, the “Investors”). Pursuant to the Exchange Agreement, the Investors exchanged (the “Exchange”) an aggregate of (i) 127,780 shares of Series B-1 Convertible Preferred Stock, par value $0.001 per share (the “Series B-1 Preferred Stock”), and (ii) 127,779 shares of Series B-2 Convertible Preferred Stock, par value $0.001 per share (the “Series B-2 Preferred Stock” and, together with the Series B-1 Preferred Stock, the “Series B Preferred Stock”), representing all of the outstanding shares of Series B Preferred Stock, for an aggregate of 92,930,553 shares of the Company’s common stock. The Exchange was completed on March 18, 2024. Following the closing of the Exchange, no shares of Series B Preferred Stock remained outstanding, and the Company had no amounts recorded in mezzanine equity.</w:t>
      </w:r>
    </w:p>
    <w:p>
      <w:pPr>
        <w:spacing w:after="0" w:line="18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On June 18, 2024, the Company filed a registration statement on Form S-3 (File No. 333-280321), which became effective on June 27, 2024, registering the resale of 105,116,628 shares of common stock, including the shares of common stock which were issued upon conversion of the Series B Preferred Stock in the Exchange.</w:t>
      </w:r>
    </w:p>
    <w:p>
      <w:pPr>
        <w:spacing w:after="0" w:line="17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Exchange was considered to be an induced conversion of preferred stock as the Investors received a lower conversion price, and were issued more shares of common stock than provided under the original terms of the Series B Convertible Preferred Stock Purchase Agreement entered into with the Investors. The $46.0 million difference between the fair value of the inducement and the carrying value of the Series B Preferred Stock was recognized to the Company's accumulated deficit during the nine months ended September 30, 2024.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Repurchase Program</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February 6, 2024, the Company's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specific number of shares. During the nine months ended September 30, 2024, the Company repurchased 13,603,617 shares of its common stock for an aggregate of $36.1 million under the 2024 Share Repurchase Program.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 Reserved</w:t>
      </w:r>
    </w:p>
    <w:p>
      <w:pPr>
        <w:spacing w:after="0" w:line="121"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As of September 30, 2024, the Company had reserved shares of common stock for future issuance under equity compensation plans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Securities</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Release</w:t>
            </w:r>
          </w:p>
        </w:tc>
        <w:tc>
          <w:tcPr>
            <w:tcW w:w="22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Restricted Stock</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Inducement Equity Incentive Plan</w:t>
            </w:r>
          </w:p>
        </w:tc>
        <w:tc>
          <w:tcPr>
            <w:tcW w:w="3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2017 Inducement Award Plan</w:t>
            </w:r>
          </w:p>
        </w:tc>
        <w:tc>
          <w:tcPr>
            <w:tcW w:w="3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Employee Stock Purchase Plan</w:t>
            </w:r>
          </w:p>
        </w:tc>
        <w:tc>
          <w:tcPr>
            <w:tcW w:w="19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SomaLogic Plans</w:t>
            </w:r>
          </w:p>
        </w:tc>
        <w:tc>
          <w:tcPr>
            <w:tcW w:w="19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6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-1026795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-1026795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53" w:right="279" w:bottom="1440" w:gutter="0" w:footer="0" w:header="0"/>
        </w:sectPr>
      </w:pPr>
    </w:p>
    <w:bookmarkStart w:id="26" w:name="page27"/>
    <w:bookmarkEnd w:id="26"/>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various stock-based compensation plans, which are more fully described in our 2023 Financial Statements.</w:t>
      </w:r>
    </w:p>
    <w:p>
      <w:pPr>
        <w:spacing w:after="0" w:line="1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Upon completion of the Merger, the Company assumed SomaLogic's stock incentive plans. In addition, all outstanding options to purchase SomaLogic Common Stock and all restricted stock units in respect of shares of SomaLogic Common Stock that were outstanding immediately prior to the completion of the Merger were automatically adjusted by the exchange ratio of 1.11 and converted into an equity award of the same type covering shares of the Company's common stock, on the same terms and conditions (including any continuing vesting requirements), under the applicable Company plan and award agreement in effect immediately prior to the completion of the Merger.</w:t>
      </w:r>
    </w:p>
    <w:p>
      <w:pPr>
        <w:spacing w:after="0" w:line="11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nil and $6.2 million, respectively, of stock-based compensation expense due to the acceleration of awards for certain SomaLogic executives in connection with the Merger.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through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(4,002 )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(1,728 )</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As of September 30, 2024, unrecognized stock-based compensation expense related to outstanding unvested restricted stock units ("RSUs") under the Company’s equity incentive plans was $29.8 million. The Company expects to recognize the expense over a weighted-average period of 3.1 years.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1"/>
        </w:trPr>
        <w:tc>
          <w:tcPr>
            <w:tcW w:w="5760" w:type="dxa"/>
            <w:vAlign w:val="bottom"/>
          </w:tcPr>
          <w:p>
            <w:pPr>
              <w:spacing w:after="0"/>
              <w:rPr>
                <w:sz w:val="13"/>
                <w:szCs w:val="13"/>
                <w:color w:val="auto"/>
              </w:rPr>
            </w:pPr>
          </w:p>
        </w:tc>
        <w:tc>
          <w:tcPr>
            <w:tcW w:w="1480" w:type="dxa"/>
            <w:vAlign w:val="bottom"/>
            <w:gridSpan w:val="2"/>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20" w:type="dxa"/>
            <w:vAlign w:val="bottom"/>
          </w:tcPr>
          <w:p>
            <w:pPr>
              <w:spacing w:after="0"/>
              <w:rPr>
                <w:sz w:val="13"/>
                <w:szCs w:val="13"/>
                <w:color w:val="auto"/>
              </w:rPr>
            </w:pPr>
          </w:p>
        </w:tc>
        <w:tc>
          <w:tcPr>
            <w:tcW w:w="1000" w:type="dxa"/>
            <w:vAlign w:val="bottom"/>
          </w:tcPr>
          <w:p>
            <w:pPr>
              <w:jc w:val="center"/>
              <w:ind w:right="36"/>
              <w:spacing w:after="0" w:line="151"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3"/>
                <w:szCs w:val="13"/>
                <w:b w:val="1"/>
                <w:bCs w:val="1"/>
                <w:color w:val="auto"/>
              </w:rPr>
              <w:t xml:space="preserve"> (in</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through acquisition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(573 )</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(3,374 )</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40,228</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at September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options at September 30,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-547370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-205105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05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50" w:lineRule="exact"/>
        <w:rPr>
          <w:sz w:val="20"/>
          <w:szCs w:val="20"/>
          <w:color w:val="auto"/>
        </w:rPr>
      </w:pPr>
    </w:p>
    <w:p>
      <w:pPr>
        <w:ind w:left="520" w:right="20" w:hanging="512"/>
        <w:spacing w:after="0" w:line="26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intrinsic value as of September 30, 2024 was calculated as the difference between the closing price per share of the Company’s common stock on The Nasdaq Global Select Market on September 30, 2024, which was $1.93, and the exercise price of the options, multiplied by the number of in-the-money options.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 and nine months ended September 30, 2024 was nil and $0.6 million, respectively. The total intrinsic value of options exercised during each of the three and nine months ended September 30, 2023 was immaterial. As of September 30, 2024, the aggregate unrecognized compensation costs related to outstanding unvested options under the Company’s equity incentive plans were $22.5 million. The Company expects to recognize those costs over a weighted-average period of 2.6 years.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In July 2023, the Company granted performance-based restricted stock units ("PSUs") to certain executive officers that vest based upon the achievement of specified revenue and EBITDA targets for the twelve months ended December 31, 2023, and the executive’s continued employment with the Company. Stock-based compensation expense is being recognized over the requisite service period, as it is deemed probable the Company will satisfy the performance measures. Certain of the specified revenue and EBITDA targets were met and the PSUs vested and were released from restriction in April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the performance-based awards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 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adjustment</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 released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reported in the Company's condensed consolidated statement of operations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4,833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5,921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basic and diluted net loss per share is calculated by dividing net loss less any redemption or induced conversion on the Series B Preferred Stock by the weighted-average number of shares of common stock outstanding for the period. RSUs, PSUs, options to purchase the Company’s common stock, restricted stock, Employee Stock Purchase Plan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spacing w:after="0" w:line="18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As described above, on March 18, 2024, the Company consummated the Exchange in which all outstanding Series B Preferred Stock were exchanged for an aggregate of 92,930,553 shares of the Company's common stock. This transaction was determined to be an induced conversion due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net loss per share for the three and nine months ended September 30, 2024 and 2023 was as follows (in thousands, except per share data):</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(104,813 )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(46,014 )</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(150,827 )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r>
      <w:tr>
        <w:trPr>
          <w:trHeight w:val="47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during the period</w:t>
            </w:r>
          </w:p>
        </w:tc>
        <w:tc>
          <w:tcPr>
            <w:tcW w:w="1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371,538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346,093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(0.69 )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-205105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-205105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-205105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38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8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8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PSUs, stock options, restricted shares and ESPP shares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54,664</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00" w:type="dxa"/>
            <w:vAlign w:val="bottom"/>
            <w:shd w:val="clear" w:color="auto" w:fill="CFF0FC"/>
          </w:tcPr>
          <w:p>
            <w:pPr>
              <w:spacing w:after="0"/>
              <w:rPr>
                <w:sz w:val="20"/>
                <w:szCs w:val="20"/>
                <w:color w:val="auto"/>
              </w:rPr>
            </w:pPr>
          </w:p>
        </w:tc>
      </w:tr>
      <w:tr>
        <w:trPr>
          <w:trHeight w:val="238"/>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00" w:type="dxa"/>
            <w:vAlign w:val="bottom"/>
            <w:gridSpan w:val="3"/>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75,164</w:t>
            </w:r>
          </w:p>
        </w:tc>
        <w:tc>
          <w:tcPr>
            <w:tcW w:w="100" w:type="dxa"/>
            <w:vAlign w:val="bottom"/>
          </w:tcPr>
          <w:p>
            <w:pPr>
              <w:spacing w:after="0"/>
              <w:rPr>
                <w:sz w:val="20"/>
                <w:szCs w:val="20"/>
                <w:color w:val="auto"/>
              </w:rPr>
            </w:pPr>
          </w:p>
        </w:tc>
      </w:tr>
      <w:tr>
        <w:trPr>
          <w:trHeight w:val="247"/>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2019</w:t>
            </w:r>
          </w:p>
        </w:tc>
        <w:tc>
          <w:tcPr>
            <w:tcW w:w="8200" w:type="dxa"/>
            <w:vAlign w:val="bottom"/>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4"/>
                <w:szCs w:val="24"/>
                <w:color w:val="auto"/>
                <w:vertAlign w:val="superscript"/>
              </w:rPr>
              <w:t>(1)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shd w:val="clear" w:color="auto" w:fill="CFF0FC"/>
          </w:tcPr>
          <w:p>
            <w:pPr>
              <w:spacing w:after="0"/>
              <w:rPr>
                <w:sz w:val="21"/>
                <w:szCs w:val="21"/>
                <w:color w:val="auto"/>
              </w:rPr>
            </w:pPr>
          </w:p>
        </w:tc>
      </w:t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2014</w:t>
            </w: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3"/>
        </w:trPr>
        <w:tc>
          <w:tcPr>
            <w:tcW w:w="8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720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85,327</w:t>
            </w:r>
          </w:p>
        </w:tc>
        <w:tc>
          <w:tcPr>
            <w:tcW w:w="22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111,012</w:t>
            </w:r>
          </w:p>
        </w:tc>
        <w:tc>
          <w:tcPr>
            <w:tcW w:w="100" w:type="dxa"/>
            <w:vAlign w:val="bottom"/>
            <w:tcBorders>
              <w:top w:val="single" w:sz="8" w:color="CFF0FC"/>
            </w:tcBorders>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-187960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right="80" w:hanging="512"/>
        <w:spacing w:after="0" w:line="25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rate is subject to adjustment upon the occurrence of certain specified events, including voluntary conversion of the 2019 Notes prior to the Company’s exercise of the Issuer’s Conversion Option (as defined in the 2019 Notes) or in connection with a make-whole fundamental change, entitling the holders, under certain circumstances, to a make-whole premium in the form of an increase in the conversion rate determined based on the effective date and current price of the Company’s common stock, subject to a minimum and maximum price per share. The maximum number of additional shares of the Company's common stock that may be issued under the make-whole premium is 4,741,374 shares.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on the 2019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6849110</wp:posOffset>
            </wp:positionH>
            <wp:positionV relativeFrom="paragraph">
              <wp:posOffset>-169545</wp:posOffset>
            </wp:positionV>
            <wp:extent cx="2501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019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-32385</wp:posOffset>
            </wp:positionV>
            <wp:extent cx="571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175,910 shares of the Company's common stock that were repurchased during the three months ended September 30, 2023, and the 15,448,533 and 2,634,594 shares repurchased during the nine months ended September 30, 2024 and 2023, respectively, have also been excluded from the Company's net loss per share and diluted net loss per share calculations.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spacing w:after="0" w:line="17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Company recorded income tax expense of $0.1 million in each of the three months ended September 30, 2024 and 2023, and income tax expense of $0.3 million and $0.6 million in the nine months ended September 30, 2024 and 2023, respectively. The decrease in the Company's tax provision reflects the effect of the Company's foreign operations, which reported lower pre-tax income in the first nine months of 2024 compared to the same period in 2023.</w:t>
      </w:r>
    </w:p>
    <w:p>
      <w:pPr>
        <w:spacing w:after="0" w:line="159" w:lineRule="exact"/>
        <w:rPr>
          <w:sz w:val="20"/>
          <w:szCs w:val="20"/>
          <w:color w:val="auto"/>
        </w:rPr>
      </w:pPr>
    </w:p>
    <w:p>
      <w:pPr>
        <w:jc w:val="both"/>
        <w:ind w:right="460"/>
        <w:spacing w:after="0" w:line="288" w:lineRule="auto"/>
        <w:rPr>
          <w:sz w:val="20"/>
          <w:szCs w:val="20"/>
          <w:color w:val="auto"/>
        </w:rPr>
      </w:pPr>
      <w:r>
        <w:rPr>
          <w:rFonts w:ascii="Times New Roman" w:cs="Times New Roman" w:eastAsia="Times New Roman" w:hAnsi="Times New Roman"/>
          <w:sz w:val="17"/>
          <w:szCs w:val="17"/>
          <w:color w:val="auto"/>
        </w:rPr>
        <w:t>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9" w:name="page30"/>
    <w:bookmarkEnd w:id="29"/>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The Company operates in two reportable segments: proteomics and genomics. Each segment is identified by its unique portfolio of products. Proteomics includes instruments, consumables, software, and services based upon technologies used in the identification of proteins. Genomics includes instruments, consumables, software, and services based upon technologies used in the identification of genes (DNA, RNA) and their functions.</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CODM began using operating income to measure the operating performance of the segments. The Company determines each segment’s operating income by subtracting direct expenses, including cost of revenues, research and development expense, and sales and marketing expense, from revenues. Amortization, depreciation, and restructuring charges are included in each segment’s operating expenses. Corporate costs, including general and administrative expenses for functions shared by both operating segments such as executive management, human resources, and finance, along with interest and taxes, and transaction and integration expenses are excluded from each segment’s results, which is consistent with how our CODM evaluates segment performance.</w:t>
      </w:r>
    </w:p>
    <w:p>
      <w:pPr>
        <w:spacing w:after="0" w:line="186"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Company does not prepare or report segmented balance sheet information as the CODM does not use the information to assess segment operating performance. The segments adhere to the same accounting policies as the Company as a whole.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segment information was as follows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7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Proteomics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127,714</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Proteomics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(10,210 )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(48,485 )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(16,297 )</w:t>
            </w:r>
          </w:p>
        </w:tc>
      </w:tr>
      <w:tr>
        <w:trPr>
          <w:trHeight w:val="247"/>
        </w:trPr>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expenses</w:t>
            </w: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(16,013 )</w:t>
            </w:r>
          </w:p>
        </w:tc>
        <w:tc>
          <w:tcPr>
            <w:tcW w:w="2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(10,703 )</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(59,217 )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(31,877 )</w:t>
            </w:r>
          </w:p>
        </w:tc>
      </w:tr>
      <w:tr>
        <w:trPr>
          <w:trHeight w:val="247"/>
        </w:trPr>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(2,341 )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(1,998 )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(12,374 )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(5,415 )</w:t>
            </w:r>
          </w:p>
        </w:tc>
      </w:tr>
      <w:tr>
        <w:trPr>
          <w:trHeight w:val="238"/>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(5,079 )</w:t>
            </w:r>
          </w:p>
        </w:tc>
        <w:tc>
          <w:tcPr>
            <w:tcW w:w="2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(1,666 )</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(25,024 )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(1,666 )</w:t>
            </w: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from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(31,718 )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(21,172 )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(142,419 )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(55,214 )</w:t>
            </w:r>
          </w:p>
        </w:tc>
      </w:tr>
      <w:tr>
        <w:trPr>
          <w:trHeight w:val="463"/>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Depreciation &amp; amortization:</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Proteomics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r>
      <w:tr>
        <w:trPr>
          <w:trHeight w:val="243"/>
        </w:trPr>
        <w:tc>
          <w:tcPr>
            <w:tcW w:w="5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&amp;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-2414270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-2414270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-2414270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-2414270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-984250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-967105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-984250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-967105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-984250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-967105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-984250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-967105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-187960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Related Charges</w:t>
      </w:r>
    </w:p>
    <w:p>
      <w:pPr>
        <w:spacing w:after="0" w:line="12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April 2024, following a strategic review of the combined business after completion of the Merger, the Company announced a workforce reduction plan (the "Strategic Reorganization") to reduce operating costs and focus on long-term growth opportunities. Under this Strategic Reorganization, the Company reduced its workforce by approximately 10% of its total workforce, with the majority of these employees separating by July 2024. Employees who were impacted by the Strategic Reorganization were eligible to receive severance and other benefits contingent upon an impacted employee's execution of a separation agreement. Certain impacted employees were covered by employment agreements or existing severance plans that provided termination benefits.</w:t>
      </w:r>
    </w:p>
    <w:p>
      <w:pPr>
        <w:spacing w:after="0" w:line="61"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color w:val="auto"/>
        </w:rPr>
        <w:t xml:space="preserve">One-time termination benefits were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while termination benefits under ongoing benefit arrangement were recorded pursuant to ASC 712, </w:t>
      </w:r>
      <w:r>
        <w:rPr>
          <w:rFonts w:ascii="Times New Roman" w:cs="Times New Roman" w:eastAsia="Times New Roman" w:hAnsi="Times New Roman"/>
          <w:sz w:val="18"/>
          <w:szCs w:val="18"/>
          <w:i w:val="1"/>
          <w:iCs w:val="1"/>
          <w:color w:val="auto"/>
        </w:rPr>
        <w:t>Compensation - Nonretirement Postemployment Benefits</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Company recognized restructuring charges of approximately $2.3 million and $12.4 million during the three and nine months ended September 30, 2024, respectively, related to a restructuring plan implemented after the Merger to integrate operations and realize synergies.</w:t>
      </w:r>
    </w:p>
    <w:p>
      <w:pPr>
        <w:spacing w:after="0" w:line="5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recognized restructuring and related charges of $2.0 million and $5.4 million, respectively, related to a restructuring plan implemented in 2022 to improve the Company's operational efficiency.</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also continues to recognize ongoing restructuring charges from its restructuring plans for facility-related costs, which will continue through the termination of the facility leases.</w:t>
      </w:r>
    </w:p>
    <w:p>
      <w:pPr>
        <w:spacing w:after="0" w:line="16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change in the Company’s restructuring and other related liabilities for the nine months ended September 30, 2024 (in thousands):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9"/>
                <w:szCs w:val="19"/>
                <w:b w:val="1"/>
                <w:bCs w:val="1"/>
                <w:color w:val="auto"/>
                <w:vertAlign w:val="superscript"/>
              </w:rPr>
              <w:t>(2)</w:t>
            </w:r>
          </w:p>
        </w:tc>
        <w:tc>
          <w:tcPr>
            <w:tcW w:w="2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7"/>
              </w:rPr>
              <w:t>benefits</w:t>
            </w:r>
            <w:r>
              <w:rPr>
                <w:rFonts w:ascii="Times New Roman" w:cs="Times New Roman" w:eastAsia="Times New Roman" w:hAnsi="Times New Roman"/>
                <w:sz w:val="19"/>
                <w:szCs w:val="19"/>
                <w:b w:val="1"/>
                <w:bCs w:val="1"/>
                <w:color w:val="auto"/>
                <w:w w:val="97"/>
                <w:vertAlign w:val="superscript"/>
              </w:rPr>
              <w:t>(1)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(7,806 )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(2,108 )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(744 )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(10,658 )</w:t>
            </w: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-187960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right="540" w:hanging="512"/>
        <w:spacing w:after="0" w:line="26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liabilities are recorded in accrued liabilities on the condensed consolidated balance sheets. Substantially all severance and other employee-related benefits related to ongoing benefit arrangements and were recorded pursuant to ASC 712.</w:t>
      </w:r>
    </w:p>
    <w:p>
      <w:pPr>
        <w:spacing w:after="0" w:line="1" w:lineRule="exact"/>
        <w:rPr>
          <w:rFonts w:ascii="Times New Roman" w:cs="Times New Roman" w:eastAsia="Times New Roman" w:hAnsi="Times New Roman"/>
          <w:sz w:val="18"/>
          <w:szCs w:val="18"/>
          <w:color w:val="auto"/>
        </w:rPr>
      </w:pPr>
    </w:p>
    <w:p>
      <w:pPr>
        <w:ind w:left="520" w:right="760" w:hanging="512"/>
        <w:spacing w:after="0" w:line="26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restructuring liabilities are comprised mainly of sublease commissions and are recorded in other accrued liabilities on the condensed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restructuring and related charges by segment and corporate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Proteomics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Genomics</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expenses</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2,341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 and related charges</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2,341</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16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spacing w:after="0" w:line="12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unaudited financial information and the notes thereto included appearing elsewhere in this Quarterly Report on Form 10-Q, and the audited financial information and the notes thereto included in our Annual Report on Form 10-K for the year ended December 31, 2023 filed with the Securities and Exchange Commission (the "SEC") on March 1, 2024 (the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our actual results could differ materially from the results described in, or implied by, the forward-looking statements contained in the following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69215</wp:posOffset>
            </wp:positionV>
            <wp:extent cx="19951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95170" cy="8255"/>
                    </a:xfrm>
                    <a:prstGeom prst="rect">
                      <a:avLst/>
                    </a:prstGeom>
                    <a:noFill/>
                  </pic:spPr>
                </pic:pic>
              </a:graphicData>
            </a:graphic>
          </wp:anchor>
        </w:drawing>
      </w:r>
    </w:p>
    <w:p>
      <w:pPr>
        <w:spacing w:after="0" w:line="19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“Standard BioTools” the “Company,” “we,” “us,” and “our” refer to Standard BioTools Inc. and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Standard BioTools Inc. is driven by a bold purpose – unleashing tools to accelerate breakthroughs in human health. We have an established portfolio of essential technologies that assist biomedical researchers develop medicines faster and better. We have created high resolution instruments designed to provide reliable and repeatable insights in health and disease, through the use of our proprietary mass cytometry and microfluidics technologies, which are useful in proteomics and genomics, to help transform scientific discoveries into better patient outcomes.</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Additionally, we have an integrated proteomics platform ("SomaScan® Platform") capable of robust, high throughput proteomics analysis with broad proteome coverage, low limits of detection, and high reproducibility. Our SomaScan® Platform, together with our industry-leading single-cell proteomics and spatial proteomics solutions, comprise a comprehensive services offering to customers working to identify biomarkers of predictive response, mechanism of action, and patient stratification in their studies.</w:t>
      </w:r>
    </w:p>
    <w:p>
      <w:pPr>
        <w:spacing w:after="0" w:line="18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distribute our instruments through our direct sales force and support organizations located in North America, Europe, and Asia-Pacific, and through distributors or sales agents in several European, Latin American, Middle Eastern, and Asia-Pacific countries. We also offer lab services where we use our instruments, especially the SomaScan® Platform, to analyze customer samples within our own facility. Additionally, we have authorized third-party sites globally to conduct SomaScan® assays using our proprietary technology.</w:t>
      </w:r>
    </w:p>
    <w:p>
      <w:pPr>
        <w:spacing w:after="0" w:line="7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work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Our leadership team identified three strategic priorities: revenue growth, improving operating discipline and strategic capital allocation, as more fully discussed in Part I Item 1 “Business” in our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January 5, 2024, we completed the Merger pursuant to an Agreement and Plan of Merger, dated as of October 4, 2023 (the “Merger Agreement”), by and among us, SomaLogic and Martis Merger Sub, Inc. (“Merger Sub”), pursuant to which Merger Sub merged with and into SomaLogic, with SomaLogic surviving as our wholly owned subsidiary. Upon the terms and subject to the conditions set forth in the Merger Agreement, at the effective time of the Merger (the "Effective Time"), each share of SomaLogic Common Stock converted into the right to receive 1.11 shares of our common stock.</w:t>
      </w:r>
    </w:p>
    <w:p>
      <w:pPr>
        <w:spacing w:after="0" w:line="1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addition, as of the Effective Time, we assumed each SomaLogic stock incentive plan, outstanding option to purchase shares of SomaLogic Common Stock and outstanding RSUs, whether vested or unvested. In addition, as of the Effective Time, each SomaLogic warrant was treated in accordance with its terms.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have been important to our business and we expect them to impact our results of operations and financial condition in future periods:</w:t>
      </w:r>
    </w:p>
    <w:p>
      <w:pPr>
        <w:spacing w:after="0" w:line="117"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adoption of our services and products: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32" w:name="page33"/>
    <w:bookmarkEnd w:id="32"/>
    <w:p>
      <w:pPr>
        <w:ind w:left="1540" w:right="8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well-established base of marquee customer and key opinion leader (“KOL”) relationships in place, and as we grow further, we expect to win contracts with new customers and expand the scope of existing contracts with existing customers.</w:t>
      </w:r>
    </w:p>
    <w:p>
      <w:pPr>
        <w:spacing w:after="0" w:line="54" w:lineRule="exact"/>
        <w:rPr>
          <w:rFonts w:ascii="Times New Roman" w:cs="Times New Roman" w:eastAsia="Times New Roman" w:hAnsi="Times New Roman"/>
          <w:sz w:val="18"/>
          <w:szCs w:val="18"/>
          <w:color w:val="auto"/>
        </w:rPr>
      </w:pPr>
    </w:p>
    <w:p>
      <w:pPr>
        <w:ind w:left="1540" w:right="20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focus on growth in instrument placements, including the SomaScan® authorized sites ("Authorized Sites") program, which we expect to drive future growth in sales of consumables, SomaScan® assay kits, and field services.</w:t>
      </w:r>
    </w:p>
    <w:p>
      <w:pPr>
        <w:spacing w:after="0" w:line="54" w:lineRule="exact"/>
        <w:rPr>
          <w:rFonts w:ascii="Times New Roman" w:cs="Times New Roman" w:eastAsia="Times New Roman" w:hAnsi="Times New Roman"/>
          <w:sz w:val="18"/>
          <w:szCs w:val="18"/>
          <w:color w:val="auto"/>
        </w:rPr>
      </w:pPr>
    </w:p>
    <w:p>
      <w:pPr>
        <w:ind w:left="1540" w:right="2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enhance our proteomics offering through continuous improvements to our proteomics instruments, and the commercial release of the LabThread SLX, which is a fully integrated system optimized for running the SomaScan® assay.</w:t>
      </w:r>
    </w:p>
    <w:p>
      <w:pPr>
        <w:spacing w:after="0" w:line="54" w:lineRule="exact"/>
        <w:rPr>
          <w:rFonts w:ascii="Times New Roman" w:cs="Times New Roman" w:eastAsia="Times New Roman" w:hAnsi="Times New Roman"/>
          <w:sz w:val="18"/>
          <w:szCs w:val="18"/>
          <w:color w:val="auto"/>
        </w:rPr>
      </w:pPr>
    </w:p>
    <w:p>
      <w:pPr>
        <w:ind w:left="1540" w:right="20" w:hanging="514"/>
        <w:spacing w:after="0" w:line="258"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offering.</w:t>
      </w:r>
    </w:p>
    <w:p>
      <w:pPr>
        <w:spacing w:after="0" w:line="7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growth:</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invest significantly in our laboratory process and commercial infrastructure.</w:t>
      </w:r>
    </w:p>
    <w:p>
      <w:pPr>
        <w:spacing w:after="0" w:line="116" w:lineRule="exact"/>
        <w:rPr>
          <w:rFonts w:ascii="Times New Roman" w:cs="Times New Roman" w:eastAsia="Times New Roman" w:hAnsi="Times New Roman"/>
          <w:sz w:val="18"/>
          <w:szCs w:val="18"/>
          <w:color w:val="auto"/>
        </w:rPr>
      </w:pPr>
    </w:p>
    <w:p>
      <w:pPr>
        <w:ind w:left="1540" w:right="12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research and development will include hiring of employees with the necessary scientific and technical backgrounds to enable enhancements to our existing services and products and bring new services and products to market.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lower operating costs:</w:t>
      </w:r>
    </w:p>
    <w:p>
      <w:pPr>
        <w:spacing w:after="0" w:line="116" w:lineRule="exact"/>
        <w:rPr>
          <w:rFonts w:ascii="Times New Roman" w:cs="Times New Roman" w:eastAsia="Times New Roman" w:hAnsi="Times New Roman"/>
          <w:sz w:val="18"/>
          <w:szCs w:val="18"/>
          <w:color w:val="auto"/>
        </w:rPr>
      </w:pPr>
    </w:p>
    <w:p>
      <w:pPr>
        <w:ind w:left="1540" w:right="28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integrate with SomaLogic, we continue to focus on improving operating discipline through implementation of lean Standard BioTools Business System principles to build more efficient operations and reduce costs.</w:t>
      </w:r>
    </w:p>
    <w:p>
      <w:pPr>
        <w:spacing w:after="0" w:line="54" w:lineRule="exact"/>
        <w:rPr>
          <w:rFonts w:ascii="Times New Roman" w:cs="Times New Roman" w:eastAsia="Times New Roman" w:hAnsi="Times New Roman"/>
          <w:sz w:val="18"/>
          <w:szCs w:val="18"/>
          <w:color w:val="auto"/>
        </w:rPr>
      </w:pPr>
    </w:p>
    <w:p>
      <w:pPr>
        <w:ind w:left="1540" w:hanging="514"/>
        <w:spacing w:after="0" w:line="265"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reduce the cost of manufacturing SOMAmer® reagents by, in part, modifying our assays and laboratory processes to use materials and technologies that provide equal or greater quality at lower cost, improving how we manage our materials and negotiating favorable terms for our materials purchases.</w:t>
      </w:r>
    </w:p>
    <w:p>
      <w:pPr>
        <w:spacing w:after="0" w:line="69" w:lineRule="exact"/>
        <w:rPr>
          <w:rFonts w:ascii="Times New Roman" w:cs="Times New Roman" w:eastAsia="Times New Roman" w:hAnsi="Times New Roman"/>
          <w:sz w:val="18"/>
          <w:szCs w:val="18"/>
          <w:color w:val="auto"/>
        </w:rPr>
      </w:pPr>
    </w:p>
    <w:p>
      <w:pPr>
        <w:ind w:left="1540" w:right="14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reduce the cost of performing the SomaScan® assay as we move to either a less expensive array or NGS system for our DNA readout of the protein concentrations present in a sample.</w:t>
      </w:r>
    </w:p>
    <w:p>
      <w:pPr>
        <w:spacing w:after="0" w:line="54" w:lineRule="exact"/>
        <w:rPr>
          <w:rFonts w:ascii="Times New Roman" w:cs="Times New Roman" w:eastAsia="Times New Roman" w:hAnsi="Times New Roman"/>
          <w:sz w:val="18"/>
          <w:szCs w:val="18"/>
          <w:color w:val="auto"/>
        </w:rPr>
      </w:pPr>
    </w:p>
    <w:p>
      <w:pPr>
        <w:ind w:left="1540" w:right="8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general and administrative expenses to trend downward during the second half of 2024 as we reduce headcount and realize synergies from the Merger.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116" w:lineRule="exact"/>
        <w:rPr>
          <w:rFonts w:ascii="Times New Roman" w:cs="Times New Roman" w:eastAsia="Times New Roman" w:hAnsi="Times New Roman"/>
          <w:sz w:val="18"/>
          <w:szCs w:val="18"/>
          <w:color w:val="auto"/>
        </w:rPr>
      </w:pPr>
    </w:p>
    <w:p>
      <w:pPr>
        <w:ind w:left="1540" w:right="2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can be seasonal dependent upon the procurement and budgeting cycles of many of our customers, especially government-or grant-funded customers, whose cycles often coincide with government fiscal year ends.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proteomic content:</w:t>
      </w:r>
    </w:p>
    <w:p>
      <w:pPr>
        <w:spacing w:after="0" w:line="116" w:lineRule="exact"/>
        <w:rPr>
          <w:rFonts w:ascii="Times New Roman" w:cs="Times New Roman" w:eastAsia="Times New Roman" w:hAnsi="Times New Roman"/>
          <w:sz w:val="18"/>
          <w:szCs w:val="18"/>
          <w:color w:val="auto"/>
        </w:rPr>
      </w:pPr>
    </w:p>
    <w:p>
      <w:pPr>
        <w:ind w:left="1540" w:right="60" w:hanging="514"/>
        <w:spacing w:after="0" w:line="280" w:lineRule="auto"/>
        <w:tabs>
          <w:tab w:leader="none" w:pos="15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SomaScan® 11K Platform now includes protein measurements on a broader range of sample types, including cerebrospinal fluid, aqueous humor, tissue homogenates and cell lysates. The SomaScan® Platform provides the largest number of protein measurements and the greatest number of orthogonally confirmed protein reagents in the proteomics industry —11,000 protein measurements simultaneously from sample volumes as low as 55 µl—giving researchers access to half of the human proteome in just one assay.</w:t>
      </w:r>
    </w:p>
    <w:p>
      <w:pPr>
        <w:spacing w:after="0" w:line="58" w:lineRule="exact"/>
        <w:rPr>
          <w:rFonts w:ascii="Times New Roman" w:cs="Times New Roman" w:eastAsia="Times New Roman" w:hAnsi="Times New Roman"/>
          <w:sz w:val="17"/>
          <w:szCs w:val="17"/>
          <w:color w:val="auto"/>
        </w:rPr>
      </w:pPr>
    </w:p>
    <w:p>
      <w:pPr>
        <w:ind w:left="1540" w:right="18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our competitive advantage in the proteomics market, we plan to increase the number of protein reagents for commercial availability based on allocated funding, resource availability, and the successful validation of new reagents.</w:t>
      </w:r>
    </w:p>
    <w:p>
      <w:pPr>
        <w:spacing w:after="0" w:line="54" w:lineRule="exact"/>
        <w:rPr>
          <w:rFonts w:ascii="Times New Roman" w:cs="Times New Roman" w:eastAsia="Times New Roman" w:hAnsi="Times New Roman"/>
          <w:sz w:val="18"/>
          <w:szCs w:val="18"/>
          <w:color w:val="auto"/>
        </w:rPr>
      </w:pPr>
    </w:p>
    <w:p>
      <w:pPr>
        <w:ind w:left="1540" w:right="260" w:hanging="514"/>
        <w:spacing w:after="0" w:line="281"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expand our proteomics database and artificial intelligence and machine learning analytics to drive value and market opportunities.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33" w:name="page34"/>
    <w:bookmarkEnd w:id="33"/>
    <w:p>
      <w:pPr>
        <w:ind w:right="60"/>
        <w:spacing w:after="0" w:line="265" w:lineRule="auto"/>
        <w:rPr>
          <w:sz w:val="20"/>
          <w:szCs w:val="20"/>
          <w:color w:val="auto"/>
        </w:rPr>
      </w:pPr>
      <w:r>
        <w:rPr>
          <w:rFonts w:ascii="Times New Roman" w:cs="Times New Roman" w:eastAsia="Times New Roman" w:hAnsi="Times New Roman"/>
          <w:sz w:val="18"/>
          <w:szCs w:val="18"/>
          <w:color w:val="auto"/>
        </w:rPr>
        <w:t>We generate our revenue from three primary sources: (1) product revenue, (2) lab services revenue, and (3) field services revenues. We also derive revenue from collaborative arrangements, license agreements, grants, and royalties. Customers include top biopharmaceutical companies and leading academic research universities.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generate product revenue from the sale of instruments and consumables. Consumables revenue is largely driven by the size of our active installed base of instruments and the level of usage per instrument. Consumables revenue is also driven by the sale of SomaScan® assay kits, which is driven by the number of active SomaScan® Authorized Sites and the number of assays performed at those sites.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generate service revenue from the sale of lab services and field services. Lab services revenue is primarily generated by performing the SomaScan® assay on customer samples to generate data on protein biomarkers. We expect lab services revenue to increase over the long-term with new and recurring sales opportunities. With the enhancement of our proteomic services, we expect to capture more market opportunities outside of the United States region, as well as winning contracts with new customers and expanding the scope of sales with existing customers.</w:t>
      </w:r>
    </w:p>
    <w:p>
      <w:pPr>
        <w:spacing w:after="0" w:line="18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Field services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Collaboration and other revenue consists of fees earned for research and development services, except for grant revenue research and development services that are classified in other revenue. We believe expanding collaborative arrangements with KOLs will allow for further enhancements of our integrated platform, lower barriers to adoption and introduce or expand new market channels and customers within geographic regions and markets we do not currently operate 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condensed consolidated statements of operations and comprehensive loss. Our cost of product revenue and related product margin may fluctuate depending on the capacity utilization of our manufacturing facilities in response to market conditions and the demand for our products.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Cost of service revenue</w:t>
      </w:r>
    </w:p>
    <w:p>
      <w:pPr>
        <w:spacing w:after="0" w:line="22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Cost of service revenue consists of raw materials and production costs, personnel-related costs, overhead and other direct costs. It also includes costs for production variances for SOMAmer® reagents, such as yield losses, material usages, spending and capacity variances. Cost of service revenue is recognized in the period the related revenue is recognized.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service revenue and related service margin may fluctuate depending on the variability in material and labor costs of servicing.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including hiring additional employees, with an expected focus on advancing our proteomics products and services. As a result, we expect R&amp;D expenses will increase in absolute dollars in future periods and vary from period to period as a percentage of revenue.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4" w:right="359" w:bottom="1440" w:gutter="0" w:footer="0" w:header="0"/>
        </w:sectPr>
      </w:pPr>
    </w:p>
    <w:bookmarkStart w:id="34" w:name="page35"/>
    <w:bookmarkEnd w:id="34"/>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w:t>
      </w:r>
    </w:p>
    <w:p>
      <w:pPr>
        <w:spacing w:after="0" w:line="121"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SG&amp;A expenses consist primarily of personnel-related costs for our sales and marketing, business development, finance, legal, human resources, information technology and general management teams, as well as professional services, including legal and accounting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Charges</w:t>
      </w:r>
    </w:p>
    <w:p>
      <w:pPr>
        <w:spacing w:after="0" w:line="12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Restructuring and related charges primarily consist of severance costs related to our recent reduction-in-force and facilities costs for floors we have subleased or have the intent to sublease (net of sublease income) under our facility lease in South San Francisco. These costs, including a reduction-in-force, are incurred to improve operational efficiency, achieve cost savings and align our workforce to the future needs of the business. In addition to the reduction-in-force, we are reducing leased office space, optimizing our manufacturing footprint and streamlining support functions.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Expenses</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Transaction and integration expenses consist of costs incurred in connection with acquisition-related activities, including legal, advisory, accounting and other transaction-related costs including integration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Bargain Purchase Gain</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Bargain purchase gain represents the excess of fair value of the assets acquired and liabilities assumed over the fair value of the consideration transferred in connection with the Merger. We determined that the bargain purchase gain was primarily attributable to a rapid decline in our stock price in the days following the announcement of the Merger, which persisted through the close of the Merger.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following table presents our unaudited condensed consolidated statements of operations and as a percentage of total revenue for the three and nine months ended September 30, 2024 and 2023 ($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100 %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100 %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127,714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100 %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29"/>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services revenue</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46"/>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collaboration and other revenue</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180" w:type="dxa"/>
            <w:vAlign w:val="bottom"/>
          </w:tcPr>
          <w:p>
            <w:pPr>
              <w:spacing w:after="0"/>
              <w:rPr>
                <w:sz w:val="21"/>
                <w:szCs w:val="21"/>
                <w:color w:val="auto"/>
              </w:rPr>
            </w:pP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80" w:type="dxa"/>
            <w:vAlign w:val="bottom"/>
          </w:tcPr>
          <w:p>
            <w:pPr>
              <w:spacing w:after="0"/>
              <w:rPr>
                <w:sz w:val="21"/>
                <w:szCs w:val="21"/>
                <w:color w:val="auto"/>
              </w:rPr>
            </w:pPr>
          </w:p>
        </w:tc>
        <w:tc>
          <w:tcPr>
            <w:tcW w:w="11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49 %</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29"/>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119,020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29"/>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46"/>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204,776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(31,718 )</w:t>
            </w: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(21,172 )</w:t>
            </w: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tcPr>
          <w:p>
            <w:pPr>
              <w:spacing w:after="0"/>
              <w:rPr>
                <w:sz w:val="18"/>
                <w:szCs w:val="18"/>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(142,419 )</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(55,214 )</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180" w:type="dxa"/>
            <w:vAlign w:val="bottom"/>
          </w:tcPr>
          <w:p>
            <w:pPr>
              <w:spacing w:after="0"/>
              <w:rPr>
                <w:sz w:val="19"/>
                <w:szCs w:val="19"/>
                <w:color w:val="auto"/>
              </w:rPr>
            </w:pPr>
          </w:p>
        </w:tc>
        <w:tc>
          <w:tcPr>
            <w:tcW w:w="11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(115 )</w:t>
            </w:r>
          </w:p>
        </w:tc>
        <w:tc>
          <w:tcPr>
            <w:tcW w:w="3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21"/>
                <w:szCs w:val="21"/>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(865 )</w:t>
            </w:r>
          </w:p>
        </w:tc>
        <w:tc>
          <w:tcPr>
            <w:tcW w:w="3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(26,820 )</w:t>
            </w: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(60 )%</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(20,947 )</w:t>
            </w: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Pr>
          <w:p>
            <w:pPr>
              <w:spacing w:after="0"/>
              <w:rPr>
                <w:sz w:val="18"/>
                <w:szCs w:val="18"/>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(104,512 )</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(54,266 )</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45"/>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21"/>
                <w:szCs w:val="21"/>
                <w:color w:val="auto"/>
              </w:rPr>
            </w:pP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(118 )</w:t>
            </w:r>
          </w:p>
        </w:tc>
        <w:tc>
          <w:tcPr>
            <w:tcW w:w="3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(0 )%</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(50 )</w:t>
            </w:r>
          </w:p>
        </w:tc>
        <w:tc>
          <w:tcPr>
            <w:tcW w:w="3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21"/>
                <w:szCs w:val="21"/>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(301 )</w:t>
            </w:r>
          </w:p>
        </w:tc>
        <w:tc>
          <w:tcPr>
            <w:tcW w:w="3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(614 )</w:t>
            </w:r>
          </w:p>
        </w:tc>
        <w:tc>
          <w:tcPr>
            <w:tcW w:w="3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(26,938 )</w:t>
            </w:r>
          </w:p>
        </w:tc>
        <w:tc>
          <w:tcPr>
            <w:tcW w:w="3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(60 )%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(20,997 )</w:t>
            </w:r>
          </w:p>
        </w:tc>
        <w:tc>
          <w:tcPr>
            <w:tcW w:w="3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(82 )% $</w:t>
            </w: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(104,813 )</w:t>
            </w:r>
          </w:p>
        </w:tc>
        <w:tc>
          <w:tcPr>
            <w:tcW w:w="34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(82 )%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(54,880 )</w:t>
            </w:r>
          </w:p>
        </w:tc>
        <w:tc>
          <w:tcPr>
            <w:tcW w:w="3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-2987675</wp:posOffset>
            </wp:positionV>
            <wp:extent cx="7132320" cy="145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-2696210</wp:posOffset>
            </wp:positionV>
            <wp:extent cx="7132320" cy="145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-2097405</wp:posOffset>
            </wp:positionV>
            <wp:extent cx="7132320" cy="145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-1805940</wp:posOffset>
            </wp:positionV>
            <wp:extent cx="7132320" cy="145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-1515110</wp:posOffset>
            </wp:positionV>
            <wp:extent cx="7132320" cy="145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-2405380</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type and as a percentage of total revenue were as follows ($ in thousands):</w:t>
      </w: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262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22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35 %</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(38 )%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 $ 26,512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42"/>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Consumables</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Total product revenue</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line="20" w:lineRule="exact"/>
              <w:rPr>
                <w:sz w:val="1"/>
                <w:szCs w:val="1"/>
                <w:color w:val="auto"/>
              </w:rPr>
            </w:pPr>
          </w:p>
        </w:tc>
      </w:tr>
      <w:tr>
        <w:trPr>
          <w:trHeight w:val="219"/>
        </w:trPr>
        <w:tc>
          <w:tcPr>
            <w:tcW w:w="2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1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Lab services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Field services</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25 %</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272 %</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124,86</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and service revenue</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2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Collaboration and other</w:t>
            </w:r>
          </w:p>
        </w:tc>
        <w:tc>
          <w:tcPr>
            <w:tcW w:w="14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0 %</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942 %</w:t>
            </w:r>
          </w:p>
        </w:tc>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127,71</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30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14"/>
                <w:szCs w:val="14"/>
                <w:color w:val="auto"/>
              </w:rPr>
              <w:t xml:space="preserve">77 % </w:t>
            </w:r>
            <w:r>
              <w:rPr>
                <w:rFonts w:ascii="Times New Roman" w:cs="Times New Roman" w:eastAsia="Times New Roman" w:hAnsi="Times New Roman"/>
                <w:sz w:val="26"/>
                <w:szCs w:val="26"/>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 $ 78,152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-847090</wp:posOffset>
            </wp:positionV>
            <wp:extent cx="7132320" cy="2736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2997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1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Total revenue grew 77% to $45.0 million for the three months ended September 30, 2024, compared to the three months ended September 30, 2023, and grew 63% to $127.7 million for the nine months ended September 30, 2024, compared to the nine months ended September 30, 2023. Due to the acquisition of SomaLogic, revenue increased by $22.9 million and $61.5 million for the three and nine months ended September 30, 2024, respectively, compared to the same periods in 2023. These increases were offset by decreases of $3.3 million and $12.0 million in revenues from our legacy business for the three and nine months ended September 30, 2024, respectively, compared to the same periods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and as a percentage of total revenue were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288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262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Year-over-</w:t>
            </w:r>
          </w:p>
        </w:tc>
      </w:tr>
      <w:tr>
        <w:trPr>
          <w:trHeight w:val="169"/>
        </w:trPr>
        <w:tc>
          <w:tcPr>
            <w:tcW w:w="2100" w:type="dxa"/>
            <w:vAlign w:val="bottom"/>
          </w:tcPr>
          <w:p>
            <w:pPr>
              <w:spacing w:after="0"/>
              <w:rPr>
                <w:sz w:val="14"/>
                <w:szCs w:val="14"/>
                <w:color w:val="auto"/>
              </w:rPr>
            </w:pPr>
          </w:p>
        </w:tc>
        <w:tc>
          <w:tcPr>
            <w:tcW w:w="11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200" w:type="dxa"/>
            <w:vAlign w:val="bottom"/>
          </w:tcPr>
          <w:p>
            <w:pPr>
              <w:spacing w:after="0"/>
              <w:rPr>
                <w:sz w:val="14"/>
                <w:szCs w:val="14"/>
                <w:color w:val="auto"/>
              </w:rPr>
            </w:pPr>
          </w:p>
        </w:tc>
      </w:tr>
      <w:tr>
        <w:trPr>
          <w:trHeight w:val="204"/>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Proteomics 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$ 34,565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$ 14,008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55 %</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147 %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77 % $ 47,296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109 %</w:t>
            </w:r>
          </w:p>
        </w:tc>
      </w:tr>
      <w:tr>
        <w:trPr>
          <w:trHeight w:val="242"/>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Genomics 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45 %</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   30,856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127,71</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$ 44,969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$ 25,367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30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14"/>
                <w:szCs w:val="14"/>
                <w:color w:val="auto"/>
              </w:rPr>
              <w:t xml:space="preserve">77 % </w:t>
            </w:r>
            <w:r>
              <w:rPr>
                <w:rFonts w:ascii="Times New Roman" w:cs="Times New Roman" w:eastAsia="Times New Roman" w:hAnsi="Times New Roman"/>
                <w:sz w:val="26"/>
                <w:szCs w:val="26"/>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 $ 78,152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63 %</w:t>
            </w:r>
          </w:p>
        </w:tc>
      </w:tr>
      <w:tr>
        <w:trPr>
          <w:trHeight w:val="20"/>
        </w:trPr>
        <w:tc>
          <w:tcPr>
            <w:tcW w:w="2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454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2997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Total proteomics revenue grew 147% for the three months ended September 30, 2024, compared to the three months ended September 30, 2023, and grew 109% for the nine months ended September 30, 2024 compared to the nine months ended September 30, 2023. Our growth in proteomics was driven by the acquisition of SomaLogic, which expanded our proteomics capabilities, products and services.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Total genomics revenue decreased 8% for the three months ended September 30, 2024, compared to the three months ended September 30, 2023, and decreased 7% for the nine months ended September 30, 2024 compared to the nine months ended September 30, 2023. The continued decline in the genomics segment was anticipated, and is a driver of our continued focus on growing the OEM business and managing this segment to sustainable positive contribution margin in the near-term.</w:t>
      </w:r>
    </w:p>
    <w:p>
      <w:pPr>
        <w:sectPr>
          <w:pgSz w:w="11900" w:h="16838" w:orient="portrait"/>
          <w:cols w:equalWidth="0" w:num="1">
            <w:col w:w="11340"/>
          </w:cols>
          <w:pgMar w:left="320" w:top="1153" w:right="2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gross profit, and gross margin were as follows ($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51.7 %</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54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3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25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Year-over-</w:t>
            </w:r>
          </w:p>
        </w:tc>
      </w:tr>
      <w:tr>
        <w:trPr>
          <w:trHeight w:val="169"/>
        </w:trPr>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Change</w:t>
            </w:r>
          </w:p>
        </w:tc>
      </w:tr>
      <w:tr>
        <w:trPr>
          <w:trHeight w:val="228"/>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33,142</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38"/>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56"/>
        </w:trPr>
        <w:tc>
          <w:tcPr>
            <w:tcW w:w="13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36"/>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65,357</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13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15"/>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8"/>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48.8 %</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00" w:lineRule="exact"/>
        <w:rPr>
          <w:sz w:val="20"/>
          <w:szCs w:val="20"/>
          <w:color w:val="auto"/>
        </w:rPr>
      </w:pPr>
    </w:p>
    <w:p>
      <w:pPr>
        <w:sectPr>
          <w:pgSz w:w="11900" w:h="16838" w:orient="portrait"/>
          <w:cols w:equalWidth="0" w:num="2">
            <w:col w:w="6160" w:space="60"/>
            <w:col w:w="5120"/>
          </w:cols>
          <w:pgMar w:left="320" w:top="1153" w:right="239" w:bottom="1440" w:gutter="0" w:footer="0" w:header="0"/>
          <w:type w:val="continuous"/>
        </w:sectPr>
      </w:pPr>
    </w:p>
    <w:p>
      <w:pPr>
        <w:spacing w:after="0" w:line="1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3" w:right="239" w:bottom="1440" w:gutter="0" w:footer="0" w:header="0"/>
          <w:type w:val="continuous"/>
        </w:sectPr>
      </w:pPr>
    </w:p>
    <w:bookmarkStart w:id="36" w:name="page37"/>
    <w:bookmarkEnd w:id="36"/>
    <w:p>
      <w:pPr>
        <w:ind w:right="140"/>
        <w:spacing w:after="0" w:line="260" w:lineRule="auto"/>
        <w:rPr>
          <w:sz w:val="20"/>
          <w:szCs w:val="20"/>
          <w:color w:val="auto"/>
        </w:rPr>
      </w:pPr>
      <w:r>
        <w:rPr>
          <w:rFonts w:ascii="Times New Roman" w:cs="Times New Roman" w:eastAsia="Times New Roman" w:hAnsi="Times New Roman"/>
          <w:sz w:val="18"/>
          <w:szCs w:val="18"/>
          <w:color w:val="auto"/>
        </w:rPr>
        <w:t>Gross profit increased by $12.1 million, or 109%, for the three months ended September 30, 2024, compared to the three months ended September 30, 2023, and increased by $25.3 million, or 68%, for the nine months ended September 30, 2024 compared to the nine months ended September 30, 2023. The increase in gross profit during the nine months ended September 30, 2024 compared to the nine months ended September 30, 2023 was primarily attributable to the impact from the Merger which resulted in increased revenue.</w:t>
      </w:r>
    </w:p>
    <w:p>
      <w:pPr>
        <w:sectPr>
          <w:pgSz w:w="11900" w:h="16838" w:orient="portrait"/>
          <w:cols w:equalWidth="0" w:num="1">
            <w:col w:w="11340"/>
          </w:cols>
          <w:pgMar w:left="320" w:top="1429" w:right="239" w:bottom="144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as follows ($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69"/>
        </w:trPr>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w:t>
            </w: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5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236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Year-over-</w:t>
            </w:r>
          </w:p>
        </w:tc>
      </w:tr>
      <w:tr>
        <w:trPr>
          <w:trHeight w:val="169"/>
        </w:trPr>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Change</w:t>
            </w:r>
          </w:p>
        </w:tc>
      </w:tr>
      <w:tr>
        <w:trPr>
          <w:trHeight w:val="228"/>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48,358</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56"/>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1402 %</w:t>
            </w:r>
          </w:p>
        </w:tc>
      </w:tr>
      <w:tr>
        <w:trPr>
          <w:trHeight w:val="236"/>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204,776</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629" w:lineRule="exact"/>
        <w:rPr>
          <w:sz w:val="20"/>
          <w:szCs w:val="20"/>
          <w:color w:val="auto"/>
        </w:rPr>
      </w:pPr>
    </w:p>
    <w:p>
      <w:pPr>
        <w:sectPr>
          <w:pgSz w:w="11900" w:h="16838" w:orient="portrait"/>
          <w:cols w:equalWidth="0" w:num="2">
            <w:col w:w="6120" w:space="260"/>
            <w:col w:w="4960"/>
          </w:cols>
          <w:pgMar w:left="320" w:top="1429" w:right="239" w:bottom="1440" w:gutter="0" w:footer="0" w:header="0"/>
          <w:type w:val="continuous"/>
        </w:sect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R&amp;D expense increased by $6.8 million, or 107%, for the three months ended September 30, 2024, compared to the three months ended September 30, 2023, and increased by $29.3 million, or 154%, for the nine months ended September 30, 2024, compared to the nine months ended September 30, 2023. The increase was primarily due to the impact of the Merger in the first quarter of 2024, which included increased salaries and benefits expense and stock-based compensation expense due to the expanded global workforce headcount.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SG&amp;A expense increased by $12.1 million, or 54%, for the three months ended September 30, 2024, compared to the three months ended September 30, 2023, and increased by $52.8 million, or 80%, for the nine months ended September 30, 2024 compared to the nine months ended September 30, 2023. The increase was primarily attributable to the impact of the Merger in the first quarter of 2024, which included increased salaries and benefits expense and stock-based compensation expense due to the expanded global workforce headcount.</w:t>
      </w:r>
    </w:p>
    <w:p>
      <w:pPr>
        <w:sectPr>
          <w:pgSz w:w="11900" w:h="16838" w:orient="portrait"/>
          <w:cols w:equalWidth="0" w:num="1">
            <w:col w:w="11340"/>
          </w:cols>
          <w:pgMar w:left="320" w:top="1429" w:right="2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Restructuring and Related Charges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related charges consisted of the following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244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69"/>
        </w:trPr>
        <w:tc>
          <w:tcPr>
            <w:tcW w:w="39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other termination benefits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1,511</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Facilities and other</w:t>
            </w: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and related charges</w:t>
            </w: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2,341</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224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Year-over-</w:t>
            </w:r>
          </w:p>
        </w:tc>
      </w:tr>
      <w:tr>
        <w:trPr>
          <w:trHeight w:val="169"/>
        </w:trPr>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Change</w:t>
            </w:r>
          </w:p>
        </w:tc>
      </w:tr>
      <w:tr>
        <w:trPr>
          <w:trHeight w:val="228"/>
        </w:trPr>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1"/>
        </w:trPr>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6"/>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6380" w:space="240"/>
            <w:col w:w="4720"/>
          </w:cols>
          <w:pgMar w:left="320" w:top="1429" w:right="239" w:bottom="1440" w:gutter="0" w:footer="0" w:header="0"/>
          <w:type w:val="continuous"/>
        </w:sect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Restructuring and related charges increased by $0.3 million for the three months ended September 30, 2024, compared to the three months ended September 30, 2023, and increased by $7.0 million for the nine months ended September 30, 2024 compared to the nine months ended September 30, 2023, driven by increased severance and termination benefits in connection with reductions in headcount following the Merger.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Transaction and Integration Expenses</w:t>
      </w:r>
    </w:p>
    <w:p>
      <w:pPr>
        <w:spacing w:after="0" w:line="121"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Transaction and integration expenses increased by $3.4 million for the three months ended September 30, 2024, compared to the three months ended September 30, 2023, and increased by $23.4 million for the nine months ended September 30, 2024, compared to the</w:t>
      </w:r>
    </w:p>
    <w:p>
      <w:pPr>
        <w:spacing w:after="0" w:line="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9"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same period in 2023. The increase was primarily due to legal, advisory, accounting costs, and integration expenses incurred in connection with the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incur additional integration costs in the future.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Bargain purchase gain</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Bargain purchase gain increased by $25.2 million for the nine months ended September 30, 2024, compared to the same period in 2023. The increase for the nine months ended September 30, 2024 was due to the consummation of the Merger in January 2024, which resulted in the fair value of assets acquired and liabilities assumed from the Merger exceeding the fair value of the consideration transferred due to a decline in our stock price following the announcement of the Merger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42424"/>
        </w:rPr>
        <w:t>Interest Income, net</w:t>
      </w:r>
    </w:p>
    <w:p>
      <w:pPr>
        <w:spacing w:after="0" w:line="12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The increase in other income, net of $3.6 million and $12.9 million for the three and nine months ended September 30, 2024, respectively, compared to the same period in 2023</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 xml:space="preserve"> was primarily due to the interest earned on increased balances of money market funds and short-term investments and higher interest rates, as well as a decrease in interest expense due to repayment of our term loan in March 2024. Money market funds balances and short-term investments increased as a result of the Merger with SomaLogic.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right="100"/>
        <w:spacing w:after="0" w:line="288" w:lineRule="auto"/>
        <w:rPr>
          <w:sz w:val="20"/>
          <w:szCs w:val="20"/>
          <w:color w:val="auto"/>
        </w:rPr>
      </w:pPr>
      <w:r>
        <w:rPr>
          <w:rFonts w:ascii="Times New Roman" w:cs="Times New Roman" w:eastAsia="Times New Roman" w:hAnsi="Times New Roman"/>
          <w:sz w:val="17"/>
          <w:szCs w:val="17"/>
          <w:color w:val="auto"/>
        </w:rPr>
        <w:t>We recorded income tax expense of $0.1 million in each of the three months ended September 30, 2024 and 2023, and income tax expense of $0.3 million and $0.6 million for the nine months ended September 30, 2024 and 2023, respectively. The decrease in our tax provision reflects the effect of our foreign operations, which reported lower pre-tax income in the nine months ended September 30, 2024 compared to the nine months ended September 30, 2023.</w:t>
      </w:r>
    </w:p>
    <w:p>
      <w:pPr>
        <w:spacing w:after="0" w:line="15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have experienced operating losses since inception and have an accumulated deficit of $1,151.6 million as of September 30, 2024. To date, we have funded our operating losses primarily through equity offerings, term loans, convertible notes and redeemable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spacing w:after="0" w:line="182"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ERP upgrade; and costs and timing of acquiring other businesses, assets or technologies.</w:t>
      </w:r>
    </w:p>
    <w:p>
      <w:pPr>
        <w:spacing w:after="0" w:line="177"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and short-term investments. Our collective balances of cash, cash equivalents, and short-term investments were $366.3 million at September 30, 2024 and $114.9 million at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 and Commitments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enter into arrangements that serve as sources of capital and the associated contractual agreements may result in firm or contingent obligations of us. In addition to our common stockholders’ equity, our sources of capital primarily include debt and operating leases. Our operating lease arrangements require cash repayment and our convertible debt that matures on December 1, 2024 contains rights that may result in their conversion to our common stock prior to maturity. On March 4, 2024, we fully repaid all outstanding indebtedness owed pursuant to the Term Loan Facility and terminated the agreement.</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4" w:right="379" w:bottom="1440" w:gutter="0" w:footer="0" w:header="0"/>
        </w:sectPr>
      </w:pPr>
    </w:p>
    <w:bookmarkStart w:id="38" w:name="page39"/>
    <w:bookmarkEnd w:id="38"/>
    <w:p>
      <w:pPr>
        <w:ind w:right="80"/>
        <w:spacing w:after="0" w:line="265" w:lineRule="auto"/>
        <w:rPr>
          <w:sz w:val="20"/>
          <w:szCs w:val="20"/>
          <w:color w:val="auto"/>
        </w:rPr>
      </w:pPr>
      <w:r>
        <w:rPr>
          <w:rFonts w:ascii="Times New Roman" w:cs="Times New Roman" w:eastAsia="Times New Roman" w:hAnsi="Times New Roman"/>
          <w:sz w:val="18"/>
          <w:szCs w:val="18"/>
          <w:color w:val="auto"/>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spacing w:after="0" w:line="1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Following the Merger, we assumed additional cash commitments, including a requirement under the agreement originally entered into by SomaLogic with Illumina Cambridge, Ltd. in December 2021, to engage with two contract manufacturing organizations in order to ensure manufacturing capacity. Specifically, we assumed minimum annual purchase commitments of $2.3 million with Integrated DNA Technologies, Inc. ("IDT") who is contracted to manufacture custom products. As the minimum contract term is three years, our total purchase commitment related to the agreement is $6.9 million. As of September 30, 2024, we have not yet began placing orders under the agreement with IDT.</w:t>
      </w:r>
    </w:p>
    <w:p>
      <w:pPr>
        <w:spacing w:after="0" w:line="18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 xml:space="preserve">The terms and provisions of our debt and leases are more fully discussed in </w:t>
      </w:r>
      <w:r>
        <w:rPr>
          <w:rFonts w:ascii="Times New Roman" w:cs="Times New Roman" w:eastAsia="Times New Roman" w:hAnsi="Times New Roman"/>
          <w:sz w:val="18"/>
          <w:szCs w:val="18"/>
          <w:u w:val="single" w:color="auto"/>
          <w:color w:val="0000FF"/>
        </w:rPr>
        <w:t>Notes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auto"/>
        </w:rPr>
        <w:t>, respectively, in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-184150</wp:posOffset>
            </wp:positionV>
            <wp:extent cx="3517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-184150</wp:posOffset>
            </wp:positionV>
            <wp:extent cx="571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summary was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(129,395 )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(29,226 )</w:t>
            </w: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(48,096 )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(5,806 )</w:t>
            </w: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36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(518 )</w:t>
            </w:r>
          </w:p>
        </w:tc>
        <w:tc>
          <w:tcPr>
            <w:tcW w:w="36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cash equivalents</w:t>
            </w:r>
          </w:p>
        </w:tc>
        <w:tc>
          <w:tcPr>
            <w:tcW w:w="36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8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the nine months ended September 30, 2024, we used $62.4 million of net proceeds from the sales and maturities of short-term investments to help fund $129.4 million of net cash used in operating activities, $40.5 million of common stock repurchases, and $8.2 million of repayment of term loan and convertible notes.</w:t>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 the nine months ended September 30, 2023, we used $36.1 million of net proceeds from the sales and maturities of short-term investments to help fund $29.2 million of net cash used in operating activities and $5.2 million of common stock repurchases.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2024, our routine business operations resulted in net cash outflows of $69.5 million. Our other uses of cash included payments of $39.4 million for transaction and integration costs, and payments of $10.0 million for restructuring costs.</w:t>
      </w:r>
    </w:p>
    <w:p>
      <w:pPr>
        <w:spacing w:after="0" w:line="5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increased by $100.2 million compared to the same period in 2023. The increase is primarily driven by the impact of the Merger, reflecting expanded global operations, as well as significant transaction, integration, and restructuring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$337.4 million compared to $33.4 million used in the nine months ended September 30, 2023. The nine months ended September 30, 2024 primarily reflects $280.0 million of cash and restricted cash acquired in the Merger, and $62.4 million of proceeds from sales and maturities of short-term investments, net of purchases. The nine months ended September 30, 2023 primarily reflects $36.1 million of proceeds from sales and maturities of short-term investments, net of purchases.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39" w:name="page40"/>
    <w:bookmarkEnd w:id="39"/>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was $48.1 million for the nine months ended September 30, 2024 compared to $5.8 million for the nine months ended September 30, 2023. For the nine months ended September 30, 2024, our primary uses of cash in financing activities included common stock repurchases of $40.5 million, and payments of $8.2 million to settle our term loan and reduce the amount of our outstanding convertible notes. For the nine months ended September 30, 2023, our primary use of cash in financing activities included common stock repurchases of $5.2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on our unaudited condensed consolidated financial statements and related notes, which have been prepared in accordance with U.S. GAAP.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income tax liabilities (assets) and preferred equity. Refer to Item 7 in our Annual Report for additional information regarding our critical accounting policies and estimates.</w:t>
      </w:r>
    </w:p>
    <w:p>
      <w:pPr>
        <w:spacing w:after="0" w:line="18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our significant accounting policies described in our Annual Report, other than 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accompanying financial statements appearing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6235065</wp:posOffset>
            </wp:positionH>
            <wp:positionV relativeFrom="paragraph">
              <wp:posOffset>-184150</wp:posOffset>
            </wp:positionV>
            <wp:extent cx="3073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interim Chief Financial Officer ("CFO"),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CEO and CFO concluded that, as of such date, our disclosure controls and procedures were effective at the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the Condensed Consolidated Financial Statements (Unaudited)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-184150</wp:posOffset>
            </wp:positionV>
            <wp:extent cx="3073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operate in a rapidly changing environment that involves numerous uncertainties and risks. You should carefully consider the risk factors discussed in Part I Item 1A “Risk Factors” in our Annual Report, which could materially affect our business, financial condition or results of operations.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Issuer Purchases of Equity Securities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6, 2024, our board of directors authorized a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September 30, 2024, we have repurchased 13,603,617 shares of our common stock under the 2024 Share Repurchase Program.</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provides monthly information with respect to the shares of common stock repurchased by us during the three months ended September 30,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1-31, 2024</w:t>
            </w:r>
          </w:p>
        </w:tc>
        <w:tc>
          <w:tcPr>
            <w:tcW w:w="120" w:type="dxa"/>
            <w:vAlign w:val="bottom"/>
            <w:shd w:val="clear" w:color="auto" w:fill="CFF0FC"/>
          </w:tcPr>
          <w:p>
            <w:pPr>
              <w:spacing w:after="0"/>
              <w:rPr>
                <w:sz w:val="20"/>
                <w:szCs w:val="20"/>
                <w:color w:val="auto"/>
              </w:rPr>
            </w:pPr>
          </w:p>
        </w:tc>
        <w:tc>
          <w:tcPr>
            <w:tcW w:w="17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7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8"/>
              </w:rPr>
              <w:t>$14.0 million</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1-31, 2024</w:t>
            </w:r>
          </w:p>
        </w:tc>
        <w:tc>
          <w:tcPr>
            <w:tcW w:w="120" w:type="dxa"/>
            <w:vAlign w:val="bottom"/>
          </w:tcPr>
          <w:p>
            <w:pPr>
              <w:spacing w:after="0"/>
              <w:rPr>
                <w:sz w:val="20"/>
                <w:szCs w:val="20"/>
                <w:color w:val="auto"/>
              </w:rPr>
            </w:pPr>
          </w:p>
        </w:tc>
        <w:tc>
          <w:tcPr>
            <w:tcW w:w="174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72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7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$14.0 million</w:t>
            </w:r>
          </w:p>
        </w:tc>
        <w:tc>
          <w:tcPr>
            <w:tcW w:w="0" w:type="dxa"/>
            <w:vAlign w:val="bottom"/>
          </w:tcPr>
          <w:p>
            <w:pPr>
              <w:spacing w:after="0"/>
              <w:rPr>
                <w:sz w:val="1"/>
                <w:szCs w:val="1"/>
                <w:color w:val="auto"/>
              </w:rPr>
            </w:pPr>
          </w:p>
        </w:tc>
      </w:tr>
      <w:tr>
        <w:trPr>
          <w:trHeight w:val="24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1-30, 2024</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8"/>
              </w:rPr>
              <w:t>$14.0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Average price paid per share includes commission fees.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2" w:name="page43"/>
    <w:bookmarkEnd w:id="42"/>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September 30, 2024, none of our officers or directors adopted, modified or terminated any such trading arrangements.</w:t>
      </w:r>
    </w:p>
    <w:p>
      <w:pPr>
        <w:spacing w:after="0" w:line="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80" w:type="dxa"/>
            <w:vAlign w:val="bottom"/>
            <w:gridSpan w:val="1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200" w:type="dxa"/>
            <w:vAlign w:val="bottom"/>
          </w:tcPr>
          <w:p>
            <w:pPr>
              <w:spacing w:after="0"/>
              <w:rPr>
                <w:sz w:val="12"/>
                <w:szCs w:val="12"/>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87"/>
        </w:trPr>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14"/>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20" w:type="dxa"/>
            <w:vAlign w:val="bottom"/>
            <w:tcBorders>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Eighth Amended and Restated Certificate of Incorporation of Standard BioTools</w:t>
              </w:r>
            </w:hyperlink>
          </w:p>
        </w:tc>
        <w:tc>
          <w:tcPr>
            <w:tcW w:w="22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10-K</w:t>
            </w:r>
          </w:p>
        </w:tc>
        <w:tc>
          <w:tcPr>
            <w:tcW w:w="2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5"/>
                <w:szCs w:val="15"/>
                <w:color w:val="auto"/>
              </w:rPr>
            </w:pPr>
          </w:p>
        </w:tc>
        <w:tc>
          <w:tcPr>
            <w:tcW w:w="11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3/28/2011</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8"/>
          </w:tcPr>
          <w:p>
            <w:pPr>
              <w:spacing w:after="0" w:line="195"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filed on February 15, 2011.</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374">
              <w:r>
                <w:rPr>
                  <w:rFonts w:ascii="Times New Roman" w:cs="Times New Roman" w:eastAsia="Times New Roman" w:hAnsi="Times New Roman"/>
                  <w:sz w:val="18"/>
                  <w:szCs w:val="18"/>
                  <w:color w:val="0000FF"/>
                  <w:w w:val="98"/>
                </w:rPr>
                <w:t>Amended and Restated Bylaws of Standard BioTools Inc.</w:t>
              </w:r>
            </w:hyperlink>
          </w:p>
        </w:tc>
        <w:tc>
          <w:tcPr>
            <w:tcW w:w="20" w:type="dxa"/>
            <w:vAlign w:val="bottom"/>
            <w:tcBorders>
              <w:bottom w:val="single" w:sz="8" w:color="0000EE"/>
            </w:tcBorders>
          </w:tcPr>
          <w:p>
            <w:pPr>
              <w:spacing w:after="0"/>
              <w:rPr>
                <w:sz w:val="24"/>
                <w:szCs w:val="24"/>
                <w:color w:val="auto"/>
              </w:rPr>
            </w:pPr>
          </w:p>
        </w:tc>
        <w:tc>
          <w:tcPr>
            <w:tcW w:w="188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4.8</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Certificate of Amendment to the Eighth Amended and Restated Certificate of</w:t>
              </w:r>
            </w:hyperlink>
          </w:p>
        </w:tc>
        <w:tc>
          <w:tcPr>
            <w:tcW w:w="44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4.3</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8"/>
          </w:tcPr>
          <w:p>
            <w:pPr>
              <w:spacing w:after="0" w:line="195"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Incorporation of Standard BioTools, Inc., as filed on April 1, 2022.</w:t>
              </w:r>
            </w:hyperlink>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2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Second Certificate of Amendment to the Eighth Amended and Restated Certificate</w:t>
              </w:r>
            </w:hyperlink>
          </w:p>
        </w:tc>
        <w:tc>
          <w:tcPr>
            <w:tcW w:w="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1/5/2024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of Incorporation, as amended, of Standard BioTools Inc., as filed on January 4,</w:t>
              </w:r>
            </w:hyperlink>
          </w:p>
        </w:tc>
        <w:tc>
          <w:tcPr>
            <w:tcW w:w="34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40" w:type="dxa"/>
            <w:vAlign w:val="bottom"/>
            <w:gridSpan w:val="3"/>
          </w:tcPr>
          <w:p>
            <w:pPr>
              <w:ind w:left="220"/>
              <w:spacing w:after="0" w:line="195" w:lineRule="exact"/>
              <w:rPr>
                <w:rFonts w:ascii="Times New Roman" w:cs="Times New Roman" w:eastAsia="Times New Roman" w:hAnsi="Times New Roman"/>
                <w:sz w:val="18"/>
                <w:szCs w:val="18"/>
                <w:color w:val="0000FF"/>
                <w:w w:val="98"/>
              </w:rPr>
            </w:pPr>
            <w:hyperlink r:id="rId376">
              <w:r>
                <w:rPr>
                  <w:rFonts w:ascii="Times New Roman" w:cs="Times New Roman" w:eastAsia="Times New Roman" w:hAnsi="Times New Roman"/>
                  <w:sz w:val="18"/>
                  <w:szCs w:val="18"/>
                  <w:color w:val="0000FF"/>
                  <w:w w:val="98"/>
                </w:rPr>
                <w:t>2024.</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Standard BioTools Inc. Amended and Restated 2011 Equity Incentive Plan, as</w:t>
              </w:r>
            </w:hyperlink>
          </w:p>
        </w:tc>
        <w:tc>
          <w:tcPr>
            <w:tcW w:w="40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7/1/2024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6"/>
              </w:rPr>
            </w:pPr>
            <w:hyperlink r:id="rId377">
              <w:r>
                <w:rPr>
                  <w:rFonts w:ascii="Times New Roman" w:cs="Times New Roman" w:eastAsia="Times New Roman" w:hAnsi="Times New Roman"/>
                  <w:sz w:val="18"/>
                  <w:szCs w:val="18"/>
                  <w:color w:val="0000FF"/>
                  <w:w w:val="96"/>
                </w:rPr>
                <w:t>Amended.</w:t>
              </w:r>
            </w:hyperlink>
          </w:p>
        </w:tc>
        <w:tc>
          <w:tcPr>
            <w:tcW w:w="20" w:type="dxa"/>
            <w:vAlign w:val="bottom"/>
            <w:tcBorders>
              <w:bottom w:val="single" w:sz="8" w:color="0000EE"/>
            </w:tcBorders>
          </w:tcPr>
          <w:p>
            <w:pPr>
              <w:spacing w:after="0"/>
              <w:rPr>
                <w:sz w:val="17"/>
                <w:szCs w:val="17"/>
                <w:color w:val="auto"/>
              </w:rPr>
            </w:pPr>
          </w:p>
        </w:tc>
        <w:tc>
          <w:tcPr>
            <w:tcW w:w="5280" w:type="dxa"/>
            <w:vAlign w:val="bottom"/>
            <w:gridSpan w:val="15"/>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2024 Change of Control and Severance Plan and Participation Agreement</w:t>
              </w:r>
            </w:hyperlink>
          </w:p>
        </w:tc>
        <w:tc>
          <w:tcPr>
            <w:tcW w:w="20" w:type="dxa"/>
            <w:vAlign w:val="bottom"/>
            <w:tcBorders>
              <w:bottom w:val="single" w:sz="8" w:color="0000EE"/>
            </w:tcBorders>
          </w:tcPr>
          <w:p>
            <w:pPr>
              <w:spacing w:after="0"/>
              <w:rPr>
                <w:sz w:val="24"/>
                <w:szCs w:val="24"/>
                <w:color w:val="auto"/>
              </w:rPr>
            </w:pPr>
          </w:p>
        </w:tc>
        <w:tc>
          <w:tcPr>
            <w:tcW w:w="72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8/30/2024</w:t>
            </w:r>
          </w:p>
        </w:tc>
        <w:tc>
          <w:tcPr>
            <w:tcW w:w="0" w:type="dxa"/>
            <w:vAlign w:val="bottom"/>
          </w:tcPr>
          <w:p>
            <w:pPr>
              <w:spacing w:after="0"/>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13a-14(a)/15d-14(a), as Adopted Pursuant to Section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7"/>
              </w:rPr>
              <w:t>302 of the Sarbanes-Oxley Act of 2002 of Chief Executive Officer.</w:t>
            </w:r>
          </w:p>
        </w:tc>
        <w:tc>
          <w:tcPr>
            <w:tcW w:w="60" w:type="dxa"/>
            <w:vAlign w:val="bottom"/>
            <w:tcBorders>
              <w:bottom w:val="single" w:sz="8" w:color="0000EE"/>
            </w:tcBorders>
          </w:tcPr>
          <w:p>
            <w:pPr>
              <w:spacing w:after="0"/>
              <w:rPr>
                <w:sz w:val="17"/>
                <w:szCs w:val="17"/>
                <w:color w:val="auto"/>
              </w:rPr>
            </w:pPr>
          </w:p>
        </w:tc>
        <w:tc>
          <w:tcPr>
            <w:tcW w:w="120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13a-14(a)/15d-14(a), as Adopted Pursuant to Section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302 of the Sarbanes-Oxley Act of 2002 of Chief Financial Officer.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7"/>
            <w:shd w:val="clear" w:color="auto" w:fill="0000FF"/>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w:t>
            </w:r>
          </w:p>
        </w:tc>
        <w:tc>
          <w:tcPr>
            <w:tcW w:w="1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7"/>
              </w:rPr>
              <w:t>906 of the Sarbanes-Oxley Act of 2002 of Chief Executive Officer.</w:t>
            </w:r>
          </w:p>
        </w:tc>
        <w:tc>
          <w:tcPr>
            <w:tcW w:w="60" w:type="dxa"/>
            <w:vAlign w:val="bottom"/>
            <w:tcBorders>
              <w:bottom w:val="single" w:sz="8" w:color="0000EE"/>
            </w:tcBorders>
          </w:tcPr>
          <w:p>
            <w:pPr>
              <w:spacing w:after="0"/>
              <w:rPr>
                <w:sz w:val="17"/>
                <w:szCs w:val="17"/>
                <w:color w:val="auto"/>
              </w:rPr>
            </w:pPr>
          </w:p>
        </w:tc>
        <w:tc>
          <w:tcPr>
            <w:tcW w:w="120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w:t>
            </w:r>
          </w:p>
        </w:tc>
        <w:tc>
          <w:tcPr>
            <w:tcW w:w="1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906 of the Sarbanes-Oxley Act of 2002 of Chief Financial Officer.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Borders>
              <w:right w:val="single" w:sz="8" w:color="0000EE"/>
            </w:tcBorders>
            <w:gridSpan w:val="7"/>
            <w:shd w:val="clear" w:color="auto" w:fill="0000FF"/>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Interactive Data File as its XBRL tags are embedded within the Inline XBRL</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contracts or compensation plans or arrangements in which directors or executive officers are eligible to participate.</w:t>
      </w:r>
    </w:p>
    <w:p>
      <w:pPr>
        <w:spacing w:after="0" w:line="126" w:lineRule="exact"/>
        <w:rPr>
          <w:sz w:val="20"/>
          <w:szCs w:val="20"/>
          <w:color w:val="auto"/>
        </w:rPr>
      </w:pPr>
    </w:p>
    <w:p>
      <w:pPr>
        <w:ind w:left="520" w:right="100" w:hanging="512"/>
        <w:spacing w:after="0" w:line="272" w:lineRule="auto"/>
        <w:tabs>
          <w:tab w:leader="none" w:pos="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1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62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6, 2024</w:t>
            </w:r>
          </w:p>
        </w:tc>
        <w:tc>
          <w:tcPr>
            <w:tcW w:w="1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 Michael Egholm, Ph.D.</w:t>
            </w:r>
          </w:p>
        </w:tc>
      </w:tr>
      <w:tr>
        <w:trPr>
          <w:trHeight w:val="27"/>
        </w:trPr>
        <w:tc>
          <w:tcPr>
            <w:tcW w:w="3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Michael Egholm, Ph.D.</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7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6, 2024</w:t>
            </w:r>
          </w:p>
        </w:tc>
        <w:tc>
          <w:tcPr>
            <w:tcW w:w="17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 Hanjoon Alex Kim</w:t>
            </w:r>
          </w:p>
        </w:tc>
      </w:tr>
      <w:tr>
        <w:trPr>
          <w:trHeight w:val="27"/>
        </w:trPr>
        <w:tc>
          <w:tcPr>
            <w:tcW w:w="3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Hanjoon Alex Kim</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Interim Chief Financial Officer</w:t>
            </w:r>
          </w:p>
        </w:tc>
      </w:tr>
      <w:tr>
        <w:trPr>
          <w:trHeight w:val="270"/>
        </w:trPr>
        <w:tc>
          <w:tcPr>
            <w:tcW w:w="30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566"/>
        </w:trPr>
        <w:tc>
          <w:tcPr>
            <w:tcW w:w="3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42</w:t>
            </w:r>
          </w:p>
        </w:tc>
      </w:tr>
      <w:tr>
        <w:trPr>
          <w:trHeight w:val="762"/>
        </w:trPr>
        <w:tc>
          <w:tcPr>
            <w:tcW w:w="30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Egholm, Ph.D., certify that:</w:t>
      </w:r>
    </w:p>
    <w:p>
      <w:pPr>
        <w:spacing w:after="0" w:line="117"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16"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20" w:hanging="504"/>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4"/>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20" w:hanging="514"/>
        <w:spacing w:after="0" w:line="265"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80" w:hanging="514"/>
        <w:spacing w:after="0" w:line="265"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right="20" w:hanging="514"/>
        <w:spacing w:after="0" w:line="265"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80" w:hanging="514"/>
        <w:spacing w:after="0" w:line="265"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100" w:hanging="504"/>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40" w:hanging="514"/>
        <w:spacing w:after="0" w:line="281"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20" w:hanging="514"/>
        <w:spacing w:after="0" w:line="281"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3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26035</wp:posOffset>
            </wp:positionV>
            <wp:extent cx="29197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Hanjoon Alex Kim, certify that:</w:t>
      </w:r>
    </w:p>
    <w:p>
      <w:pPr>
        <w:spacing w:after="0" w:line="117"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16"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20" w:hanging="504"/>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4"/>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right="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100" w:hanging="504"/>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4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2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63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By: /s/ Hanjoon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26035</wp:posOffset>
            </wp:positionV>
            <wp:extent cx="29197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Hanjoon Alex Kim</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Operating Officer and Interim Chief Financial Officer</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I, Michael Egholm, Ph.D., the Chief Executive Officer of Standard BioTools Inc. (the “Company”), certify for the purposes of 18 U.S.C. Section 1350, as adopted pursuant to Section 906 of the Sarbanes-Oxley Act of 2002, that, to the best of my knowledge,</w:t>
      </w:r>
    </w:p>
    <w:p>
      <w:pPr>
        <w:spacing w:after="0" w:line="55" w:lineRule="exact"/>
        <w:rPr>
          <w:sz w:val="20"/>
          <w:szCs w:val="20"/>
          <w:color w:val="auto"/>
        </w:rPr>
      </w:pPr>
    </w:p>
    <w:p>
      <w:pPr>
        <w:ind w:left="1020" w:right="98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2024 (the “Report”) fully complies with the requirements of Section 13(a) or 15(d) of the Securities Exchange Act of 1934, as amended; and</w:t>
      </w:r>
    </w:p>
    <w:p>
      <w:pPr>
        <w:spacing w:after="0" w:line="54"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20"/>
        <w:spacing w:after="0"/>
        <w:tabs>
          <w:tab w:leader="none" w:pos="652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26035</wp:posOffset>
            </wp:positionV>
            <wp:extent cx="27743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2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40" w:firstLine="515"/>
        <w:spacing w:after="0" w:line="281" w:lineRule="auto"/>
        <w:rPr>
          <w:sz w:val="20"/>
          <w:szCs w:val="20"/>
          <w:color w:val="auto"/>
        </w:rPr>
      </w:pPr>
      <w:r>
        <w:rPr>
          <w:rFonts w:ascii="Times New Roman" w:cs="Times New Roman" w:eastAsia="Times New Roman" w:hAnsi="Times New Roman"/>
          <w:sz w:val="18"/>
          <w:szCs w:val="18"/>
          <w:color w:val="auto"/>
        </w:rPr>
        <w:t>I, Hanjoon Alex Kim, the Chief Financial Officer of Standard BioTools Inc. (the “Company”), certify for the purposes of 18 U.S.C. Section 1350, as adopted pursuant to Section 906 of the Sarbanes-Oxley Act of 2002, that, to the best of my knowledge,</w:t>
      </w:r>
    </w:p>
    <w:p>
      <w:pPr>
        <w:spacing w:after="0" w:line="55" w:lineRule="exact"/>
        <w:rPr>
          <w:sz w:val="20"/>
          <w:szCs w:val="20"/>
          <w:color w:val="auto"/>
        </w:rPr>
      </w:pPr>
    </w:p>
    <w:p>
      <w:pPr>
        <w:ind w:left="1020" w:right="98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2024 (the “Report”) fully complies with the requirements of Section 13(a) or 15(d) of the Securities Exchange Act of 1934, as amended; and</w:t>
      </w:r>
    </w:p>
    <w:p>
      <w:pPr>
        <w:spacing w:after="0" w:line="54"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20"/>
        <w:spacing w:after="0"/>
        <w:tabs>
          <w:tab w:leader="none" w:pos="65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 /s/ Hanjoon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26035</wp:posOffset>
            </wp:positionV>
            <wp:extent cx="27571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2757170" cy="8255"/>
                    </a:xfrm>
                    <a:prstGeom prst="rect">
                      <a:avLst/>
                    </a:prstGeom>
                    <a:noFill/>
                  </pic:spPr>
                </pic:pic>
              </a:graphicData>
            </a:graphic>
          </wp:anchor>
        </w:drawing>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Hanjoon Alex Kim</w:t>
      </w:r>
    </w:p>
    <w:p>
      <w:pPr>
        <w:spacing w:after="0" w:line="3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Chief Operating Officer and Interim Chief Financial</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Officer</w:t>
      </w:r>
    </w:p>
    <w:p>
      <w:pPr>
        <w:spacing w:after="0" w:line="1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o"/>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73" Type="http://schemas.openxmlformats.org/officeDocument/2006/relationships/hyperlink" Target="https://www.sec.gov/Archives/edgar/data/1162194/000119312511078412/dex31.htm" TargetMode="External"/><Relationship Id="rId374" Type="http://schemas.openxmlformats.org/officeDocument/2006/relationships/hyperlink" Target="https://www.sec.gov/Archives/edgar/data/1162194/000119312522093794/d300506dex48.htm" TargetMode="External"/><Relationship Id="rId375" Type="http://schemas.openxmlformats.org/officeDocument/2006/relationships/hyperlink" Target="https://www.sec.gov/Archives/edgar/data/1162194/000119312522093794/d300506dex43.htm" TargetMode="External"/><Relationship Id="rId376" Type="http://schemas.openxmlformats.org/officeDocument/2006/relationships/hyperlink" Target="https://www.sec.gov/Archives/edgar/data/1162194/000110465924001640/tm2333984d3_ex3-1.htm" TargetMode="External"/><Relationship Id="rId377" Type="http://schemas.openxmlformats.org/officeDocument/2006/relationships/hyperlink" Target="https://www.sec.gov/ix?doc=/Archives/edgar/data/1162194/000110465924076823/tm2418585d1_8k.htm" TargetMode="External"/><Relationship Id="rId378" Type="http://schemas.openxmlformats.org/officeDocument/2006/relationships/hyperlink" Target="https://www.sec.gov/Archives/edgar/data/1162194/000110465924095596/tm24228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2024-11-06T16:49:12Z</dcterms:created>
  <dcterms:modified xsi:type="dcterms:W3CDTF">2024-11-06T16:49:12Z</dcterms:modified>
</cp:coreProperties>
</file>