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10, 2011</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3826</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Gajus V. Worthington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tbl>
      <w:tblPr>
        <w:tblLayout w:type="fixed"/>
        <w:tblInd w:w="48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3620" w:type="dxa"/>
            <w:vAlign w:val="bottom"/>
          </w:tcPr>
          <w:p>
            <w:pPr>
              <w:ind w:left="1320"/>
              <w:spacing w:after="0"/>
              <w:rPr>
                <w:sz w:val="20"/>
                <w:szCs w:val="20"/>
                <w:color w:val="auto"/>
              </w:rPr>
            </w:pPr>
            <w:r>
              <w:rPr>
                <w:rFonts w:ascii="Arial" w:cs="Arial" w:eastAsia="Arial" w:hAnsi="Arial"/>
                <w:sz w:val="18"/>
                <w:szCs w:val="18"/>
                <w:b w:val="1"/>
                <w:bCs w:val="1"/>
                <w:i w:val="1"/>
                <w:iCs w:val="1"/>
                <w:color w:val="auto"/>
              </w:rPr>
              <w:t>Copies to:</w:t>
            </w:r>
          </w:p>
        </w:tc>
        <w:tc>
          <w:tcPr>
            <w:tcW w:w="3240" w:type="dxa"/>
            <w:vAlign w:val="bottom"/>
          </w:tcPr>
          <w:p>
            <w:pPr>
              <w:spacing w:after="0"/>
              <w:rPr>
                <w:sz w:val="18"/>
                <w:szCs w:val="18"/>
                <w:color w:val="auto"/>
              </w:rPr>
            </w:pP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David J. Segre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M. Smith</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Charles K. Ruck</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Robert F. Kornegay</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8"/>
              </w:rPr>
              <w:t>Vice President, Legal Affairs</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B. Shayne Kennedy</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92"/>
              </w:rPr>
              <w:t>Asaf H. Kharal</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and General Counsel</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4"/>
              </w:rPr>
              <w:t>Latham &amp; Watkins LLP</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8"/>
              </w:rPr>
              <w:t>Wilson Sonsini Goodrich &amp; Rosati P.C.</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7000 Shoreline Court, Suite 100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650 Town Center Drive, 20th Floor</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650 Page Mill Road</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South San Francisco, CA 94080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8"/>
              </w:rPr>
              <w:t>Costa Mesa, CA 92626</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9"/>
              </w:rPr>
              <w:t>Palo Alto, CA 94304</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(650) 266-6000</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7"/>
              </w:rPr>
              <w:t>Telephone: (714) 540-1235</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Telephone: (650) 493-9300</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Telecopy: (650) 871-7152</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7"/>
              </w:rPr>
              <w:t>Telecopy: (714) 755-8290</w:t>
            </w:r>
          </w:p>
        </w:tc>
      </w:tr>
      <w:tr>
        <w:trPr>
          <w:trHeight w:val="228"/>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Telecopy: (650) 493-6811</w:t>
            </w:r>
          </w:p>
        </w:tc>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ind w:right="34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80" w:firstLine="456"/>
        <w:spacing w:after="0" w:line="23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333-170965</w:t>
      </w:r>
    </w:p>
    <w:p>
      <w:pPr>
        <w:spacing w:after="0" w:line="136"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5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5"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jc w:val="center"/>
              <w:ind w:left="29"/>
              <w:spacing w:after="0" w:line="117" w:lineRule="exact"/>
              <w:rPr>
                <w:sz w:val="20"/>
                <w:szCs w:val="20"/>
                <w:color w:val="auto"/>
              </w:rPr>
            </w:pPr>
            <w:r>
              <w:rPr>
                <w:rFonts w:ascii="Arial" w:cs="Arial" w:eastAsia="Arial" w:hAnsi="Arial"/>
                <w:sz w:val="12"/>
                <w:szCs w:val="12"/>
                <w:b w:val="1"/>
                <w:bCs w:val="1"/>
                <w:color w:val="auto"/>
              </w:rPr>
              <w:t>Amount of</w:t>
            </w: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 (1)</w:t>
            </w:r>
          </w:p>
        </w:tc>
        <w:tc>
          <w:tcPr>
            <w:tcW w:w="15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8"/>
              </w:rPr>
              <w:t>Fee (2)</w:t>
            </w:r>
          </w:p>
        </w:tc>
      </w:tr>
      <w:tr>
        <w:trPr>
          <w:trHeight w:val="210"/>
        </w:trPr>
        <w:tc>
          <w:tcPr>
            <w:tcW w:w="20" w:type="dxa"/>
            <w:vAlign w:val="bottom"/>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8"/>
              </w:rPr>
              <w:t>$43,132.50</w:t>
            </w:r>
          </w:p>
        </w:tc>
        <w:tc>
          <w:tcPr>
            <w:tcW w:w="1560" w:type="dxa"/>
            <w:vAlign w:val="bottom"/>
            <w:tcBorders>
              <w:bottom w:val="single" w:sz="8" w:color="auto"/>
            </w:tcBorders>
          </w:tcPr>
          <w:p>
            <w:pPr>
              <w:jc w:val="center"/>
              <w:ind w:left="9"/>
              <w:spacing w:after="0"/>
              <w:rPr>
                <w:sz w:val="20"/>
                <w:szCs w:val="20"/>
                <w:color w:val="auto"/>
              </w:rPr>
            </w:pPr>
            <w:r>
              <w:rPr>
                <w:rFonts w:ascii="Arial" w:cs="Arial" w:eastAsia="Arial" w:hAnsi="Arial"/>
                <w:sz w:val="18"/>
                <w:szCs w:val="18"/>
                <w:color w:val="auto"/>
                <w:w w:val="88"/>
              </w:rPr>
              <w:t>$5.01</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calculated pursuant to Rule 457(o) and Section 6(b) of the Securities Act of 1933, as amended.</w:t>
      </w:r>
    </w:p>
    <w:p>
      <w:pPr>
        <w:spacing w:after="0" w:line="15" w:lineRule="exact"/>
        <w:rPr>
          <w:rFonts w:ascii="Arial" w:cs="Arial" w:eastAsia="Arial" w:hAnsi="Arial"/>
          <w:sz w:val="18"/>
          <w:szCs w:val="18"/>
          <w:color w:val="auto"/>
        </w:rPr>
      </w:pPr>
    </w:p>
    <w:p>
      <w:pPr>
        <w:ind w:left="460" w:right="24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previously registered an aggregate of $86,250,000 of Common Stock on a Registration Statement on Form S-1 (File No. 333-170965), as amended, which was declared effective on February 9, 2011 and for which a filing fee of $6,149.63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1"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This registration statement shall become effective upon filing with the Commission in accordance with Rule 462(b)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007"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OF CERTAIN INFORMATION BY REFERENCE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Registration Statement is being filed with the Securities and Exchange Commission (the “Commission”) pursuant to Rule 462(b) under the Securities Act of 1933, as amended. This Registration Statement relates to the public offering of common stock of the Registrant contemplated by the Registration Statement on Form S-1, as amended (File No. 333-170965), originally filed by the Registrant on December 3, 2010, as amended (the “Prior Registration Statement”), and is being filed for the sole purpose of registering additional securities of the same class as were included in the Prior Registration Statement. The contents of the Prior Registration Statement and all exhibits thereto are hereby incorporated by reference.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80" w:firstLine="456"/>
        <w:spacing w:after="0" w:line="254"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Palo Alto, State of California, on the 10</w:t>
      </w:r>
      <w:r>
        <w:rPr>
          <w:rFonts w:ascii="Arial" w:cs="Arial" w:eastAsia="Arial" w:hAnsi="Arial"/>
          <w:sz w:val="11"/>
          <w:szCs w:val="11"/>
          <w:color w:val="auto"/>
        </w:rPr>
        <w:t>th</w:t>
      </w:r>
      <w:r>
        <w:rPr>
          <w:rFonts w:ascii="Arial" w:cs="Arial" w:eastAsia="Arial" w:hAnsi="Arial"/>
          <w:sz w:val="18"/>
          <w:szCs w:val="18"/>
          <w:color w:val="auto"/>
        </w:rPr>
        <w:t xml:space="preserve"> day of February, 2011.</w:t>
      </w: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7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10</w:t>
      </w:r>
      <w:r>
        <w:rPr>
          <w:rFonts w:ascii="Arial" w:cs="Arial" w:eastAsia="Arial" w:hAnsi="Arial"/>
          <w:sz w:val="11"/>
          <w:szCs w:val="11"/>
          <w:color w:val="auto"/>
        </w:rPr>
        <w:t>th</w:t>
      </w:r>
      <w:r>
        <w:rPr>
          <w:rFonts w:ascii="Arial" w:cs="Arial" w:eastAsia="Arial" w:hAnsi="Arial"/>
          <w:sz w:val="18"/>
          <w:szCs w:val="18"/>
          <w:color w:val="auto"/>
        </w:rPr>
        <w:t xml:space="preserve"> day of February, 2011: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tcPr>
          <w:p>
            <w:pPr>
              <w:spacing w:after="0"/>
              <w:rPr>
                <w:sz w:val="14"/>
                <w:szCs w:val="14"/>
                <w:color w:val="auto"/>
              </w:rPr>
            </w:pPr>
          </w:p>
        </w:tc>
      </w:tr>
      <w:tr>
        <w:trPr>
          <w:trHeight w:val="424"/>
        </w:trPr>
        <w:tc>
          <w:tcPr>
            <w:tcW w:w="6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89"/>
              </w:rPr>
              <w:t>/s/ Gajus V. Worthington</w:t>
            </w:r>
          </w:p>
        </w:tc>
        <w:tc>
          <w:tcPr>
            <w:tcW w:w="340" w:type="dxa"/>
            <w:vAlign w:val="bottom"/>
          </w:tcPr>
          <w:p>
            <w:pPr>
              <w:spacing w:after="0"/>
              <w:rPr>
                <w:sz w:val="24"/>
                <w:szCs w:val="24"/>
                <w:color w:val="auto"/>
              </w:rPr>
            </w:pPr>
          </w:p>
        </w:tc>
        <w:tc>
          <w:tcPr>
            <w:tcW w:w="48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President, Chief Executive Officer and Director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8"/>
        </w:trPr>
        <w:tc>
          <w:tcPr>
            <w:tcW w:w="660" w:type="dxa"/>
            <w:vAlign w:val="bottom"/>
          </w:tcPr>
          <w:p>
            <w:pPr>
              <w:spacing w:after="0"/>
              <w:rPr>
                <w:sz w:val="18"/>
                <w:szCs w:val="18"/>
                <w:color w:val="auto"/>
              </w:rPr>
            </w:pPr>
          </w:p>
        </w:tc>
        <w:tc>
          <w:tcPr>
            <w:tcW w:w="358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Gajus V. Worthington</w:t>
            </w:r>
          </w:p>
        </w:tc>
        <w:tc>
          <w:tcPr>
            <w:tcW w:w="340" w:type="dxa"/>
            <w:vAlign w:val="bottom"/>
          </w:tcPr>
          <w:p>
            <w:pPr>
              <w:spacing w:after="0"/>
              <w:rPr>
                <w:sz w:val="18"/>
                <w:szCs w:val="18"/>
                <w:color w:val="auto"/>
              </w:rPr>
            </w:pPr>
          </w:p>
        </w:tc>
        <w:tc>
          <w:tcPr>
            <w:tcW w:w="482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auto"/>
                <w:w w:val="91"/>
              </w:rPr>
              <w:t>(Principal Executive Officer)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37"/>
        </w:trPr>
        <w:tc>
          <w:tcPr>
            <w:tcW w:w="6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color w:val="auto"/>
                <w:w w:val="91"/>
              </w:rPr>
              <w:t>/s/ Vikram Jog</w:t>
            </w:r>
          </w:p>
        </w:tc>
        <w:tc>
          <w:tcPr>
            <w:tcW w:w="340" w:type="dxa"/>
            <w:vAlign w:val="bottom"/>
          </w:tcPr>
          <w:p>
            <w:pPr>
              <w:spacing w:after="0"/>
              <w:rPr>
                <w:sz w:val="24"/>
                <w:szCs w:val="24"/>
                <w:color w:val="auto"/>
              </w:rPr>
            </w:pPr>
          </w:p>
        </w:tc>
        <w:tc>
          <w:tcPr>
            <w:tcW w:w="48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Chief Financial Officer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8"/>
        </w:trPr>
        <w:tc>
          <w:tcPr>
            <w:tcW w:w="660" w:type="dxa"/>
            <w:vAlign w:val="bottom"/>
          </w:tcPr>
          <w:p>
            <w:pPr>
              <w:spacing w:after="0"/>
              <w:rPr>
                <w:sz w:val="18"/>
                <w:szCs w:val="18"/>
                <w:color w:val="auto"/>
              </w:rPr>
            </w:pPr>
          </w:p>
        </w:tc>
        <w:tc>
          <w:tcPr>
            <w:tcW w:w="358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Vikram Jog</w:t>
            </w:r>
          </w:p>
        </w:tc>
        <w:tc>
          <w:tcPr>
            <w:tcW w:w="340" w:type="dxa"/>
            <w:vAlign w:val="bottom"/>
          </w:tcPr>
          <w:p>
            <w:pPr>
              <w:spacing w:after="0"/>
              <w:rPr>
                <w:sz w:val="18"/>
                <w:szCs w:val="18"/>
                <w:color w:val="auto"/>
              </w:rPr>
            </w:pPr>
          </w:p>
        </w:tc>
        <w:tc>
          <w:tcPr>
            <w:tcW w:w="4820" w:type="dxa"/>
            <w:vAlign w:val="bottom"/>
            <w:gridSpan w:val="3"/>
          </w:tcPr>
          <w:p>
            <w:pPr>
              <w:jc w:val="center"/>
              <w:ind w:right="20"/>
              <w:spacing w:after="0" w:line="202" w:lineRule="exact"/>
              <w:rPr>
                <w:sz w:val="20"/>
                <w:szCs w:val="20"/>
                <w:color w:val="auto"/>
              </w:rPr>
            </w:pPr>
            <w:r>
              <w:rPr>
                <w:rFonts w:ascii="Arial" w:cs="Arial" w:eastAsia="Arial" w:hAnsi="Arial"/>
                <w:sz w:val="18"/>
                <w:szCs w:val="18"/>
                <w:color w:val="auto"/>
                <w:w w:val="91"/>
              </w:rPr>
              <w:t>(Principal Accounting and Financial Officer)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7"/>
        </w:trPr>
        <w:tc>
          <w:tcPr>
            <w:tcW w:w="660" w:type="dxa"/>
            <w:vAlign w:val="bottom"/>
          </w:tcPr>
          <w:p>
            <w:pPr>
              <w:spacing w:after="0"/>
              <w:rPr>
                <w:sz w:val="18"/>
                <w:szCs w:val="18"/>
                <w:color w:val="auto"/>
              </w:rPr>
            </w:pPr>
          </w:p>
        </w:tc>
        <w:tc>
          <w:tcPr>
            <w:tcW w:w="358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Jeremy Loh</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7"/>
        </w:trPr>
        <w:tc>
          <w:tcPr>
            <w:tcW w:w="660" w:type="dxa"/>
            <w:vAlign w:val="bottom"/>
          </w:tcPr>
          <w:p>
            <w:pPr>
              <w:spacing w:after="0"/>
              <w:rPr>
                <w:sz w:val="18"/>
                <w:szCs w:val="18"/>
                <w:color w:val="auto"/>
              </w:rPr>
            </w:pPr>
          </w:p>
        </w:tc>
        <w:tc>
          <w:tcPr>
            <w:tcW w:w="358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Samuel Colella</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7"/>
        </w:trPr>
        <w:tc>
          <w:tcPr>
            <w:tcW w:w="660" w:type="dxa"/>
            <w:vAlign w:val="bottom"/>
          </w:tcPr>
          <w:p>
            <w:pPr>
              <w:spacing w:after="0"/>
              <w:rPr>
                <w:sz w:val="18"/>
                <w:szCs w:val="18"/>
                <w:color w:val="auto"/>
              </w:rPr>
            </w:pPr>
          </w:p>
        </w:tc>
        <w:tc>
          <w:tcPr>
            <w:tcW w:w="3580" w:type="dxa"/>
            <w:vAlign w:val="bottom"/>
            <w:gridSpan w:val="3"/>
          </w:tcPr>
          <w:p>
            <w:pPr>
              <w:jc w:val="center"/>
              <w:ind w:right="640"/>
              <w:spacing w:after="0"/>
              <w:rPr>
                <w:sz w:val="20"/>
                <w:szCs w:val="20"/>
                <w:color w:val="auto"/>
              </w:rPr>
            </w:pPr>
            <w:r>
              <w:rPr>
                <w:rFonts w:ascii="Arial" w:cs="Arial" w:eastAsia="Arial" w:hAnsi="Arial"/>
                <w:sz w:val="18"/>
                <w:szCs w:val="18"/>
                <w:color w:val="auto"/>
                <w:w w:val="86"/>
              </w:rPr>
              <w:t>Kenneth Nussbacher</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7"/>
        </w:trPr>
        <w:tc>
          <w:tcPr>
            <w:tcW w:w="660" w:type="dxa"/>
            <w:vAlign w:val="bottom"/>
          </w:tcPr>
          <w:p>
            <w:pPr>
              <w:spacing w:after="0"/>
              <w:rPr>
                <w:sz w:val="18"/>
                <w:szCs w:val="18"/>
                <w:color w:val="auto"/>
              </w:rPr>
            </w:pPr>
          </w:p>
        </w:tc>
        <w:tc>
          <w:tcPr>
            <w:tcW w:w="3580" w:type="dxa"/>
            <w:vAlign w:val="bottom"/>
            <w:gridSpan w:val="3"/>
          </w:tcPr>
          <w:p>
            <w:pPr>
              <w:jc w:val="center"/>
              <w:ind w:right="640"/>
              <w:spacing w:after="0"/>
              <w:rPr>
                <w:sz w:val="20"/>
                <w:szCs w:val="20"/>
                <w:color w:val="auto"/>
              </w:rPr>
            </w:pPr>
            <w:r>
              <w:rPr>
                <w:rFonts w:ascii="Arial" w:cs="Arial" w:eastAsia="Arial" w:hAnsi="Arial"/>
                <w:sz w:val="18"/>
                <w:szCs w:val="18"/>
                <w:color w:val="auto"/>
                <w:w w:val="90"/>
              </w:rPr>
              <w:t>Raymond Whitaker</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w w:val="85"/>
              </w:rPr>
              <w:t>February 10, 2011</w:t>
            </w:r>
          </w:p>
        </w:tc>
      </w:tr>
      <w:tr>
        <w:trPr>
          <w:trHeight w:val="217"/>
        </w:trPr>
        <w:tc>
          <w:tcPr>
            <w:tcW w:w="660" w:type="dxa"/>
            <w:vAlign w:val="bottom"/>
          </w:tcPr>
          <w:p>
            <w:pPr>
              <w:spacing w:after="0"/>
              <w:rPr>
                <w:sz w:val="18"/>
                <w:szCs w:val="18"/>
                <w:color w:val="auto"/>
              </w:rPr>
            </w:pPr>
          </w:p>
        </w:tc>
        <w:tc>
          <w:tcPr>
            <w:tcW w:w="358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John A. Young</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64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8"/>
                <w:szCs w:val="18"/>
                <w:color w:val="auto"/>
                <w:w w:val="89"/>
              </w:rPr>
              <w:t>/s/ Gajus V. Worthington</w:t>
            </w:r>
          </w:p>
        </w:tc>
        <w:tc>
          <w:tcPr>
            <w:tcW w:w="3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0" w:type="dxa"/>
            <w:vAlign w:val="bottom"/>
            <w:gridSpan w:val="2"/>
          </w:tcPr>
          <w:p>
            <w:pPr>
              <w:jc w:val="center"/>
              <w:ind w:right="840"/>
              <w:spacing w:after="0"/>
              <w:rPr>
                <w:sz w:val="20"/>
                <w:szCs w:val="20"/>
                <w:color w:val="auto"/>
              </w:rPr>
            </w:pPr>
            <w:r>
              <w:rPr>
                <w:rFonts w:ascii="Arial" w:cs="Arial" w:eastAsia="Arial" w:hAnsi="Arial"/>
                <w:sz w:val="18"/>
                <w:szCs w:val="18"/>
                <w:color w:val="auto"/>
                <w:w w:val="88"/>
              </w:rPr>
              <w:t>Gajus V. Worthington</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Attorney-in-Fact</w:t>
            </w:r>
          </w:p>
        </w:tc>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4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89"/>
              </w:rPr>
              <w:t>/s/ Vikram Jog</w:t>
            </w:r>
          </w:p>
        </w:tc>
        <w:tc>
          <w:tcPr>
            <w:tcW w:w="34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Vikram Jog</w:t>
            </w:r>
          </w:p>
        </w:tc>
        <w:tc>
          <w:tcPr>
            <w:tcW w:w="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2"/>
              </w:rPr>
              <w:t>Attorney-in-Fact</w:t>
            </w:r>
          </w:p>
        </w:tc>
        <w:tc>
          <w:tcPr>
            <w:tcW w:w="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Power of Attorney granted by each director was filed as an exhibit to the Prior Registration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500" w:type="dxa"/>
            <w:vAlign w:val="bottom"/>
            <w:tcBorders>
              <w:bottom w:val="single" w:sz="8" w:color="auto"/>
            </w:tcBorders>
          </w:tcPr>
          <w:p>
            <w:pPr>
              <w:ind w:left="4920"/>
              <w:spacing w:after="0"/>
              <w:rPr>
                <w:sz w:val="20"/>
                <w:szCs w:val="20"/>
                <w:color w:val="auto"/>
              </w:rPr>
            </w:pPr>
            <w:r>
              <w:rPr>
                <w:rFonts w:ascii="Arial" w:cs="Arial" w:eastAsia="Arial" w:hAnsi="Arial"/>
                <w:sz w:val="14"/>
                <w:szCs w:val="14"/>
                <w:b w:val="1"/>
                <w:bCs w:val="1"/>
                <w:color w:val="auto"/>
              </w:rPr>
              <w:t>Description</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80"/>
        <w:spacing w:after="0"/>
        <w:tabs>
          <w:tab w:leader="none" w:pos="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Registered Public Accounting Firm</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from the Prior Registration Statement.</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Registration Statement on Form S-1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opinion is furnished to you in connection with the Registration Statement on Form S-1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Fluidigm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on February 10, 2011 pursuant to Rule 462(b)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 connection with the registration under the Securities Act of 3,195 shares of the Company’s Common Stock, $0.001 par value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The Shares will be sold by the Company pursuant to an underwriting agreement entered into by and among the Company and the underwriters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substantially in the form filed as an exhibit to the Registration Statement on Form S-1 (File No. 333-170965) (the “Prior Registration Statement”). The Prior Registration Statement is incorporated by reference into the Registration Statement pursuant to Rule 462(b) under the Securities Act. This opinion is in addition to our opinion that was filed as Exhibit 5.1 to the Company’s Amendment No. 6 to the Prior Registration Statement.</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acting as counsel for the Company in connection with the sale by the Company of the Shares.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General Corporation Law of the State of Delaware and the federal laws of the United States of America.</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S-1 filed pursuant to Rule 462(b) of the Securities Act of 1933, of the reference to our firm under the caption “Experts” and of our report dated December 3, 2010, except for last paragraph of Note 1, as to which the date is February 3, 2011, relating to the consolidated financial statements of Fluidigm Corporation, included in the Registration Statement (Form S-1 No. 333-170965) and related Prospectus of Fluidigm Corporation for the registration of 3,195 shares of its common stock.</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9,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2019-12-10T22:13:13Z</dcterms:created>
  <dcterms:modified xsi:type="dcterms:W3CDTF">2019-12-10T22:13:13Z</dcterms:modified>
</cp:coreProperties>
</file>