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2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23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775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30,223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337</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30,560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1,285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31,845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6"/>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792</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5"/>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5.19</w:t>
            </w: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31,053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775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775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4,650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337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337</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2,926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1,285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1,285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8"/>
              </w:rPr>
              <w:t>16,269</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21, 2015, the Reporting Person was granted 12,400 Restricted Stock Units of which 12/48th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20,550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Steven McPhail by Nicholas </w:t>
      </w:r>
      <w:r>
        <w:rPr>
          <w:rFonts w:ascii="Arial" w:cs="Arial" w:eastAsia="Arial" w:hAnsi="Arial"/>
          <w:sz w:val="35"/>
          <w:szCs w:val="35"/>
          <w:color w:val="0000FF"/>
          <w:vertAlign w:val="subscript"/>
        </w:rPr>
        <w:t>11/22/2017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2019-12-04T00:42:37Z</dcterms:created>
  <dcterms:modified xsi:type="dcterms:W3CDTF">2019-12-04T00:42:37Z</dcterms:modified>
</cp:coreProperties>
</file>