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 w:lineRule="exact"/>
        <w:rPr>
          <w:sz w:val="24"/>
          <w:szCs w:val="24"/>
          <w:color w:val="auto"/>
        </w:rPr>
      </w:pPr>
    </w:p>
    <w:p>
      <w:pPr>
        <w:sectPr>
          <w:pgSz w:w="11900" w:h="16838" w:orient="portrait"/>
          <w:cols w:equalWidth="0" w:num="3">
            <w:col w:w="3920" w:space="720"/>
            <w:col w:w="2620" w:space="720"/>
            <w:col w:w="3260"/>
          </w:cols>
          <w:pgMar w:left="320" w:top="75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 Milk Street, 10th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2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0"/>
                <w:szCs w:val="20"/>
                <w:color w:val="auto"/>
              </w:rPr>
            </w:pPr>
          </w:p>
        </w:tc>
      </w:tr>
      <w:tr>
        <w:trPr>
          <w:trHeight w:val="243"/>
        </w:trPr>
        <w:tc>
          <w:tcPr>
            <w:tcW w:w="34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3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LAB</w:t>
            </w:r>
          </w:p>
        </w:tc>
        <w:tc>
          <w:tcPr>
            <w:tcW w:w="3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2026, Standard BioTools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the previously announced sale of all of the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SomaLogic, Inc. (“S</w:t>
      </w:r>
      <w:r>
        <w:rPr>
          <w:rFonts w:ascii="Times New Roman" w:cs="Times New Roman" w:eastAsia="Times New Roman" w:hAnsi="Times New Roman"/>
          <w:sz w:val="18"/>
          <w:szCs w:val="18"/>
          <w:u w:val="single" w:color="auto"/>
          <w:color w:val="auto"/>
        </w:rPr>
        <w:t>omaLogic</w:t>
      </w:r>
      <w:r>
        <w:rPr>
          <w:rFonts w:ascii="Times New Roman" w:cs="Times New Roman" w:eastAsia="Times New Roman" w:hAnsi="Times New Roman"/>
          <w:sz w:val="18"/>
          <w:szCs w:val="18"/>
          <w:color w:val="auto"/>
        </w:rPr>
        <w:t>”), Sengenics Corporation LLC and Sengenics Corporation Pte Ltd (such equity interests,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entities that operate the Company’s aptamer-based and functional proteomics business, including KREX, Single SOMAmer and translational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diagnostic assays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pursuant to the terms of the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June 22, 2025,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between the Company and Illumina, Inc., a Delaware corporation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(such transaction, the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The Transaction does not include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mass cytometry and microfluidics businesses, which are being retained by the Company.</w:t>
      </w:r>
    </w:p>
    <w:p>
      <w:pPr>
        <w:spacing w:after="0" w:line="20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Under the terms of the Purchase Agreement, Purchaser acquired the Shares for aggregate cash consideration of up to $425 million, comprising (i) an upfront payment of $350 million in cash, which was paid at the closing of the Transaction, as adjusted in accordance with the terms of the Purchase Agreement and subject to customary post-closing adjustments as set forth in the Purchase Agreement, and (ii) up to $75 million in earnout payments, payable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spacing w:after="0" w:line="1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Transaction, as additional consideration, the Company and Purchaser entered into (i) a royalty agreement, pursuant to which the Company will be entitled to a specified royalty stream on net revenues generated from sales of SOMAmer-based next-generation sequencing library preparation kits, (ii) a license agreement, pursuant to which Purchaser will provide a specified license to the Company for the intellectual property relating to Single SOMAmers for potential development and commercialization of Single SOMAmer reagents for use in singleplex affinity assays and (iii) a royalty agreement, pursuant to which the Company will be entitled to a specified royalty stream on net revenues generated from sales of Single SOMAmers.</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Transaction, the Company and Purchaser also entered into a transition services agreement, pursuant to which the Company will provide certain services to Purchaser on a transitional basis and for a specified period following the closing of the Transaction in connection with Purchaser’s operation of the Business.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closing of the Transaction, which included the sale of all of the equity interests of SomaLogic to Purchaser, the Company no longer has any subsidiary that is a party to the Collaboration Agreement, dated as of December 31, 2021, by and between SomaLogic and Illumina Cambridge, Ltd. (as amended on November 14, 2022, June 15, 2023, September 21, 2023 and June 23, 2025, the “</w:t>
      </w:r>
      <w:r>
        <w:rPr>
          <w:rFonts w:ascii="Times New Roman" w:cs="Times New Roman" w:eastAsia="Times New Roman" w:hAnsi="Times New Roman"/>
          <w:sz w:val="18"/>
          <w:szCs w:val="18"/>
          <w:u w:val="single" w:color="auto"/>
          <w:color w:val="auto"/>
        </w:rPr>
        <w:t>Collaboration Agreement</w:t>
      </w:r>
      <w:r>
        <w:rPr>
          <w:rFonts w:ascii="Times New Roman" w:cs="Times New Roman" w:eastAsia="Times New Roman" w:hAnsi="Times New Roman"/>
          <w:sz w:val="18"/>
          <w:szCs w:val="18"/>
          <w:color w:val="auto"/>
        </w:rPr>
        <w:t>”), and neither the Company nor any of its subsidiaries will be entitled to any royalties or other payments under the Collaboration Agreement.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Purchase Agreement is not intended to provide any other factual information about the Transaction. The representations, warranties and covenants contained in the Purchase Agreement were made solely for purposes of such agreement and as of specific dates, were solely for the benefit of the parties to the Purchase Agreement, and may be subject to limitations agreed upon by the parties, including being qualified by confidential disclosures made by each party to the other for the purposes of allocating contractual risk between them that differ from those applicable to investors.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Purchase Agreement, which subsequent information may or may not be fully reflected in public disclosures by the Company. Investors should not rely on the representations, warranties and covenants or any description thereof as characterizations of the actual state of facts or condition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 does not purport to be complete and is qualified in its entirety by reference to the description in the Company’s Current Report on Form 8-K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June 23, 2025 (the “</w:t>
      </w:r>
      <w:r>
        <w:rPr>
          <w:rFonts w:ascii="Times New Roman" w:cs="Times New Roman" w:eastAsia="Times New Roman" w:hAnsi="Times New Roman"/>
          <w:sz w:val="18"/>
          <w:szCs w:val="18"/>
          <w:u w:val="single" w:color="auto"/>
          <w:color w:val="auto"/>
        </w:rPr>
        <w:t>Signing 8-K</w:t>
      </w:r>
      <w:r>
        <w:rPr>
          <w:rFonts w:ascii="Times New Roman" w:cs="Times New Roman" w:eastAsia="Times New Roman" w:hAnsi="Times New Roman"/>
          <w:sz w:val="18"/>
          <w:szCs w:val="18"/>
          <w:color w:val="auto"/>
        </w:rPr>
        <w:t>”), which description is incorporated herein by reference, and the full text of the Purchase Agreement, a copy of which was filed by the Company as Exhibit 2.1 to the Signing 8-K, the full text of which is incorporated herein by reference.</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30, 2026, the Company issued a press release (the “Press Release”), as described further under Item 7.01 below, which included information with respect to certain financial results of the Company. A copy of the Press Release is furnished as Exhibit 99.1 hereto and is incorporated herein by reference. The Company's financial results are unaudited and may be adjusted as a result of, among other things, completion of financial closing procedures and internal reviews. This financial information does not represent a comprehensive statement of the Company's current financial results.</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January 30, 2026, the Company issued the Press Release announcing the completion of the Transaction. A copy of the Press Release is furnished as Exhibit 99.1 hereto and is incorporated herein by reference.</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2.02 and 7.01 and in the attached Exhibit 99.1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statements made in this Current Report on Form 8-K and Exhibit 99.1 hereto are forward-looking statements within the meaning of the Private Securities Litigation Reform Act of 1995, including, among others, statements regarding future financial and business performance, including with respect to potential earnout payments and royalty streams; expected cash and cash equivalents; operational and strategic plans; deployment of capital; market and growth opportunity and potential; and the potential to realize the expected benefits of the Transaction. All statements, other than statements of historical fact, may be forward-looking statements. These forward-looking statements may be accompanied by such words as “anticipate,” “believe,” “estimate,” “expect,” “forecast,” “intend,” “may,” “plan,” “potential,” “project,” “target,” “should,” “likely,” “will” and other words and terms of similar meaning.</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numerous risks and uncertainties that could cause actual results to differ materially from currently anticipated results, including, but not limited to: risks of stockholder litigation relating to the Transaction, including resulting expense; the potential that the expected benefits and opportunities of the Transaction may not be realized or may take longer to realize than expected; risks that the anticipated benefits and synergies of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right="300"/>
        <w:spacing w:after="0" w:line="266" w:lineRule="auto"/>
        <w:rPr>
          <w:sz w:val="20"/>
          <w:szCs w:val="20"/>
          <w:color w:val="auto"/>
        </w:rPr>
      </w:pPr>
      <w:r>
        <w:rPr>
          <w:rFonts w:ascii="Times New Roman" w:cs="Times New Roman" w:eastAsia="Times New Roman" w:hAnsi="Times New Roman"/>
          <w:sz w:val="18"/>
          <w:szCs w:val="18"/>
          <w:color w:val="auto"/>
        </w:rPr>
        <w:t>For information regarding other related risks, see the “Risk Factors” section in the Company’s Annual Report on Form 10-K for the year ended December 31, 2024 filed with the SEC on March 11, 2025, in the Company’s Quarterly Report on Form 10-Q for the quarter ended June 30, 2025 filed with the SEC on August 15, 2025 and in the Company’s other filings with the SEC.</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speak only as of the date hereof. The Company disclaims any obligation to update these forward-looking statements except as may be required by law.</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required by Item 9.01(b) is not included in this Current Report on Form 8-K. The Company intends to file such pro forma financial information by amendment to this Current Report on Form 8-K not later than four business days after the date of this Current Report on Form 8-K.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No.</w:t>
            </w:r>
          </w:p>
        </w:tc>
        <w:tc>
          <w:tcPr>
            <w:tcW w:w="320" w:type="dxa"/>
            <w:vAlign w:val="bottom"/>
          </w:tcPr>
          <w:p>
            <w:pPr>
              <w:spacing w:after="0"/>
              <w:rPr>
                <w:sz w:val="17"/>
                <w:szCs w:val="17"/>
                <w:color w:val="auto"/>
              </w:rPr>
            </w:pPr>
          </w:p>
        </w:tc>
        <w:tc>
          <w:tcPr>
            <w:tcW w:w="94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Description of Exhibit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80" w:type="dxa"/>
            <w:vAlign w:val="bottom"/>
            <w:gridSpan w:val="4"/>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320" w:type="dxa"/>
            <w:vAlign w:val="bottom"/>
          </w:tcPr>
          <w:p>
            <w:pPr>
              <w:spacing w:after="0"/>
              <w:rPr>
                <w:sz w:val="17"/>
                <w:szCs w:val="17"/>
                <w:color w:val="auto"/>
              </w:rPr>
            </w:pPr>
          </w:p>
        </w:tc>
        <w:tc>
          <w:tcPr>
            <w:tcW w:w="9400" w:type="dxa"/>
            <w:vAlign w:val="bottom"/>
            <w:gridSpan w:val="4"/>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Stock Purchase Agreement, dated as of June 22, 2025, by and between Standard BioTools Inc., and Illumina, Inc. (incorporated by</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reference to Exhibit 2.1 to the Company’s Current Report on Form 8-K filed on June 23, 2025).</w:t>
              </w:r>
            </w:hyperlink>
          </w:p>
        </w:tc>
        <w:tc>
          <w:tcPr>
            <w:tcW w:w="0" w:type="dxa"/>
            <w:vAlign w:val="bottom"/>
          </w:tcPr>
          <w:p>
            <w:pPr>
              <w:spacing w:after="0"/>
              <w:rPr>
                <w:sz w:val="1"/>
                <w:szCs w:val="1"/>
                <w:color w:val="auto"/>
              </w:rPr>
            </w:pPr>
          </w:p>
        </w:tc>
      </w:tr>
      <w:tr>
        <w:trPr>
          <w:trHeight w:val="196"/>
        </w:trPr>
        <w:tc>
          <w:tcPr>
            <w:tcW w:w="680" w:type="dxa"/>
            <w:vAlign w:val="bottom"/>
            <w:vMerge w:val="restart"/>
          </w:tcPr>
          <w:p>
            <w:pPr>
              <w:spacing w:after="0"/>
              <w:rPr>
                <w:sz w:val="17"/>
                <w:szCs w:val="17"/>
                <w:color w:val="auto"/>
              </w:rPr>
            </w:pPr>
          </w:p>
        </w:tc>
        <w:tc>
          <w:tcPr>
            <w:tcW w:w="320" w:type="dxa"/>
            <w:vAlign w:val="bottom"/>
            <w:tcBorders>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3"/>
            <w:vMerge w:val="restart"/>
          </w:tcPr>
          <w:p>
            <w:pPr>
              <w:spacing w:after="0"/>
              <w:rPr>
                <w:sz w:val="20"/>
                <w:szCs w:val="20"/>
                <w:color w:val="auto"/>
              </w:rPr>
            </w:pPr>
            <w:r>
              <w:rPr>
                <w:rFonts w:ascii="Times New Roman" w:cs="Times New Roman" w:eastAsia="Times New Roman" w:hAnsi="Times New Roman"/>
                <w:sz w:val="18"/>
                <w:szCs w:val="18"/>
                <w:color w:val="0000EE"/>
              </w:rPr>
              <w:t>Press Release, dated as of January 30, 2026.</w:t>
            </w:r>
          </w:p>
        </w:tc>
        <w:tc>
          <w:tcPr>
            <w:tcW w:w="25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80" w:type="dxa"/>
            <w:vAlign w:val="bottom"/>
            <w:vMerge w:val="continue"/>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80" w:type="dxa"/>
            <w:vAlign w:val="bottom"/>
            <w:gridSpan w:val="3"/>
            <w:vMerge w:val="continue"/>
          </w:tcPr>
          <w:p>
            <w:pPr>
              <w:spacing w:after="0"/>
              <w:rPr>
                <w:sz w:val="2"/>
                <w:szCs w:val="2"/>
                <w:color w:val="auto"/>
              </w:rPr>
            </w:pPr>
          </w:p>
        </w:tc>
        <w:tc>
          <w:tcPr>
            <w:tcW w:w="2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580" w:hanging="897"/>
        <w:spacing w:after="0" w:line="182" w:lineRule="auto"/>
        <w:tabs>
          <w:tab w:leader="none" w:pos="1580" w:val="left"/>
        </w:tabs>
        <w:numPr>
          <w:ilvl w:val="1"/>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52" w:lineRule="exact"/>
        <w:rPr>
          <w:rFonts w:ascii="Times New Roman" w:cs="Times New Roman" w:eastAsia="Times New Roman" w:hAnsi="Times New Roman"/>
          <w:sz w:val="34"/>
          <w:szCs w:val="34"/>
          <w:color w:val="auto"/>
          <w:vertAlign w:val="superscript"/>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because they are both (i) not material and (ii) are the type of information the Registrant customarily and actually treats as private or confidential.</w:t>
      </w:r>
    </w:p>
    <w:p>
      <w:pPr>
        <w:spacing w:after="0" w:line="162" w:lineRule="exact"/>
        <w:rPr>
          <w:sz w:val="20"/>
          <w:szCs w:val="20"/>
          <w:color w:val="auto"/>
        </w:rPr>
      </w:pPr>
    </w:p>
    <w:p>
      <w:pPr>
        <w:jc w:val="both"/>
        <w:ind w:left="340" w:right="860" w:hanging="332"/>
        <w:spacing w:after="0" w:line="312"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attachments have been omitted pursuant to Item 601(a)(5) of Regulation S-K. The Company agrees to provide, on a supplemental basis, a copy of any omitted schedules and attachments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30, 2026</w:t>
      </w:r>
      <w:r>
        <w:rPr>
          <w:sz w:val="20"/>
          <w:szCs w:val="20"/>
          <w:color w:val="auto"/>
        </w:rPr>
        <w:tab/>
      </w:r>
      <w:r>
        <w:rPr>
          <w:rFonts w:ascii="Times New Roman" w:cs="Times New Roman" w:eastAsia="Times New Roman" w:hAnsi="Times New Roman"/>
          <w:sz w:val="17"/>
          <w:szCs w:val="17"/>
          <w:b w:val="1"/>
          <w:bCs w:val="1"/>
          <w:color w:val="auto"/>
        </w:rPr>
        <w:t>STANDARD BIOTOOLS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0" w:right="6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148715" cy="771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1487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Completes Sale of SomaLogic to Illumina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Received $350 Million in upfront cash at closing; Up to $425 Million in total proceeds inclusive of near-term earnout payments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$550 million in cash &amp; cash equivalents on balance sheet at close, excluding potential future earnouts, to fuel inorganic growth strategy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Continuing Operations on track to achieve positive adjusted EBITDA in 2026</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BOSTON, Mass., Jan. 30, 2026 -- Standard BioTools Inc. (NASDAQ: LAB) (the “Company” or “Standard BioTools”) today announced it has completed the previously announced sale of SomaLogic to Illumina, Inc. (NASDAQ: ILMN) (“Illumina”) for $350 million in upfront cash and up to $75 million in near-term earnout payments for aggregate cash consideration of up to $425 million plus specified royalties.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closing of this transaction marks a major milestone in our strategic transformation. We are lean, focused and extremely well positioned, and emerge today far stronger than we were yesterday,” said Michael Egholm, PhD, President and Chief Executive Officer of Standard BioTools. “We are now financially resourced to pursue disciplined M&amp;A that accelerates growth and scale like few similarly sized peers in our industry can.”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With the sale of SomaLogic to Illumina, which includes SomaScan® Assay Services, Authorized Sites and KREX™, Standard BioTools received an upfront payment of $350 million, subject to customary adjustments, and is eligible to receive up to $75 million in earnout payments, consisting of up to $25 million based on 2025 performance and up to $50 million based on 2026 performance, payable upon the achievement of specified targets for net revenue generated from SOMAmer-based assay services and related products.</w:t>
      </w:r>
      <w:r>
        <w:rPr>
          <w:rFonts w:ascii="Times New Roman" w:cs="Times New Roman" w:eastAsia="Times New Roman" w:hAnsi="Times New Roman"/>
          <w:sz w:val="29"/>
          <w:szCs w:val="29"/>
          <w:color w:val="auto"/>
          <w:vertAlign w:val="superscript"/>
        </w:rPr>
        <w:t>1</w:t>
      </w:r>
    </w:p>
    <w:p>
      <w:pPr>
        <w:spacing w:after="0" w:line="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Standard BioTools will also receive a 2% royalty on net revenues generated from sales of SOMAmer-based NGS library preparation kits for 10 years and a co-exclusive license to the intellectual property relating to Single SOMAmer commercialization in singleplex affinity assays.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Following the closing of the transaction, as of January 30, 2026, Standard BioTools estimates a cash and cash equivalents balance of approximately $550 million. This approximate cash and cash equivalents balance is unaudited and may be adjusted as a result of, among other things, completion of financial closing procedures and internal reviews. This financial information does not represent a comprehensive statement of the Company’s current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ind w:right="52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earnout payment of up to $25 million based on 2025 performance will be determined in accordance with the terms of the definitive transaction documentation, including customary review procedures between Standard BioTools and Illumina.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among others, statements regarding future financial and business performance, including with respect to potential earnout payments and royalty streams; expected cash and cash equivalents; operational and strategic plans; deployment of capital; market and growth opportunity and potential; and the potential to realize the expected benefits of the transaction. All statements, other than statements of historical fact, may be forward-looking statements. These forward-looking statements may be accompanied by such words as “anticipate,” “believe,” “estimate,” “expect,” “forecast,” “intend,” “may,” “plan,” “potential,” “project,” “target,” “should,” “likely,” “will” and other words and terms of similar meaning.</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numerous risks and uncertainties that could cause actual results to differ materially from currently anticipated results, including, but not limited to: risks of stockholder litigation relating to the transaction, including resulting expense the potential that the expected benefits and opportunities of the transaction may not be realized or may take longer to realize than expected; risks that the anticipated benefits and synergies of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w:t>
      </w:r>
    </w:p>
    <w:p>
      <w:pPr>
        <w:spacing w:after="0" w:line="1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information regarding other related risks, see the “Risk Factors” section in the Company’s Annual Report on Form 10-K for the year ended December 31, 2024 filed with the SEC on March 11, 2025, in the Company’s Quarterly Report on Form 10-Q for the quarter ended June 30, 2025 filed with the SEC on August 15, 2025 and in the Company’s other filings with the SEC.</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speak only as of the date hereof. The Company disclaims any obligation to update these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2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Standard BioTools Inc. (Nasdaq: LAB), has an established portfolio of essential, standardized next-generation technologies that help biomedical researchers develop better medicines faster.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standardbio.com or connect with us on X, Facebook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LinkedIn, and YouTube™.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Research Use Only. Not for use in diagnostic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Use Label License and other terms may apply: standardbio.com/legal/salesterms.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and License Information: standardbio.com/legal/notices.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 standardbio.com/legal/trademarks. Any other trademarks are the sole property of their respective owners. ©2026 Standard BioTools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(f.k.a. Fluidigm Corporation). All rights reserved.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0" Type="http://schemas.openxmlformats.org/officeDocument/2006/relationships/hyperlink" Target="https://www.sec.gov/Archives/edgar/data/1162194/000110465925061438/tm2518613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2026-01-30T09:24:16Z</dcterms:created>
  <dcterms:modified xsi:type="dcterms:W3CDTF">2026-01-30T09:24:16Z</dcterms:modified>
</cp:coreProperties>
</file>