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incorporation)</w:t>
            </w:r>
          </w:p>
        </w:tc>
        <w:tc>
          <w:tcPr>
            <w:tcW w:w="44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2 Tower Place, Suite 2000</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4"/>
                <w:szCs w:val="24"/>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Standard BioTools Inc. (the “Company”) held its 2025 Annual Meeting of Stockholders (the “Annual Meeting”) on June 18, 2025. The Company’s stockholders voted to approve an amendment to the Company’s Amended and Restated 2011 Equity Incentive Plan, as amended (the “Plan”), increasing the number of shares of common stock reserved for issuance thereunder by 17,400,000 shares.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Plan is described in further detail in the Company’s definitive proxy statement on Schedule 14A for the Annual Meeting filed with the Securities and Exchange Commission on April 30, 2025 (the “Proxy Statement”), which description is incorporated herein by reference. The complete text of the Plan is set forth in Exhibit 10.1 to this Current Report on Form 8-K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April 25, 2025 (the “Record Date”), the Company had 379,822,268 shares of common stock issued and outstanding. A total of 326,864,517 votes, or approximately 86.06% of the total voting power of the shares of the Company’s capital stock issued and outstanding and entitled to vote at the Annual Meeting were represented in person or by proxy at the Annual Meeting. The following proposals are described in detail in the Proxy Statement. The final voting results for each of the matters submitted to a stockholder vote at the Annual Meeting are set forth below:</w:t>
      </w:r>
    </w:p>
    <w:p>
      <w:pPr>
        <w:spacing w:after="0" w:line="176" w:lineRule="exact"/>
        <w:rPr>
          <w:sz w:val="20"/>
          <w:szCs w:val="20"/>
          <w:color w:val="auto"/>
        </w:rPr>
      </w:pPr>
    </w:p>
    <w:p>
      <w:pPr>
        <w:ind w:firstLine="382"/>
        <w:spacing w:after="0" w:line="286" w:lineRule="auto"/>
        <w:tabs>
          <w:tab w:leader="none" w:pos="57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Class III Directors. </w:t>
      </w:r>
      <w:r>
        <w:rPr>
          <w:rFonts w:ascii="Times New Roman" w:cs="Times New Roman" w:eastAsia="Times New Roman" w:hAnsi="Times New Roman"/>
          <w:sz w:val="18"/>
          <w:szCs w:val="18"/>
          <w:color w:val="auto"/>
        </w:rPr>
        <w:t>The following nominees were elected to serve as Class III directors, to hold office until the Company’s 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or until their respective successors have been duly elected and qualified or their earlier resignation or removal: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Kathy Hibbs</w:t>
            </w:r>
          </w:p>
        </w:tc>
        <w:tc>
          <w:tcPr>
            <w:tcW w:w="2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235,917,851</w:t>
            </w:r>
          </w:p>
        </w:tc>
        <w:tc>
          <w:tcPr>
            <w:tcW w:w="27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9,416,470</w:t>
            </w:r>
          </w:p>
        </w:tc>
        <w:tc>
          <w:tcPr>
            <w:tcW w:w="3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81,530,196</w:t>
            </w:r>
          </w:p>
        </w:tc>
      </w:tr>
      <w:tr>
        <w:trPr>
          <w:trHeight w:val="27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Frank Witney, Ph.D.</w:t>
            </w:r>
          </w:p>
        </w:tc>
        <w:tc>
          <w:tcPr>
            <w:tcW w:w="2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240,269,516</w:t>
            </w:r>
          </w:p>
        </w:tc>
        <w:tc>
          <w:tcPr>
            <w:tcW w:w="27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5,064,805</w:t>
            </w:r>
          </w:p>
        </w:tc>
        <w:tc>
          <w:tcPr>
            <w:tcW w:w="3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81,530,196</w:t>
            </w:r>
          </w:p>
        </w:tc>
      </w:tr>
    </w:tbl>
    <w:p>
      <w:pPr>
        <w:spacing w:after="0" w:line="248" w:lineRule="exact"/>
        <w:rPr>
          <w:sz w:val="20"/>
          <w:szCs w:val="20"/>
          <w:color w:val="auto"/>
        </w:rPr>
      </w:pPr>
    </w:p>
    <w:p>
      <w:pPr>
        <w:ind w:firstLine="382"/>
        <w:spacing w:after="0" w:line="286" w:lineRule="auto"/>
        <w:tabs>
          <w:tab w:leader="none" w:pos="5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on Approval of Executive Compensation. </w:t>
      </w:r>
      <w:r>
        <w:rPr>
          <w:rFonts w:ascii="Times New Roman" w:cs="Times New Roman" w:eastAsia="Times New Roman" w:hAnsi="Times New Roman"/>
          <w:sz w:val="18"/>
          <w:szCs w:val="18"/>
          <w:color w:val="auto"/>
        </w:rPr>
        <w:t>The proposal to approve, on an advisory basis, the compensation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 for the year ended December 31, 2024 was approved by the following votes: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241,143,534</w:t>
            </w:r>
          </w:p>
        </w:tc>
        <w:tc>
          <w:tcPr>
            <w:tcW w:w="20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4,006,163</w:t>
            </w:r>
          </w:p>
        </w:tc>
        <w:tc>
          <w:tcPr>
            <w:tcW w:w="27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184,624</w:t>
            </w:r>
          </w:p>
        </w:tc>
        <w:tc>
          <w:tcPr>
            <w:tcW w:w="31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81,530,196</w:t>
            </w:r>
          </w:p>
        </w:tc>
      </w:tr>
    </w:tbl>
    <w:p>
      <w:pPr>
        <w:spacing w:after="0" w:line="248" w:lineRule="exact"/>
        <w:rPr>
          <w:sz w:val="20"/>
          <w:szCs w:val="20"/>
          <w:color w:val="auto"/>
        </w:rPr>
      </w:pPr>
    </w:p>
    <w:p>
      <w:pPr>
        <w:jc w:val="both"/>
        <w:ind w:firstLine="382"/>
        <w:spacing w:after="0" w:line="268" w:lineRule="auto"/>
        <w:tabs>
          <w:tab w:leader="none" w:pos="64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proposal to ratify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the Company’s independent registered public accounting firm for the year ending December 31, 2025 was approved by the following vote: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322,915,281</w:t>
            </w:r>
          </w:p>
        </w:tc>
        <w:tc>
          <w:tcPr>
            <w:tcW w:w="4400" w:type="dxa"/>
            <w:vAlign w:val="bottom"/>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3,650,720</w:t>
            </w:r>
          </w:p>
        </w:tc>
        <w:tc>
          <w:tcPr>
            <w:tcW w:w="3780" w:type="dxa"/>
            <w:vAlign w:val="bottom"/>
            <w:gridSpan w:val="2"/>
          </w:tcPr>
          <w:p>
            <w:pPr>
              <w:jc w:val="right"/>
              <w:ind w:right="1430"/>
              <w:spacing w:after="0"/>
              <w:rPr>
                <w:sz w:val="20"/>
                <w:szCs w:val="20"/>
                <w:color w:val="auto"/>
              </w:rPr>
            </w:pPr>
            <w:r>
              <w:rPr>
                <w:rFonts w:ascii="Times New Roman" w:cs="Times New Roman" w:eastAsia="Times New Roman" w:hAnsi="Times New Roman"/>
                <w:sz w:val="18"/>
                <w:szCs w:val="18"/>
                <w:color w:val="auto"/>
              </w:rPr>
              <w:t>298,516</w:t>
            </w:r>
          </w:p>
        </w:tc>
      </w:tr>
    </w:tbl>
    <w:p>
      <w:pPr>
        <w:spacing w:after="0" w:line="221" w:lineRule="exact"/>
        <w:rPr>
          <w:sz w:val="20"/>
          <w:szCs w:val="20"/>
          <w:color w:val="auto"/>
        </w:rPr>
      </w:pPr>
    </w:p>
    <w:p>
      <w:pPr>
        <w:ind w:right="20" w:firstLine="382"/>
        <w:spacing w:after="0" w:line="286" w:lineRule="auto"/>
        <w:tabs>
          <w:tab w:leader="none" w:pos="55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of the Amendment to the Amended and Restated 2011 Equity Incentive Plan, as Amended. </w:t>
      </w:r>
      <w:r>
        <w:rPr>
          <w:rFonts w:ascii="Times New Roman" w:cs="Times New Roman" w:eastAsia="Times New Roman" w:hAnsi="Times New Roman"/>
          <w:sz w:val="18"/>
          <w:szCs w:val="18"/>
          <w:color w:val="auto"/>
        </w:rPr>
        <w:t>The proposal to approve the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Plan to increase the shares of common stock reserved thereunder by 17,400,000 shares was approved by the following votes: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440" w:type="dxa"/>
            <w:vAlign w:val="bottom"/>
            <w:gridSpan w:val="5"/>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2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224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223,394,563</w:t>
            </w:r>
          </w:p>
        </w:tc>
        <w:tc>
          <w:tcPr>
            <w:tcW w:w="200" w:type="dxa"/>
            <w:vAlign w:val="bottom"/>
          </w:tcPr>
          <w:p>
            <w:pPr>
              <w:spacing w:after="0"/>
              <w:rPr>
                <w:sz w:val="20"/>
                <w:szCs w:val="20"/>
                <w:color w:val="auto"/>
              </w:rPr>
            </w:pP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19,589,973</w:t>
            </w:r>
          </w:p>
        </w:tc>
        <w:tc>
          <w:tcPr>
            <w:tcW w:w="26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2,349,785</w:t>
            </w:r>
          </w:p>
        </w:tc>
        <w:tc>
          <w:tcPr>
            <w:tcW w:w="40" w:type="dxa"/>
            <w:vAlign w:val="bottom"/>
          </w:tcPr>
          <w:p>
            <w:pPr>
              <w:spacing w:after="0"/>
              <w:rPr>
                <w:sz w:val="20"/>
                <w:szCs w:val="20"/>
                <w:color w:val="auto"/>
              </w:rPr>
            </w:pPr>
          </w:p>
        </w:tc>
        <w:tc>
          <w:tcPr>
            <w:tcW w:w="31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81,530,196</w:t>
            </w:r>
          </w:p>
        </w:tc>
      </w:tr>
      <w:tr>
        <w:trPr>
          <w:trHeight w:val="567"/>
        </w:trPr>
        <w:tc>
          <w:tcPr>
            <w:tcW w:w="3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5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4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Standard BioTools Inc. Amended and Restated 2011 Equity Incentive Plan, as Amended.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20, 2025</w:t>
            </w:r>
          </w:p>
        </w:tc>
        <w:tc>
          <w:tcPr>
            <w:tcW w:w="724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6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10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6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amended and restated effective June 3, 2019, and as further amended effective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June 23, 2020, May 25, 2021, June 14, 2023, January 4, 2024, June 27, 2024 and June 18, 2025)</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herein, the following definitions will apply: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may administer the Plan in accordance with Section 4 hereof.</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means June 18, 2025.</w:t>
      </w:r>
    </w:p>
    <w:p>
      <w:pPr>
        <w:spacing w:after="0" w:line="225"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xml:space="preserve">” means the requirements </w:t>
      </w:r>
      <w:r>
        <w:rPr>
          <w:rFonts w:ascii="Times New Roman" w:cs="Times New Roman" w:eastAsia="Times New Roman" w:hAnsi="Times New Roman"/>
          <w:sz w:val="18"/>
          <w:szCs w:val="18"/>
          <w:u w:val="single" w:color="auto"/>
          <w:color w:val="auto"/>
        </w:rPr>
        <w:t>relating</w:t>
      </w:r>
      <w:r>
        <w:rPr>
          <w:rFonts w:ascii="Times New Roman" w:cs="Times New Roman" w:eastAsia="Times New Roman" w:hAnsi="Times New Roman"/>
          <w:sz w:val="18"/>
          <w:szCs w:val="18"/>
          <w:color w:val="auto"/>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2"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(i)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80"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58"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w:t>
      </w:r>
    </w:p>
    <w:p>
      <w:pPr>
        <w:spacing w:after="0" w:line="3" w:lineRule="exact"/>
        <w:rPr>
          <w:sz w:val="20"/>
          <w:szCs w:val="20"/>
          <w:color w:val="auto"/>
        </w:rPr>
      </w:pPr>
    </w:p>
    <w:p>
      <w:pPr>
        <w:ind w:right="120" w:firstLine="8"/>
        <w:spacing w:after="0" w:line="252"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ind w:right="600" w:firstLine="416"/>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right="380" w:firstLine="41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right="540" w:firstLine="41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Standard BioTools Inc. (fka Fluidigm Corporation), a Delaware corporation, or any successor thereto.</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 such entity.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service as a Director nor payment of a director’s fee by the Company will be sufficient to constitute “employment” by the Company.</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04"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3" w:lineRule="exact"/>
        <w:rPr>
          <w:sz w:val="20"/>
          <w:szCs w:val="20"/>
          <w:color w:val="auto"/>
        </w:rPr>
      </w:pPr>
    </w:p>
    <w:p>
      <w:pPr>
        <w:ind w:right="280" w:firstLine="749"/>
        <w:spacing w:after="0" w:line="255" w:lineRule="auto"/>
        <w:rPr>
          <w:sz w:val="20"/>
          <w:szCs w:val="20"/>
          <w:color w:val="auto"/>
        </w:rPr>
      </w:pPr>
      <w:r>
        <w:rPr>
          <w:rFonts w:ascii="Times New Roman" w:cs="Times New Roman" w:eastAsia="Times New Roman" w:hAnsi="Times New Roman"/>
          <w:sz w:val="18"/>
          <w:szCs w:val="18"/>
          <w:color w:val="auto"/>
        </w:rPr>
        <w:t>(ii)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186" w:lineRule="exact"/>
        <w:rPr>
          <w:sz w:val="20"/>
          <w:szCs w:val="20"/>
          <w:color w:val="auto"/>
        </w:rPr>
      </w:pPr>
    </w:p>
    <w:p>
      <w:pPr>
        <w:ind w:right="980" w:firstLine="749"/>
        <w:spacing w:after="0" w:line="282" w:lineRule="auto"/>
        <w:rPr>
          <w:sz w:val="20"/>
          <w:szCs w:val="20"/>
          <w:color w:val="auto"/>
        </w:rPr>
      </w:pPr>
      <w:r>
        <w:rPr>
          <w:rFonts w:ascii="Times New Roman" w:cs="Times New Roman" w:eastAsia="Times New Roman" w:hAnsi="Times New Roman"/>
          <w:sz w:val="18"/>
          <w:szCs w:val="18"/>
          <w:color w:val="auto"/>
        </w:rPr>
        <w:t>(iii)  In the absence of an established market for the Common Stock, the Fair Market Value will be determined in good faith by the Administrator.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62"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54"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2011 Equity Incentive Plan, as amended and restated effective June 3, 2019, and as further amended at the 2020 Annual Meeting of Stockholders, the 2021 Annual Meeting of Stockholders, the 2023 Annual Meeting of Stockholders, the Special Meeting of Stockholders, the 2024 Annual Meeting of Stockholders and the 2025 Annual Meeting of Stockholders.</w:t>
      </w:r>
    </w:p>
    <w:p>
      <w:pPr>
        <w:spacing w:after="0" w:line="176" w:lineRule="exact"/>
        <w:rPr>
          <w:sz w:val="20"/>
          <w:szCs w:val="20"/>
          <w:color w:val="auto"/>
        </w:rPr>
      </w:pPr>
    </w:p>
    <w:p>
      <w:pPr>
        <w:ind w:right="620" w:firstLine="416"/>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162" w:lineRule="exact"/>
        <w:rPr>
          <w:sz w:val="20"/>
          <w:szCs w:val="20"/>
          <w:color w:val="auto"/>
        </w:rPr>
      </w:pPr>
    </w:p>
    <w:p>
      <w:pPr>
        <w:ind w:right="280" w:firstLine="416"/>
        <w:spacing w:after="0" w:line="282"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2" w:lineRule="exact"/>
        <w:rPr>
          <w:sz w:val="20"/>
          <w:szCs w:val="20"/>
          <w:color w:val="auto"/>
        </w:rPr>
      </w:pPr>
    </w:p>
    <w:p>
      <w:pPr>
        <w:ind w:right="480" w:firstLine="416"/>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Section 16(12)</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issued under the Plan as of the Amendment Effective Date is (i) 17,400,000 Shares, plus (ii) any Shares that, as of immediately prior to the Amendment Effective Date, were available for issuance under the pre-existing version of the 2011 Equity Incentive Plan prior to this amendment (the “</w:t>
      </w:r>
      <w:r>
        <w:rPr>
          <w:rFonts w:ascii="Times New Roman" w:cs="Times New Roman" w:eastAsia="Times New Roman" w:hAnsi="Times New Roman"/>
          <w:sz w:val="18"/>
          <w:szCs w:val="18"/>
          <w:u w:val="single" w:color="auto"/>
          <w:color w:val="auto"/>
        </w:rPr>
        <w:t>Existing Plan</w:t>
      </w:r>
      <w:r>
        <w:rPr>
          <w:rFonts w:ascii="Times New Roman" w:cs="Times New Roman" w:eastAsia="Times New Roman" w:hAnsi="Times New Roman"/>
          <w:sz w:val="18"/>
          <w:szCs w:val="18"/>
          <w:color w:val="auto"/>
        </w:rPr>
        <w:t>”). The Shares may be authorized, but unissued, or reacquired Common Stock.</w:t>
      </w:r>
    </w:p>
    <w:p>
      <w:pPr>
        <w:spacing w:after="0" w:line="180"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t>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94" w:lineRule="exact"/>
        <w:rPr>
          <w:sz w:val="20"/>
          <w:szCs w:val="20"/>
          <w:color w:val="auto"/>
        </w:rPr>
      </w:pPr>
    </w:p>
    <w:p>
      <w:pPr>
        <w:ind w:right="640" w:firstLine="416"/>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may administer the Plan with respect to different groups of Service Providers.</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such transactions will be structured to satisfy the requirements for exemption under Rule 16b-3.</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constituted to satisfy Applicable Laws.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to such Committee, the Administrator will have the authority, in its discretion: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to determine the Fair Market Value;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(ii)   to select the Service Providers to whom Awards may be granted 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(iii)   to determine the number of Shares to be covered by each Award granted hereunder;</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(iv)   to approve forms of Award Agreements for use under the Plan;</w:t>
      </w:r>
    </w:p>
    <w:p>
      <w:pPr>
        <w:spacing w:after="0" w:line="22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(vi)   to construe and interpret the terms of the Plan and Awards granted pursuant to the Plan;</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(ix)   to allow Participants to satisfy tax withholding obligations in such manner as prescribed in Section 14 of the Plan;</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(x)  to authorize any person to execute on behalf of the Company any instrument required to effect the grant of an Award previously granted by the Administrator;</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(xi)  to allow a Participant to defer the receipt of the payment of cash or the delivery of Shares that would otherwise be due to such Participant under an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color w:val="auto"/>
        </w:rPr>
        <w:t>(xii)   to make all other determinations deemed necessary or advisable for administering the Plan.</w:t>
      </w:r>
    </w:p>
    <w:p>
      <w:pPr>
        <w:spacing w:after="0" w:line="225" w:lineRule="exact"/>
        <w:rPr>
          <w:sz w:val="20"/>
          <w:szCs w:val="20"/>
          <w:color w:val="auto"/>
        </w:rPr>
      </w:pPr>
    </w:p>
    <w:p>
      <w:pPr>
        <w:ind w:right="4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decisions, determinations, and interpretations of the Administrator will be final and binding on all Participants and any other holders of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Limitations on Administrative Authority</w:t>
      </w:r>
      <w:r>
        <w:rPr>
          <w:rFonts w:ascii="Times New Roman" w:cs="Times New Roman" w:eastAsia="Times New Roman" w:hAnsi="Times New Roman"/>
          <w:sz w:val="18"/>
          <w:szCs w:val="18"/>
          <w:color w:val="auto"/>
        </w:rPr>
        <w:t>. Notwithstanding anything herein to the contrary, the Administrator shall be limited as follows: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The Administrator may not implement an Exchange Program.</w:t>
      </w:r>
    </w:p>
    <w:p>
      <w:pPr>
        <w:spacing w:after="0" w:line="225" w:lineRule="exact"/>
        <w:rPr>
          <w:sz w:val="20"/>
          <w:szCs w:val="20"/>
          <w:color w:val="auto"/>
        </w:rPr>
      </w:pPr>
    </w:p>
    <w:p>
      <w:pPr>
        <w:jc w:val="both"/>
        <w:ind w:right="360" w:firstLine="749"/>
        <w:spacing w:after="0" w:line="312"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No Dividends or Dividend Equivalents Paid on Unvested Awards</w:t>
      </w:r>
      <w:r>
        <w:rPr>
          <w:rFonts w:ascii="Times New Roman" w:cs="Times New Roman" w:eastAsia="Times New Roman" w:hAnsi="Times New Roman"/>
          <w:sz w:val="17"/>
          <w:szCs w:val="17"/>
          <w:color w:val="auto"/>
        </w:rPr>
        <w:t>. No dividends or dividend equivalents shall be paid on any unvested Awards. Any dividends or dividend equivalents may be declared or accrue on unvested Awards, but shall not be paid until the vesting of such Awards.</w:t>
      </w:r>
    </w:p>
    <w:p>
      <w:pPr>
        <w:spacing w:after="0" w:line="14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183" w:lineRule="exact"/>
        <w:rPr>
          <w:sz w:val="20"/>
          <w:szCs w:val="20"/>
          <w:color w:val="auto"/>
        </w:rPr>
      </w:pPr>
    </w:p>
    <w:p>
      <w:pPr>
        <w:ind w:right="840" w:firstLine="416"/>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subject to the following:</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   In the case of an Incentive Stock Option</w:t>
      </w:r>
    </w:p>
    <w:p>
      <w:pPr>
        <w:spacing w:after="0" w:line="225" w:lineRule="exact"/>
        <w:rPr>
          <w:sz w:val="20"/>
          <w:szCs w:val="20"/>
          <w:color w:val="auto"/>
        </w:rPr>
      </w:pPr>
    </w:p>
    <w:p>
      <w:pPr>
        <w:ind w:left="2260"/>
        <w:spacing w:after="0" w:line="266" w:lineRule="auto"/>
        <w:rPr>
          <w:sz w:val="20"/>
          <w:szCs w:val="20"/>
          <w:color w:val="auto"/>
        </w:rPr>
      </w:pPr>
      <w:r>
        <w:rPr>
          <w:rFonts w:ascii="Times New Roman" w:cs="Times New Roman" w:eastAsia="Times New Roman" w:hAnsi="Times New Roman"/>
          <w:sz w:val="18"/>
          <w:szCs w:val="18"/>
          <w:color w:val="auto"/>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6" w:lineRule="exact"/>
        <w:rPr>
          <w:sz w:val="20"/>
          <w:szCs w:val="20"/>
          <w:color w:val="auto"/>
        </w:rPr>
      </w:pPr>
    </w:p>
    <w:p>
      <w:pPr>
        <w:ind w:left="2260"/>
        <w:spacing w:after="0" w:line="261" w:lineRule="auto"/>
        <w:rPr>
          <w:sz w:val="20"/>
          <w:szCs w:val="20"/>
          <w:color w:val="auto"/>
        </w:rPr>
      </w:pPr>
      <w:r>
        <w:rPr>
          <w:rFonts w:ascii="Times New Roman" w:cs="Times New Roman" w:eastAsia="Times New Roman" w:hAnsi="Times New Roman"/>
          <w:sz w:val="18"/>
          <w:szCs w:val="18"/>
          <w:color w:val="auto"/>
        </w:rPr>
        <w:t>b)  granted to any Employee other than an Employee described in paragraph (A) immediately above, the per Share exercise price will be no less than one hundred percent</w:t>
      </w:r>
    </w:p>
    <w:p>
      <w:pPr>
        <w:ind w:left="2260"/>
        <w:spacing w:after="0"/>
        <w:rPr>
          <w:sz w:val="20"/>
          <w:szCs w:val="20"/>
          <w:color w:val="auto"/>
        </w:rPr>
      </w:pPr>
      <w:r>
        <w:rPr>
          <w:rFonts w:ascii="Times New Roman" w:cs="Times New Roman" w:eastAsia="Times New Roman" w:hAnsi="Times New Roman"/>
          <w:sz w:val="18"/>
          <w:szCs w:val="18"/>
          <w:color w:val="auto"/>
        </w:rPr>
        <w:t>(100%) of the Fair Market Value per Share on the date of grant.</w:t>
      </w:r>
    </w:p>
    <w:p>
      <w:pPr>
        <w:spacing w:after="0" w:line="207" w:lineRule="exact"/>
        <w:rPr>
          <w:sz w:val="20"/>
          <w:szCs w:val="20"/>
          <w:color w:val="auto"/>
        </w:rPr>
      </w:pPr>
    </w:p>
    <w:p>
      <w:pPr>
        <w:ind w:left="760" w:right="180" w:firstLine="749"/>
        <w:spacing w:after="0" w:line="282" w:lineRule="auto"/>
        <w:rPr>
          <w:sz w:val="20"/>
          <w:szCs w:val="20"/>
          <w:color w:val="auto"/>
        </w:rPr>
      </w:pPr>
      <w:r>
        <w:rPr>
          <w:rFonts w:ascii="Times New Roman" w:cs="Times New Roman" w:eastAsia="Times New Roman" w:hAnsi="Times New Roman"/>
          <w:sz w:val="18"/>
          <w:szCs w:val="18"/>
          <w:color w:val="auto"/>
        </w:rPr>
        <w:t>(2)  In the case of a Nonstatutory Stock Option, the per Share exercise price will be no less than one hundred percent (100%) of the Fair Market Value per Share on the date of grant.</w:t>
      </w:r>
    </w:p>
    <w:p>
      <w:pPr>
        <w:spacing w:after="0" w:line="27" w:lineRule="exact"/>
        <w:rPr>
          <w:sz w:val="20"/>
          <w:szCs w:val="20"/>
          <w:color w:val="auto"/>
        </w:rPr>
      </w:pPr>
    </w:p>
    <w:p>
      <w:pPr>
        <w:jc w:val="both"/>
        <w:ind w:left="760" w:right="60" w:firstLine="749"/>
        <w:spacing w:after="0" w:line="266" w:lineRule="auto"/>
        <w:rPr>
          <w:sz w:val="20"/>
          <w:szCs w:val="20"/>
          <w:color w:val="auto"/>
        </w:rPr>
      </w:pPr>
      <w:r>
        <w:rPr>
          <w:rFonts w:ascii="Times New Roman" w:cs="Times New Roman" w:eastAsia="Times New Roman" w:hAnsi="Times New Roman"/>
          <w:sz w:val="18"/>
          <w:szCs w:val="18"/>
          <w:color w:val="auto"/>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 w:name="page9"/>
    <w:bookmarkEnd w:id="8"/>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8"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120" w:firstLine="749"/>
        <w:spacing w:after="0" w:line="273"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Termination of Relationship as a Service Provider</w:t>
      </w:r>
      <w:r>
        <w:rPr>
          <w:rFonts w:ascii="Times New Roman" w:cs="Times New Roman" w:eastAsia="Times New Roman" w:hAnsi="Times New Roman"/>
          <w:sz w:val="17"/>
          <w:szCs w:val="17"/>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1"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6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500"/>
        <w:spacing w:after="0" w:line="282" w:lineRule="auto"/>
        <w:rPr>
          <w:sz w:val="20"/>
          <w:szCs w:val="20"/>
          <w:color w:val="auto"/>
        </w:rPr>
      </w:pPr>
      <w:r>
        <w:rPr>
          <w:rFonts w:ascii="Times New Roman" w:cs="Times New Roman" w:eastAsia="Times New Roman" w:hAnsi="Times New Roman"/>
          <w:sz w:val="18"/>
          <w:szCs w:val="18"/>
          <w:color w:val="auto"/>
        </w:rPr>
        <w:t>of the Option will immediately revert to the Plan. If the Option is not so exercised within the time specified herein, the Option will terminate, and the Shares covered by such Option will revert to the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16"/>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2"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sz w:val="20"/>
          <w:szCs w:val="20"/>
          <w:color w:val="auto"/>
        </w:rPr>
      </w:pPr>
    </w:p>
    <w:p>
      <w:pPr>
        <w:ind w:right="5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62" w:lineRule="exact"/>
        <w:rPr>
          <w:sz w:val="20"/>
          <w:szCs w:val="20"/>
          <w:color w:val="auto"/>
        </w:rPr>
      </w:pPr>
    </w:p>
    <w:p>
      <w:pPr>
        <w:ind w:right="2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2"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6"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2"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ind w:right="420" w:firstLine="416"/>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6"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80"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ind w:right="4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2"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2"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83" w:lineRule="exact"/>
        <w:rPr>
          <w:sz w:val="20"/>
          <w:szCs w:val="20"/>
          <w:color w:val="auto"/>
        </w:rPr>
      </w:pPr>
    </w:p>
    <w:p>
      <w:pPr>
        <w:ind w:right="300" w:firstLine="416"/>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sz w:val="20"/>
          <w:szCs w:val="20"/>
          <w:color w:val="auto"/>
        </w:rPr>
      </w:pPr>
    </w:p>
    <w:p>
      <w:pPr>
        <w:ind w:right="5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6"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6"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89"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sz w:val="20"/>
          <w:szCs w:val="20"/>
          <w:color w:val="auto"/>
        </w:rPr>
      </w:pPr>
    </w:p>
    <w:p>
      <w:pPr>
        <w:ind w:right="2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2" w:lineRule="exact"/>
        <w:rPr>
          <w:sz w:val="20"/>
          <w:szCs w:val="20"/>
          <w:color w:val="auto"/>
        </w:rPr>
      </w:pPr>
    </w:p>
    <w:p>
      <w:pPr>
        <w:ind w:right="280" w:firstLine="41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Leaves of Absence/Transfers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right="300"/>
        <w:spacing w:after="0" w:line="266" w:lineRule="auto"/>
        <w:rPr>
          <w:sz w:val="20"/>
          <w:szCs w:val="20"/>
          <w:color w:val="auto"/>
        </w:rPr>
      </w:pPr>
      <w:r>
        <w:rPr>
          <w:rFonts w:ascii="Times New Roman" w:cs="Times New Roman" w:eastAsia="Times New Roman" w:hAnsi="Times New Roman"/>
          <w:sz w:val="18"/>
          <w:szCs w:val="18"/>
          <w:color w:val="auto"/>
        </w:rPr>
        <w:t>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76"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66"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6"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80"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8" w:lineRule="exact"/>
        <w:rPr>
          <w:sz w:val="20"/>
          <w:szCs w:val="20"/>
          <w:color w:val="auto"/>
        </w:rPr>
      </w:pPr>
    </w:p>
    <w:p>
      <w:pPr>
        <w:ind w:right="520" w:firstLine="416"/>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 w:name="page13"/>
    <w:bookmarkEnd w:id="12"/>
    <w:p>
      <w:pPr>
        <w:jc w:val="both"/>
        <w:ind w:right="1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5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8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9"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6"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6"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22 of the Plan, this amendment of the Plan will become effective upon the Amendment Effective Date. It will continue in effect for a term of ten (10) years from the date of the Amendment Effective Date, unless terminated earlier under Section 18 of the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225"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2" w:lineRule="exact"/>
        <w:rPr>
          <w:sz w:val="20"/>
          <w:szCs w:val="20"/>
          <w:color w:val="auto"/>
        </w:rPr>
      </w:pPr>
    </w:p>
    <w:p>
      <w:pPr>
        <w:jc w:val="both"/>
        <w:ind w:right="40" w:firstLine="41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41"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9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83"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amendment of the Plan is subject to, and contingent upon, stockholder approval at the 2025 Annual Meeting of Stockholders. Such stockholder approval will be obtained in the manner and to the degree required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2025-06-20T15:21:17Z</dcterms:created>
  <dcterms:modified xsi:type="dcterms:W3CDTF">2025-06-20T15:21:17Z</dcterms:modified>
</cp:coreProperties>
</file>