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001-34180</w:t>
            </w:r>
          </w:p>
        </w:tc>
        <w:tc>
          <w:tcPr>
            <w:tcW w:w="30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77-0513190</w:t>
            </w:r>
          </w:p>
        </w:tc>
      </w:tr>
      <w:tr>
        <w:trPr>
          <w:trHeight w:val="195"/>
        </w:trPr>
        <w:tc>
          <w:tcPr>
            <w:tcW w:w="3200" w:type="dxa"/>
            <w:vAlign w:val="bottom"/>
          </w:tcPr>
          <w:p>
            <w:pPr>
              <w:ind w:left="900"/>
              <w:spacing w:after="0" w:line="195" w:lineRule="exact"/>
              <w:rPr>
                <w:sz w:val="20"/>
                <w:szCs w:val="20"/>
                <w:color w:val="auto"/>
              </w:rPr>
            </w:pPr>
            <w:r>
              <w:rPr>
                <w:rFonts w:ascii="Arial" w:cs="Arial" w:eastAsia="Arial" w:hAnsi="Arial"/>
                <w:sz w:val="18"/>
                <w:szCs w:val="18"/>
                <w:color w:val="auto"/>
              </w:rPr>
              <w:t>(State or other jurisdiction</w:t>
            </w:r>
          </w:p>
        </w:tc>
        <w:tc>
          <w:tcPr>
            <w:tcW w:w="4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(Commission</w:t>
            </w:r>
          </w:p>
        </w:tc>
        <w:tc>
          <w:tcPr>
            <w:tcW w:w="3060" w:type="dxa"/>
            <w:vAlign w:val="bottom"/>
          </w:tcPr>
          <w:p>
            <w:pPr>
              <w:ind w:left="580"/>
              <w:spacing w:after="0" w:line="195" w:lineRule="exact"/>
              <w:rPr>
                <w:sz w:val="20"/>
                <w:szCs w:val="20"/>
                <w:color w:val="auto"/>
              </w:rPr>
            </w:pPr>
            <w:r>
              <w:rPr>
                <w:rFonts w:ascii="Arial" w:cs="Arial" w:eastAsia="Arial" w:hAnsi="Arial"/>
                <w:sz w:val="18"/>
                <w:szCs w:val="18"/>
                <w:color w:val="auto"/>
              </w:rPr>
              <w:t>(I.R.S. Employer</w:t>
            </w:r>
          </w:p>
        </w:tc>
      </w:tr>
      <w:tr>
        <w:trPr>
          <w:trHeight w:val="230"/>
        </w:trPr>
        <w:tc>
          <w:tcPr>
            <w:tcW w:w="320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06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0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 Tower Place, Suite 2000</w:t>
            </w:r>
          </w:p>
        </w:tc>
        <w:tc>
          <w:tcPr>
            <w:tcW w:w="3060" w:type="dxa"/>
            <w:vAlign w:val="bottom"/>
          </w:tcPr>
          <w:p>
            <w:pPr>
              <w:spacing w:after="0"/>
              <w:rPr>
                <w:sz w:val="24"/>
                <w:szCs w:val="24"/>
                <w:color w:val="auto"/>
              </w:rPr>
            </w:pPr>
          </w:p>
        </w:tc>
      </w:tr>
      <w:tr>
        <w:trPr>
          <w:trHeight w:val="234"/>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3060" w:type="dxa"/>
            <w:vAlign w:val="bottom"/>
            <w:tcBorders>
              <w:bottom w:val="single" w:sz="8" w:color="auto"/>
            </w:tcBorders>
          </w:tcPr>
          <w:p>
            <w:pPr>
              <w:spacing w:after="0"/>
              <w:rPr>
                <w:sz w:val="20"/>
                <w:szCs w:val="20"/>
                <w:color w:val="auto"/>
              </w:rPr>
            </w:pPr>
          </w:p>
        </w:tc>
      </w:tr>
      <w:tr>
        <w:trPr>
          <w:trHeight w:val="224"/>
        </w:trPr>
        <w:tc>
          <w:tcPr>
            <w:tcW w:w="3200" w:type="dxa"/>
            <w:vAlign w:val="bottom"/>
          </w:tcPr>
          <w:p>
            <w:pPr>
              <w:spacing w:after="0"/>
              <w:rPr>
                <w:sz w:val="19"/>
                <w:szCs w:val="19"/>
                <w:color w:val="auto"/>
              </w:rPr>
            </w:pP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 (Zip Code)</w:t>
            </w:r>
          </w:p>
        </w:tc>
        <w:tc>
          <w:tcPr>
            <w:tcW w:w="3060" w:type="dxa"/>
            <w:vAlign w:val="bottom"/>
          </w:tcPr>
          <w:p>
            <w:pPr>
              <w:spacing w:after="0"/>
              <w:rPr>
                <w:sz w:val="19"/>
                <w:szCs w:val="19"/>
                <w:color w:val="auto"/>
              </w:rPr>
            </w:pPr>
          </w:p>
        </w:tc>
      </w:tr>
      <w:tr>
        <w:trPr>
          <w:trHeight w:val="404"/>
        </w:trPr>
        <w:tc>
          <w:tcPr>
            <w:tcW w:w="32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(650) 266-6000</w:t>
            </w:r>
          </w:p>
        </w:tc>
        <w:tc>
          <w:tcPr>
            <w:tcW w:w="3060" w:type="dxa"/>
            <w:vAlign w:val="bottom"/>
            <w:tcBorders>
              <w:bottom w:val="single" w:sz="8" w:color="auto"/>
            </w:tcBorders>
          </w:tcPr>
          <w:p>
            <w:pPr>
              <w:spacing w:after="0"/>
              <w:rPr>
                <w:sz w:val="24"/>
                <w:szCs w:val="24"/>
                <w:color w:val="auto"/>
              </w:rPr>
            </w:pPr>
          </w:p>
        </w:tc>
      </w:tr>
      <w:tr>
        <w:trPr>
          <w:trHeight w:val="224"/>
        </w:trPr>
        <w:tc>
          <w:tcPr>
            <w:tcW w:w="3200" w:type="dxa"/>
            <w:vAlign w:val="bottom"/>
          </w:tcPr>
          <w:p>
            <w:pPr>
              <w:spacing w:after="0"/>
              <w:rPr>
                <w:sz w:val="19"/>
                <w:szCs w:val="19"/>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3060" w:type="dxa"/>
            <w:vAlign w:val="bottom"/>
          </w:tcPr>
          <w:p>
            <w:pPr>
              <w:spacing w:after="0"/>
              <w:rPr>
                <w:sz w:val="19"/>
                <w:szCs w:val="19"/>
                <w:color w:val="auto"/>
              </w:rPr>
            </w:pPr>
          </w:p>
        </w:tc>
      </w:tr>
    </w:tbl>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9" w:lineRule="exact"/>
        <w:rPr>
          <w:sz w:val="24"/>
          <w:szCs w:val="24"/>
          <w:color w:val="auto"/>
        </w:rPr>
      </w:pPr>
    </w:p>
    <w:p>
      <w:pPr>
        <w:ind w:left="240"/>
        <w:spacing w:after="0"/>
        <w:tabs>
          <w:tab w:leader="none" w:pos="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Pre-commencement communications pursuant to Rule 14d-2(b) under the Exchange Act  (17 CFR 240.14d-2(b))</w:t>
      </w:r>
    </w:p>
    <w:p>
      <w:pPr>
        <w:spacing w:after="0" w:line="244" w:lineRule="exact"/>
        <w:rPr>
          <w:sz w:val="24"/>
          <w:szCs w:val="24"/>
          <w:color w:val="auto"/>
        </w:rPr>
      </w:pPr>
    </w:p>
    <w:p>
      <w:pPr>
        <w:ind w:right="2480" w:firstLine="237"/>
        <w:spacing w:after="0" w:line="498" w:lineRule="auto"/>
        <w:tabs>
          <w:tab w:leader="none" w:pos="67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LAB</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ind w:right="20" w:firstLine="492"/>
        <w:spacing w:after="0" w:line="308" w:lineRule="auto"/>
        <w:rPr>
          <w:sz w:val="20"/>
          <w:szCs w:val="20"/>
          <w:color w:val="auto"/>
        </w:rPr>
      </w:pPr>
      <w:r>
        <w:rPr>
          <w:rFonts w:ascii="Arial" w:cs="Arial" w:eastAsia="Arial" w:hAnsi="Arial"/>
          <w:sz w:val="17"/>
          <w:szCs w:val="17"/>
          <w:color w:val="auto"/>
        </w:rPr>
        <w:t>On February 14, 2023, Standard BioTools Inc. issued a press release which included information with respect to certain financial results for the three months and fiscal year ended December 31, 2022. The press release is attached hereto as Exhibit 99.1 and incorporated herein by reference.</w:t>
      </w:r>
    </w:p>
    <w:p>
      <w:pPr>
        <w:spacing w:after="0" w:line="119" w:lineRule="exact"/>
        <w:rPr>
          <w:sz w:val="20"/>
          <w:szCs w:val="20"/>
          <w:color w:val="auto"/>
        </w:rPr>
      </w:pPr>
    </w:p>
    <w:p>
      <w:pPr>
        <w:ind w:right="340" w:firstLine="492"/>
        <w:spacing w:after="0" w:line="259" w:lineRule="auto"/>
        <w:rPr>
          <w:sz w:val="20"/>
          <w:szCs w:val="20"/>
          <w:color w:val="auto"/>
        </w:rPr>
      </w:pPr>
      <w:r>
        <w:rPr>
          <w:rFonts w:ascii="Arial" w:cs="Arial" w:eastAsia="Arial" w:hAnsi="Arial"/>
          <w:sz w:val="18"/>
          <w:szCs w:val="18"/>
          <w:color w:val="auto"/>
        </w:rPr>
        <w:t>The information in this Item 2.02,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3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05"/>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5320" w:type="dxa"/>
            <w:vAlign w:val="bottom"/>
            <w:tcBorders>
              <w:top w:val="single" w:sz="8" w:color="auto"/>
              <w:bottom w:val="single" w:sz="8" w:color="0000EE"/>
            </w:tcBorders>
          </w:tcPr>
          <w:p>
            <w:pPr>
              <w:ind w:left="20"/>
              <w:spacing w:after="0" w:line="169" w:lineRule="exact"/>
              <w:rPr>
                <w:sz w:val="20"/>
                <w:szCs w:val="20"/>
                <w:color w:val="auto"/>
              </w:rPr>
            </w:pPr>
            <w:r>
              <w:rPr>
                <w:rFonts w:ascii="Arial" w:cs="Arial" w:eastAsia="Arial" w:hAnsi="Arial"/>
                <w:sz w:val="18"/>
                <w:szCs w:val="18"/>
                <w:color w:val="0000EE"/>
                <w:w w:val="88"/>
              </w:rPr>
              <w:t>Press Release issued by Standard BioTools Inc., dated February 14, 2023.</w:t>
            </w:r>
          </w:p>
        </w:tc>
        <w:tc>
          <w:tcPr>
            <w:tcW w:w="4680" w:type="dxa"/>
            <w:vAlign w:val="bottom"/>
            <w:tcBorders>
              <w:top w:val="single" w:sz="8" w:color="auto"/>
            </w:tcBorders>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3"/>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Standard BioTools Inc.</w:t>
      </w:r>
    </w:p>
    <w:p>
      <w:pPr>
        <w:spacing w:after="0" w:line="216"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February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6" w:right="65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Standard BioTools Reports Fourth Quarter and Full Year 2022 Financial Results and Provides 2023 Business Outlook</w:t>
      </w:r>
    </w:p>
    <w:p>
      <w:pPr>
        <w:spacing w:after="0" w:line="17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Fourth quarter 2022 GAAP revenues of $27.0 million; Core product and service revenues of $26.8 million, representing 8.3% sequential growth; Full year GAAP revenues of $97.9 million and core product and service revenues of $94.5 million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Improved operating discipline and restructuring initiatives contributed to a 16% sequential decrease in operating expenses in the fourth quarter; Product and services margin improved sequentially by 620 basis points on a GAAP basis, 520 basis points on a non-GAAP basis</w:t>
      </w:r>
    </w:p>
    <w:p>
      <w:pPr>
        <w:spacing w:after="0" w:line="1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Releasing 2023 guidance of flat to moderate growth in core product and service revenues, inclusive of previously disclosed transitory Genomics headwind; Expect 1,100–1,400 basis point GAAP gross margin expansion in the fourth quarter compared to fourth quarter of 2022 and approximately 20% reduction in operating expenses on a GAAP and non-GAAP basis in 2023</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Cash, cash equivalents and short-term investments of $165.8 million at year end 2022 expected to provide sufficient runway to generate positive free cash flow by the end of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to host conference call and webcast today at 5:00 p.m. ET</w:t>
      </w:r>
    </w:p>
    <w:p>
      <w:pPr>
        <w:spacing w:after="0" w:line="22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 xml:space="preserve">SOUTH SAN FRANCISCO, Calif., February 14, 2023 — Standard BioTools Inc. (Nasdaq:LAB), driven by a bold purpose – </w:t>
      </w:r>
      <w:r>
        <w:rPr>
          <w:rFonts w:ascii="Arial" w:cs="Arial" w:eastAsia="Arial" w:hAnsi="Arial"/>
          <w:sz w:val="16"/>
          <w:szCs w:val="16"/>
          <w:i w:val="1"/>
          <w:iCs w:val="1"/>
          <w:color w:val="auto"/>
        </w:rPr>
        <w:t>Unleashing tools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accelerate breakthroughs in human health </w:t>
      </w:r>
      <w:r>
        <w:rPr>
          <w:rFonts w:ascii="Arial" w:cs="Arial" w:eastAsia="Arial" w:hAnsi="Arial"/>
          <w:sz w:val="16"/>
          <w:szCs w:val="16"/>
          <w:color w:val="auto"/>
        </w:rPr>
        <w:t>– today reported financial results for the fourth quarter and year ended December 31, 2022.</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“I’m pleased with the results coming out of what has been a transformative year for Standard BioTools. We have now positioned the business for consistent growth, improved gross margins and reduced operating expenses in 2023,” said Michael Egholm, PhD, President and Chief Executive Officer of Standard BioTools™. “We posted our second quarter of sequential revenue growth while completing a phased restructuring, which is expected to reduce ongoing operating expenses by over $30 million. Although there is more work to do, we are now squarely focused on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5" w:lineRule="exact"/>
        <w:rPr>
          <w:sz w:val="20"/>
          <w:szCs w:val="20"/>
          <w:color w:val="auto"/>
        </w:rPr>
      </w:pPr>
    </w:p>
    <w:p>
      <w:pPr>
        <w:ind w:left="340" w:right="440"/>
        <w:spacing w:after="0" w:line="261" w:lineRule="auto"/>
        <w:rPr>
          <w:sz w:val="20"/>
          <w:szCs w:val="20"/>
          <w:color w:val="auto"/>
        </w:rPr>
      </w:pPr>
      <w:r>
        <w:rPr>
          <w:rFonts w:ascii="Arial" w:cs="Arial" w:eastAsia="Arial" w:hAnsi="Arial"/>
          <w:sz w:val="18"/>
          <w:szCs w:val="18"/>
          <w:b w:val="1"/>
          <w:bCs w:val="1"/>
          <w:color w:val="auto"/>
        </w:rPr>
        <w:t xml:space="preserve">Phased restructuring: </w:t>
      </w:r>
      <w:r>
        <w:rPr>
          <w:rFonts w:ascii="Arial" w:cs="Arial" w:eastAsia="Arial" w:hAnsi="Arial"/>
          <w:sz w:val="18"/>
          <w:szCs w:val="18"/>
          <w:color w:val="auto"/>
        </w:rPr>
        <w:t>As previously disclosed, in the fourth quarter, the company implemented the next phase of its restructuring plan,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result in a total of more than $35 million in GAAP operating expense reductions for 2023 and improve operating margins by approximately 3,600 basis points. The company anticipates non-GAAP operating expense reductions of approximately $30 million for 2023 and approximately 3,100 basis point improvement in operating margin.</w:t>
      </w:r>
    </w:p>
    <w:p>
      <w:pPr>
        <w:spacing w:after="0" w:line="180" w:lineRule="exact"/>
        <w:rPr>
          <w:sz w:val="20"/>
          <w:szCs w:val="20"/>
          <w:color w:val="auto"/>
        </w:rPr>
      </w:pPr>
    </w:p>
    <w:p>
      <w:pPr>
        <w:ind w:left="340" w:right="160"/>
        <w:spacing w:after="0" w:line="281" w:lineRule="auto"/>
        <w:rPr>
          <w:sz w:val="20"/>
          <w:szCs w:val="20"/>
          <w:color w:val="auto"/>
        </w:rPr>
      </w:pPr>
      <w:r>
        <w:rPr>
          <w:rFonts w:ascii="Arial" w:cs="Arial" w:eastAsia="Arial" w:hAnsi="Arial"/>
          <w:sz w:val="17"/>
          <w:szCs w:val="17"/>
          <w:b w:val="1"/>
          <w:bCs w:val="1"/>
          <w:color w:val="auto"/>
        </w:rPr>
        <w:t xml:space="preserve">Proteomics (Mass Cytometry): </w:t>
      </w:r>
      <w:r>
        <w:rPr>
          <w:rFonts w:ascii="Arial" w:cs="Arial" w:eastAsia="Arial" w:hAnsi="Arial"/>
          <w:sz w:val="17"/>
          <w:szCs w:val="17"/>
          <w:color w:val="auto"/>
        </w:rPr>
        <w:t>With Proteomics being the driver of future growth, the company has reinvigorated its innovation engine and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launching its next-generation Imaging Mass Cytometry™ system, the Hyperion XTi™ Imaging System, in April at the American Association for Cancer Research (AACR) conference. This system provides a market-leading five-fold increase in the number of slides that can be processed per day over the legacy Hyperion™ Imaging System. Two early access units were shipped in December.</w:t>
      </w:r>
    </w:p>
    <w:p>
      <w:pPr>
        <w:spacing w:after="0" w:line="165" w:lineRule="exact"/>
        <w:rPr>
          <w:sz w:val="20"/>
          <w:szCs w:val="20"/>
          <w:color w:val="auto"/>
        </w:rPr>
      </w:pPr>
    </w:p>
    <w:p>
      <w:pPr>
        <w:ind w:left="340" w:right="160"/>
        <w:spacing w:after="0" w:line="266" w:lineRule="auto"/>
        <w:rPr>
          <w:sz w:val="20"/>
          <w:szCs w:val="20"/>
          <w:color w:val="auto"/>
        </w:rPr>
      </w:pPr>
      <w:r>
        <w:rPr>
          <w:rFonts w:ascii="Arial" w:cs="Arial" w:eastAsia="Arial" w:hAnsi="Arial"/>
          <w:sz w:val="18"/>
          <w:szCs w:val="18"/>
          <w:b w:val="1"/>
          <w:bCs w:val="1"/>
          <w:color w:val="auto"/>
        </w:rPr>
        <w:t xml:space="preserve">Genomics (Microfluidics): </w:t>
      </w:r>
      <w:r>
        <w:rPr>
          <w:rFonts w:ascii="Arial" w:cs="Arial" w:eastAsia="Arial" w:hAnsi="Arial"/>
          <w:sz w:val="18"/>
          <w:szCs w:val="18"/>
          <w:color w:val="auto"/>
        </w:rPr>
        <w:t>During the last six months of 2022 the company right-sized the Genomics business, simplifying the product line to one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the X9™ Real-Time PCR System, which launched in October. Furthermore, the company moved to a more capital-efficient go-to-market strategy that emphasizes additional OEM partnerships and large account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Fourth Quarter 2022 Financial Results</w:t>
      </w:r>
    </w:p>
    <w:p>
      <w:pPr>
        <w:spacing w:after="0" w:line="229"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Fourth quarter 2022 GAAP revenues were $27.0 million. Core product and service revenues (Genomics and Proteomics, excluding discontinued and COVID-19 related products) were $26.8 million, representing approximately 8.3% sequential quarterly growth.</w:t>
      </w:r>
    </w:p>
    <w:p>
      <w:pPr>
        <w:spacing w:after="0" w:line="170"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GAAP product and services margins increased 620 basis points sequentially to 40.9%. Non-GAAP product and services margin, which primarily excludes non-cash amortization, increased 520 points sequentially to 52.9%.</w:t>
      </w:r>
    </w:p>
    <w:p>
      <w:pPr>
        <w:spacing w:after="0" w:line="170" w:lineRule="exact"/>
        <w:rPr>
          <w:sz w:val="20"/>
          <w:szCs w:val="20"/>
          <w:color w:val="auto"/>
        </w:rPr>
      </w:pPr>
    </w:p>
    <w:p>
      <w:pPr>
        <w:ind w:left="340" w:right="200"/>
        <w:spacing w:after="0" w:line="308" w:lineRule="auto"/>
        <w:rPr>
          <w:sz w:val="20"/>
          <w:szCs w:val="20"/>
          <w:color w:val="auto"/>
        </w:rPr>
      </w:pPr>
      <w:r>
        <w:rPr>
          <w:rFonts w:ascii="Arial" w:cs="Arial" w:eastAsia="Arial" w:hAnsi="Arial"/>
          <w:sz w:val="17"/>
          <w:szCs w:val="17"/>
          <w:color w:val="auto"/>
        </w:rPr>
        <w:t>GAAP operating expenses were $32.3 million for the fourth quarter, a 16% decrease from the third quarter of 2022. Non-GAAP operating expenses, which primarily exclude non-cash stock-based compensation, were $30.1 million, a 9% decline from the third quarter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Results</w:t>
      </w:r>
    </w:p>
    <w:p>
      <w:pPr>
        <w:spacing w:after="0" w:line="229"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GAAP revenues were $97.9 million compared to $130.6 million in 2021. Core product and service revenues (Genomics and Proteomics excluding COVID and discontinued operations) were $94.5 million compared to $111.6 million in the prior year.</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GAAP product and service margins were 36.7% compared to 51.5% in 2021. Non-GAAP product and service margins were 50.2% compared to 62.2% in 2021.</w:t>
      </w:r>
    </w:p>
    <w:p>
      <w:pPr>
        <w:spacing w:after="0" w:line="170"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GAAP operating expenses were $153.3 million compared to $136.8 million in 2021. Non-GAAP operating expenses, which exclude stock-based compensation, depreciation and amortization and impairment charges, were $132.6 million in 2022 compared to $118.6 million in 2021. Restructuring, business improvement and deal-related activities added operating expenses in 2022. However, those restructuring and business improvement activities are expected to result in a significant non-GAAP operating expense reduction totaling over $30 million on an ongoing annual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for 2023</w:t>
      </w:r>
    </w:p>
    <w:p>
      <w:pPr>
        <w:spacing w:after="0" w:line="121"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For 2023, Standard BioTools expects flat-to-moderate growth in core product and service revenues relative to 2022 core product and service revenues of $94.5 million. This business outlook accounts for a previously disclosed $5 million headwind in the Genomics business due to the temporary launch inventory build by a major customer throughout 2022 and the subsequent run-rate normalization expected in 2023. The company expects revenues to follow typical seasonality patterns experienced in the life science tools industry with a sequentially lower first quarter and a seasonally high fourth quarter.</w:t>
      </w:r>
    </w:p>
    <w:p>
      <w:pPr>
        <w:spacing w:after="0" w:line="80" w:lineRule="exact"/>
        <w:rPr>
          <w:sz w:val="20"/>
          <w:szCs w:val="20"/>
          <w:color w:val="auto"/>
        </w:rPr>
      </w:pPr>
    </w:p>
    <w:p>
      <w:pPr>
        <w:jc w:val="both"/>
        <w:ind w:left="340" w:right="40"/>
        <w:spacing w:after="0" w:line="263" w:lineRule="auto"/>
        <w:rPr>
          <w:sz w:val="20"/>
          <w:szCs w:val="20"/>
          <w:color w:val="auto"/>
        </w:rPr>
      </w:pPr>
      <w:r>
        <w:rPr>
          <w:rFonts w:ascii="Arial" w:cs="Arial" w:eastAsia="Arial" w:hAnsi="Arial"/>
          <w:sz w:val="18"/>
          <w:szCs w:val="18"/>
          <w:color w:val="auto"/>
        </w:rPr>
        <w:t>GAAP product and services margins are currently expected to increase to 52%–55% by the fourth quarter of 2023, representing an 1,100–1,400 basis point increase over the fourth quarter of 2022. Non-GAAP product and services margins are expected to increase to 65%–68% by the fourth quarter of 2023, representing a 1,200–1,500 basis point increase over the fourth quarter of 2022.</w:t>
      </w:r>
    </w:p>
    <w:p>
      <w:pPr>
        <w:spacing w:after="0" w:line="76"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Management expects GAAP operating expenses of approximately $118 million to $123 million with non-GAAP operating expenses (which primarily exclude approximately $13 million of non-cash stock-based compensation expense) of approximately $102 million to $107 million for 2023, representing approximately 20% improvement in operating expenses on both GAAP and non-GAAP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Information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0A0A0A"/>
        </w:rPr>
        <w:t>The company’s management will host a conference call and webcast today at 2:00 p.m. PT, 5:00 p.m. ET, to discuss fourth quarter and full year 2022 financial results and operational progress as well as to provide additional color on its strategic actions.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A0A0A"/>
        </w:rPr>
        <w:t>Individuals interested in listening to the conference call may do so by dialing:</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0A0A0A"/>
        </w:rPr>
        <w:t>US domestic callers: (888) 346-3970</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0A0A0A"/>
        </w:rPr>
        <w:t>Outside US callers: (412) 902-4297</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0A0A0A"/>
        </w:rPr>
        <w:t>Live audio of the webcast will be available online from the Investor Relations page of the company’s website at </w:t>
      </w:r>
      <w:r>
        <w:rPr>
          <w:rFonts w:ascii="Arial" w:cs="Arial" w:eastAsia="Arial" w:hAnsi="Arial"/>
          <w:sz w:val="18"/>
          <w:szCs w:val="18"/>
          <w:u w:val="single" w:color="auto"/>
          <w:color w:val="530080"/>
        </w:rPr>
        <w:t>Events &amp; Presentations</w:t>
      </w:r>
      <w:r>
        <w:rPr>
          <w:rFonts w:ascii="Arial" w:cs="Arial" w:eastAsia="Arial" w:hAnsi="Arial"/>
          <w:sz w:val="18"/>
          <w:szCs w:val="18"/>
          <w:color w:val="0A0A0A"/>
        </w:rPr>
        <w:t>. The webcast will be archived and available on the Standard BioTools Investor Relations page at </w:t>
      </w:r>
      <w:r>
        <w:rPr>
          <w:rFonts w:ascii="Arial" w:cs="Arial" w:eastAsia="Arial" w:hAnsi="Arial"/>
          <w:sz w:val="18"/>
          <w:szCs w:val="18"/>
          <w:u w:val="single" w:color="auto"/>
          <w:color w:val="59B103"/>
        </w:rPr>
        <w:t>investors.standardbio.com</w:t>
      </w:r>
      <w:r>
        <w:rPr>
          <w:rFonts w:ascii="Arial" w:cs="Arial" w:eastAsia="Arial" w:hAnsi="Arial"/>
          <w:sz w:val="18"/>
          <w:szCs w:val="18"/>
          <w:color w:val="0A0A0A"/>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investor presentation including Supplemental Financial Information has been posted on our website concurrent with this </w:t>
      </w:r>
      <w:r>
        <w:rPr>
          <w:rFonts w:ascii="Arial" w:cs="Arial" w:eastAsia="Arial" w:hAnsi="Arial"/>
          <w:sz w:val="18"/>
          <w:szCs w:val="18"/>
          <w:u w:val="single" w:color="auto"/>
          <w:color w:val="0563C1"/>
        </w:rPr>
        <w:t>release</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Standard BioTools has presented certain financial information in accordance with U.S. GAAP and also on a non-GAAP basis, including for the three- and twelve-month periods ended December 31, 2022.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others, guidance related to revenues, gross margin, operating expenses and free cash flow, statements regarding future financial performance and expectations, operational and strategic plans, deployment of capital, our cash runway and sufficiency of cash resources, potential M&amp;A activity, and expectations with respect to our restructuring plans (including expense reduction activities). Forward-looking statements are subject to numerous risks and uncertainties that could cause actual results to differ materially from currently anticipated results, including but not limited to risks that we may not realize expected cost savings from the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risks related to the adverse effects of the COVID-19 pandemic on our business and operating results; changes in Standard BioTools’ business or external market conditions; customers and prospective customers continuing to curtail or suspend activities utilizing our products due to the COVID-19 pandemic;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uncertainties relating to Standard BioTools’ research and development activities, distribution plans and capabilities; potential product performance and quality</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6" w:name="page7"/>
    <w:bookmarkEnd w:id="6"/>
    <w:p>
      <w:pPr>
        <w:spacing w:after="0" w:line="279" w:lineRule="auto"/>
        <w:rPr>
          <w:sz w:val="20"/>
          <w:szCs w:val="20"/>
          <w:color w:val="auto"/>
        </w:rPr>
      </w:pPr>
      <w:r>
        <w:rPr>
          <w:rFonts w:ascii="Arial" w:cs="Arial" w:eastAsia="Arial" w:hAnsi="Arial"/>
          <w:sz w:val="17"/>
          <w:szCs w:val="17"/>
          <w:color w:val="auto"/>
        </w:rPr>
        <w:t>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Standard BioTools Inc.</w:t>
      </w:r>
    </w:p>
    <w:p>
      <w:pPr>
        <w:spacing w:after="0" w:line="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A0A0A"/>
        </w:rPr>
        <w:t xml:space="preserve">Standard BioTools Inc. (Nasdaq:LAB), previously known as Fluidigm Corporation, is driven by a bold purpose – </w:t>
      </w:r>
      <w:r>
        <w:rPr>
          <w:rFonts w:ascii="Arial" w:cs="Arial" w:eastAsia="Arial" w:hAnsi="Arial"/>
          <w:sz w:val="16"/>
          <w:szCs w:val="16"/>
          <w:i w:val="1"/>
          <w:iCs w:val="1"/>
          <w:color w:val="0A0A0A"/>
        </w:rPr>
        <w:t>Unleashing tools to accelerate</w:t>
      </w:r>
      <w:r>
        <w:rPr>
          <w:rFonts w:ascii="Arial" w:cs="Arial" w:eastAsia="Arial" w:hAnsi="Arial"/>
          <w:sz w:val="16"/>
          <w:szCs w:val="16"/>
          <w:color w:val="0A0A0A"/>
        </w:rPr>
        <w:t xml:space="preserve"> </w:t>
      </w:r>
      <w:r>
        <w:rPr>
          <w:rFonts w:ascii="Arial" w:cs="Arial" w:eastAsia="Arial" w:hAnsi="Arial"/>
          <w:sz w:val="16"/>
          <w:szCs w:val="16"/>
          <w:i w:val="1"/>
          <w:iCs w:val="1"/>
          <w:color w:val="0A0A0A"/>
        </w:rPr>
        <w:t>breakthroughs in human health</w:t>
      </w:r>
      <w:r>
        <w:rPr>
          <w:rFonts w:ascii="Arial" w:cs="Arial" w:eastAsia="Arial" w:hAnsi="Arial"/>
          <w:sz w:val="16"/>
          <w:szCs w:val="16"/>
          <w:color w:val="0A0A0A"/>
        </w:rPr>
        <w:t>. Standard BioTools has an established portfolio of essential, standardized next-generation technologies that help biomedical</w:t>
      </w:r>
      <w:r>
        <w:rPr>
          <w:rFonts w:ascii="Arial" w:cs="Arial" w:eastAsia="Arial" w:hAnsi="Arial"/>
          <w:sz w:val="16"/>
          <w:szCs w:val="16"/>
          <w:i w:val="1"/>
          <w:iCs w:val="1"/>
          <w:color w:val="0A0A0A"/>
        </w:rPr>
        <w:t xml:space="preserve"> </w:t>
      </w:r>
      <w:r>
        <w:rPr>
          <w:rFonts w:ascii="Arial" w:cs="Arial" w:eastAsia="Arial" w:hAnsi="Arial"/>
          <w:sz w:val="16"/>
          <w:szCs w:val="16"/>
          <w:color w:val="0A0A0A"/>
        </w:rPr>
        <w:t xml:space="preserve">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w:t>
      </w:r>
      <w:r>
        <w:rPr>
          <w:rFonts w:ascii="Arial" w:cs="Arial" w:eastAsia="Arial" w:hAnsi="Arial"/>
          <w:sz w:val="16"/>
          <w:szCs w:val="16"/>
          <w:u w:val="single" w:color="auto"/>
          <w:color w:val="0563C1"/>
        </w:rPr>
        <w:t>Twitter®</w:t>
      </w:r>
      <w:r>
        <w:rPr>
          <w:rFonts w:ascii="Arial" w:cs="Arial" w:eastAsia="Arial" w:hAnsi="Arial"/>
          <w:sz w:val="16"/>
          <w:szCs w:val="16"/>
          <w:color w:val="0A0A0A"/>
        </w:rPr>
        <w:t xml:space="preserve">, </w:t>
      </w:r>
      <w:r>
        <w:rPr>
          <w:rFonts w:ascii="Arial" w:cs="Arial" w:eastAsia="Arial" w:hAnsi="Arial"/>
          <w:sz w:val="16"/>
          <w:szCs w:val="16"/>
          <w:u w:val="single" w:color="auto"/>
          <w:color w:val="0563C1"/>
        </w:rPr>
        <w:t>Facebook®</w:t>
      </w:r>
      <w:r>
        <w:rPr>
          <w:rFonts w:ascii="Arial" w:cs="Arial" w:eastAsia="Arial" w:hAnsi="Arial"/>
          <w:sz w:val="16"/>
          <w:szCs w:val="16"/>
          <w:color w:val="0A0A0A"/>
        </w:rPr>
        <w:t xml:space="preserve">, </w:t>
      </w:r>
      <w:r>
        <w:rPr>
          <w:rFonts w:ascii="Arial" w:cs="Arial" w:eastAsia="Arial" w:hAnsi="Arial"/>
          <w:sz w:val="16"/>
          <w:szCs w:val="16"/>
          <w:u w:val="single" w:color="auto"/>
          <w:color w:val="0563C1"/>
        </w:rPr>
        <w:t>LinkedIn</w:t>
      </w:r>
      <w:r>
        <w:rPr>
          <w:rFonts w:ascii="Arial" w:cs="Arial" w:eastAsia="Arial" w:hAnsi="Arial"/>
          <w:sz w:val="16"/>
          <w:szCs w:val="16"/>
          <w:color w:val="0A0A0A"/>
        </w:rPr>
        <w:t xml:space="preserve">, and </w:t>
      </w:r>
      <w:r>
        <w:rPr>
          <w:rFonts w:ascii="Arial" w:cs="Arial" w:eastAsia="Arial" w:hAnsi="Arial"/>
          <w:sz w:val="16"/>
          <w:szCs w:val="16"/>
          <w:u w:val="single" w:color="auto"/>
          <w:color w:val="0563C1"/>
        </w:rPr>
        <w:t>YouTube™</w:t>
      </w:r>
      <w:r>
        <w:rPr>
          <w:rFonts w:ascii="Arial" w:cs="Arial" w:eastAsia="Arial" w:hAnsi="Arial"/>
          <w:sz w:val="16"/>
          <w:szCs w:val="16"/>
          <w:color w:val="0A0A0A"/>
        </w:rPr>
        <w:t xml:space="preserve">. Standard BioTools, the Standard BioTools logo, Fluidigm, the Fluidigm logo, “Unleashing tools to accelerate breakthroughs in human health,” Hyperion, Hyperion XTi, Imaging Mass Cytometry, XTi, and X9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16"/>
          <w:szCs w:val="16"/>
          <w:b w:val="1"/>
          <w:bCs w:val="1"/>
          <w:color w:val="0A0A0A"/>
        </w:rPr>
        <w:t>Research Use Only</w:t>
      </w:r>
      <w:r>
        <w:rPr>
          <w:rFonts w:ascii="Arial" w:cs="Arial" w:eastAsia="Arial" w:hAnsi="Arial"/>
          <w:sz w:val="16"/>
          <w:szCs w:val="16"/>
          <w:color w:val="0A0A0A"/>
        </w:rPr>
        <w:t>. Not for use in diagnostic procedures.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Available Information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0A0A0A"/>
        </w:rPr>
        <w:t>Standard BioTools uses its website (</w:t>
      </w:r>
      <w:r>
        <w:rPr>
          <w:rFonts w:ascii="Arial" w:cs="Arial" w:eastAsia="Arial" w:hAnsi="Arial"/>
          <w:sz w:val="18"/>
          <w:szCs w:val="18"/>
          <w:u w:val="single" w:color="auto"/>
          <w:color w:val="0563C1"/>
        </w:rPr>
        <w:t>standardbio.com</w:t>
      </w:r>
      <w:r>
        <w:rPr>
          <w:rFonts w:ascii="Arial" w:cs="Arial" w:eastAsia="Arial" w:hAnsi="Arial"/>
          <w:sz w:val="18"/>
          <w:szCs w:val="18"/>
          <w:color w:val="0A0A0A"/>
        </w:rPr>
        <w:t>), investor site (</w:t>
      </w:r>
      <w:r>
        <w:rPr>
          <w:rFonts w:ascii="Arial" w:cs="Arial" w:eastAsia="Arial" w:hAnsi="Arial"/>
          <w:sz w:val="18"/>
          <w:szCs w:val="18"/>
          <w:u w:val="single" w:color="auto"/>
          <w:color w:val="0563C1"/>
        </w:rPr>
        <w:t>investors.standardbio.com</w:t>
      </w:r>
      <w:r>
        <w:rPr>
          <w:rFonts w:ascii="Arial" w:cs="Arial" w:eastAsia="Arial" w:hAnsi="Arial"/>
          <w:sz w:val="18"/>
          <w:szCs w:val="18"/>
          <w:color w:val="0A0A0A"/>
        </w:rPr>
        <w:t>), corporate Twitter account (</w:t>
      </w:r>
      <w:r>
        <w:rPr>
          <w:rFonts w:ascii="Arial" w:cs="Arial" w:eastAsia="Arial" w:hAnsi="Arial"/>
          <w:sz w:val="18"/>
          <w:szCs w:val="18"/>
          <w:u w:val="single" w:color="auto"/>
          <w:color w:val="0563C1"/>
        </w:rPr>
        <w:t>@Standard_BioT</w:t>
      </w:r>
      <w:r>
        <w:rPr>
          <w:rFonts w:ascii="Arial" w:cs="Arial" w:eastAsia="Arial" w:hAnsi="Arial"/>
          <w:sz w:val="18"/>
          <w:szCs w:val="18"/>
          <w:color w:val="0A0A0A"/>
        </w:rPr>
        <w:t>), Facebook page (</w:t>
      </w:r>
      <w:r>
        <w:rPr>
          <w:rFonts w:ascii="Arial" w:cs="Arial" w:eastAsia="Arial" w:hAnsi="Arial"/>
          <w:sz w:val="18"/>
          <w:szCs w:val="18"/>
          <w:u w:val="single" w:color="auto"/>
          <w:color w:val="0563C1"/>
        </w:rPr>
        <w:t>facebook.com/StandardBioT</w:t>
      </w:r>
      <w:r>
        <w:rPr>
          <w:rFonts w:ascii="Arial" w:cs="Arial" w:eastAsia="Arial" w:hAnsi="Arial"/>
          <w:sz w:val="18"/>
          <w:szCs w:val="18"/>
          <w:color w:val="0563C1"/>
        </w:rPr>
        <w:t>),</w:t>
      </w:r>
      <w:r>
        <w:rPr>
          <w:rFonts w:ascii="Arial" w:cs="Arial" w:eastAsia="Arial" w:hAnsi="Arial"/>
          <w:sz w:val="18"/>
          <w:szCs w:val="18"/>
          <w:color w:val="0A0A0A"/>
        </w:rPr>
        <w:t xml:space="preserve"> and LinkedIn page (</w:t>
      </w:r>
      <w:r>
        <w:rPr>
          <w:rFonts w:ascii="Arial" w:cs="Arial" w:eastAsia="Arial" w:hAnsi="Arial"/>
          <w:sz w:val="18"/>
          <w:szCs w:val="18"/>
          <w:u w:val="single" w:color="auto"/>
          <w:color w:val="0563C1"/>
        </w:rPr>
        <w:t>linkedin.com/company/standard-biotools</w:t>
      </w:r>
      <w:r>
        <w:rPr>
          <w:rFonts w:ascii="Arial" w:cs="Arial" w:eastAsia="Arial" w:hAnsi="Arial"/>
          <w:sz w:val="18"/>
          <w:szCs w:val="18"/>
          <w:color w:val="0A0A0A"/>
        </w:rPr>
        <w:t>)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Scott R. Greenstone,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ir@standardbio.com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ir@standardbio.com</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jc w:val="right"/>
              <w:ind w:right="41"/>
              <w:spacing w:after="0"/>
              <w:rPr>
                <w:sz w:val="20"/>
                <w:szCs w:val="20"/>
                <w:color w:val="auto"/>
              </w:rPr>
            </w:pPr>
            <w:r>
              <w:rPr>
                <w:rFonts w:ascii="Arial" w:cs="Arial" w:eastAsia="Arial" w:hAnsi="Arial"/>
                <w:sz w:val="18"/>
                <w:szCs w:val="18"/>
                <w:b w:val="1"/>
                <w:bCs w:val="1"/>
                <w:color w:val="auto"/>
                <w:w w:val="90"/>
              </w:rPr>
              <w:t>Twelve Months Ended December</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91"/>
              </w:rPr>
              <w:t>Three Months Ended December 31,</w:t>
            </w:r>
          </w:p>
        </w:tc>
        <w:tc>
          <w:tcPr>
            <w:tcW w:w="100" w:type="dxa"/>
            <w:vAlign w:val="bottom"/>
          </w:tcPr>
          <w:p>
            <w:pPr>
              <w:spacing w:after="0"/>
              <w:rPr>
                <w:sz w:val="20"/>
                <w:szCs w:val="20"/>
                <w:color w:val="auto"/>
              </w:rPr>
            </w:pPr>
          </w:p>
        </w:tc>
        <w:tc>
          <w:tcPr>
            <w:tcW w:w="16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6F4F9"/>
          </w:tcPr>
          <w:p>
            <w:pPr>
              <w:ind w:left="180"/>
              <w:spacing w:after="0"/>
              <w:rPr>
                <w:sz w:val="20"/>
                <w:szCs w:val="20"/>
                <w:color w:val="auto"/>
              </w:rPr>
            </w:pPr>
            <w:r>
              <w:rPr>
                <w:rFonts w:ascii="Arial" w:cs="Arial" w:eastAsia="Arial" w:hAnsi="Arial"/>
                <w:sz w:val="18"/>
                <w:szCs w:val="18"/>
                <w:color w:val="auto"/>
              </w:rPr>
              <w:t>Product revenue</w:t>
            </w:r>
          </w:p>
        </w:tc>
        <w:tc>
          <w:tcPr>
            <w:tcW w:w="82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20,919</w:t>
            </w:r>
          </w:p>
        </w:tc>
        <w:tc>
          <w:tcPr>
            <w:tcW w:w="400" w:type="dxa"/>
            <w:vAlign w:val="bottom"/>
            <w:gridSpan w:val="2"/>
            <w:shd w:val="clear" w:color="auto" w:fill="C6F4F9"/>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31,084</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72,454</w:t>
            </w:r>
          </w:p>
        </w:tc>
        <w:tc>
          <w:tcPr>
            <w:tcW w:w="40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100,376</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23,712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209"/>
        </w:trPr>
        <w:tc>
          <w:tcPr>
            <w:tcW w:w="5000" w:type="dxa"/>
            <w:vAlign w:val="bottom"/>
            <w:tcBorders>
              <w:top w:val="single" w:sz="8" w:color="C6F4F9"/>
            </w:tcBorders>
            <w:shd w:val="clear" w:color="auto" w:fill="C6F4F9"/>
          </w:tcPr>
          <w:p>
            <w:pPr>
              <w:ind w:left="120"/>
              <w:spacing w:after="0"/>
              <w:rPr>
                <w:sz w:val="20"/>
                <w:szCs w:val="20"/>
                <w:color w:val="auto"/>
              </w:rPr>
            </w:pPr>
            <w:r>
              <w:rPr>
                <w:rFonts w:ascii="Arial" w:cs="Arial" w:eastAsia="Arial" w:hAnsi="Arial"/>
                <w:sz w:val="18"/>
                <w:szCs w:val="18"/>
                <w:color w:val="auto"/>
              </w:rPr>
              <w:t>Product and service revenue</w:t>
            </w:r>
          </w:p>
        </w:tc>
        <w:tc>
          <w:tcPr>
            <w:tcW w:w="52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6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26,824</w:t>
            </w:r>
          </w:p>
        </w:tc>
        <w:tc>
          <w:tcPr>
            <w:tcW w:w="1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C6F4F9"/>
            </w:tcBorders>
            <w:shd w:val="clear" w:color="auto" w:fill="C6F4F9"/>
          </w:tcPr>
          <w:p>
            <w:pPr>
              <w:spacing w:after="0"/>
              <w:rPr>
                <w:sz w:val="18"/>
                <w:szCs w:val="18"/>
                <w:color w:val="auto"/>
              </w:rPr>
            </w:pPr>
          </w:p>
        </w:tc>
        <w:tc>
          <w:tcPr>
            <w:tcW w:w="28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38,072</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auto"/>
            </w:tcBorders>
            <w:shd w:val="clear" w:color="auto" w:fill="C6F4F9"/>
          </w:tcPr>
          <w:p>
            <w:pPr>
              <w:spacing w:after="0"/>
              <w:rPr>
                <w:sz w:val="18"/>
                <w:szCs w:val="18"/>
                <w:color w:val="auto"/>
              </w:rPr>
            </w:pPr>
          </w:p>
        </w:tc>
        <w:tc>
          <w:tcPr>
            <w:tcW w:w="11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96,166</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126,293</w:t>
            </w:r>
          </w:p>
        </w:tc>
        <w:tc>
          <w:tcPr>
            <w:tcW w:w="100" w:type="dxa"/>
            <w:vAlign w:val="bottom"/>
            <w:tcBorders>
              <w:top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20"/>
              <w:spacing w:after="0"/>
              <w:rPr>
                <w:sz w:val="20"/>
                <w:szCs w:val="20"/>
                <w:color w:val="auto"/>
              </w:rPr>
            </w:pPr>
            <w:r>
              <w:rPr>
                <w:rFonts w:ascii="Arial" w:cs="Arial" w:eastAsia="Arial" w:hAnsi="Arial"/>
                <w:sz w:val="18"/>
                <w:szCs w:val="18"/>
                <w:color w:val="auto"/>
              </w:rPr>
              <w:t>Other revenue (1)</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09"/>
        </w:trPr>
        <w:tc>
          <w:tcPr>
            <w:tcW w:w="5000" w:type="dxa"/>
            <w:vAlign w:val="bottom"/>
            <w:tcBorders>
              <w:top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6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27,021</w:t>
            </w:r>
          </w:p>
        </w:tc>
        <w:tc>
          <w:tcPr>
            <w:tcW w:w="1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C6F4F9"/>
            </w:tcBorders>
            <w:shd w:val="clear" w:color="auto" w:fill="C6F4F9"/>
          </w:tcPr>
          <w:p>
            <w:pPr>
              <w:spacing w:after="0"/>
              <w:rPr>
                <w:sz w:val="18"/>
                <w:szCs w:val="18"/>
                <w:color w:val="auto"/>
              </w:rPr>
            </w:pPr>
          </w:p>
        </w:tc>
        <w:tc>
          <w:tcPr>
            <w:tcW w:w="28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38,265</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auto"/>
            </w:tcBorders>
            <w:shd w:val="clear" w:color="auto" w:fill="C6F4F9"/>
          </w:tcPr>
          <w:p>
            <w:pPr>
              <w:spacing w:after="0"/>
              <w:rPr>
                <w:sz w:val="18"/>
                <w:szCs w:val="18"/>
                <w:color w:val="auto"/>
              </w:rPr>
            </w:pPr>
          </w:p>
        </w:tc>
        <w:tc>
          <w:tcPr>
            <w:tcW w:w="11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97,948</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130,581</w:t>
            </w:r>
          </w:p>
        </w:tc>
        <w:tc>
          <w:tcPr>
            <w:tcW w:w="100" w:type="dxa"/>
            <w:vAlign w:val="bottom"/>
            <w:tcBorders>
              <w:top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6F4F9"/>
          </w:tcPr>
          <w:p>
            <w:pPr>
              <w:ind w:left="120"/>
              <w:spacing w:after="0"/>
              <w:rPr>
                <w:sz w:val="20"/>
                <w:szCs w:val="20"/>
                <w:color w:val="auto"/>
              </w:rPr>
            </w:pPr>
            <w:r>
              <w:rPr>
                <w:rFonts w:ascii="Arial" w:cs="Arial" w:eastAsia="Arial" w:hAnsi="Arial"/>
                <w:sz w:val="18"/>
                <w:szCs w:val="18"/>
                <w:color w:val="auto"/>
              </w:rPr>
              <w:t>Cost of product revenue</w:t>
            </w:r>
          </w:p>
        </w:tc>
        <w:tc>
          <w:tcPr>
            <w:tcW w:w="5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13,387</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15,595</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52,555</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30"/>
        </w:trPr>
        <w:tc>
          <w:tcPr>
            <w:tcW w:w="5000" w:type="dxa"/>
            <w:vAlign w:val="bottom"/>
          </w:tcPr>
          <w:p>
            <w:pPr>
              <w:ind w:left="120"/>
              <w:spacing w:after="0"/>
              <w:rPr>
                <w:sz w:val="20"/>
                <w:szCs w:val="20"/>
                <w:color w:val="auto"/>
              </w:rPr>
            </w:pPr>
            <w:r>
              <w:rPr>
                <w:rFonts w:ascii="Arial" w:cs="Arial" w:eastAsia="Arial" w:hAnsi="Arial"/>
                <w:sz w:val="18"/>
                <w:szCs w:val="18"/>
                <w:color w:val="auto"/>
              </w:rPr>
              <w:t>Cost of service revenue</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09"/>
        </w:trPr>
        <w:tc>
          <w:tcPr>
            <w:tcW w:w="5000" w:type="dxa"/>
            <w:vAlign w:val="bottom"/>
            <w:tcBorders>
              <w:top w:val="single" w:sz="8" w:color="C6F4F9"/>
            </w:tcBorders>
            <w:shd w:val="clear" w:color="auto" w:fill="C6F4F9"/>
          </w:tcPr>
          <w:p>
            <w:pPr>
              <w:ind w:left="120"/>
              <w:spacing w:after="0"/>
              <w:rPr>
                <w:sz w:val="20"/>
                <w:szCs w:val="20"/>
                <w:color w:val="auto"/>
              </w:rPr>
            </w:pPr>
            <w:r>
              <w:rPr>
                <w:rFonts w:ascii="Arial" w:cs="Arial" w:eastAsia="Arial" w:hAnsi="Arial"/>
                <w:sz w:val="18"/>
                <w:szCs w:val="18"/>
                <w:color w:val="auto"/>
              </w:rPr>
              <w:t>Cost of product and service revenue</w:t>
            </w:r>
          </w:p>
        </w:tc>
        <w:tc>
          <w:tcPr>
            <w:tcW w:w="52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6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15,854</w:t>
            </w:r>
          </w:p>
        </w:tc>
        <w:tc>
          <w:tcPr>
            <w:tcW w:w="1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C6F4F9"/>
            </w:tcBorders>
            <w:shd w:val="clear" w:color="auto" w:fill="C6F4F9"/>
          </w:tcPr>
          <w:p>
            <w:pPr>
              <w:spacing w:after="0"/>
              <w:rPr>
                <w:sz w:val="18"/>
                <w:szCs w:val="18"/>
                <w:color w:val="auto"/>
              </w:rPr>
            </w:pPr>
          </w:p>
        </w:tc>
        <w:tc>
          <w:tcPr>
            <w:tcW w:w="28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18,023</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auto"/>
            </w:tcBorders>
            <w:shd w:val="clear" w:color="auto" w:fill="C6F4F9"/>
          </w:tcPr>
          <w:p>
            <w:pPr>
              <w:spacing w:after="0"/>
              <w:rPr>
                <w:sz w:val="18"/>
                <w:szCs w:val="18"/>
                <w:color w:val="auto"/>
              </w:rPr>
            </w:pPr>
          </w:p>
        </w:tc>
        <w:tc>
          <w:tcPr>
            <w:tcW w:w="11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60,897</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61,208</w:t>
            </w:r>
          </w:p>
        </w:tc>
        <w:tc>
          <w:tcPr>
            <w:tcW w:w="100" w:type="dxa"/>
            <w:vAlign w:val="bottom"/>
            <w:tcBorders>
              <w:top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38,498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37,944</w:t>
            </w:r>
          </w:p>
        </w:tc>
        <w:tc>
          <w:tcPr>
            <w:tcW w:w="0" w:type="dxa"/>
            <w:vAlign w:val="bottom"/>
          </w:tcPr>
          <w:p>
            <w:pPr>
              <w:spacing w:after="0"/>
              <w:rPr>
                <w:sz w:val="1"/>
                <w:szCs w:val="1"/>
                <w:color w:val="auto"/>
              </w:rPr>
            </w:pPr>
          </w:p>
        </w:tc>
      </w:tr>
      <w:tr>
        <w:trPr>
          <w:trHeight w:val="230"/>
        </w:trPr>
        <w:tc>
          <w:tcPr>
            <w:tcW w:w="5000" w:type="dxa"/>
            <w:vAlign w:val="bottom"/>
            <w:shd w:val="clear" w:color="auto" w:fill="C6F4F9"/>
          </w:tcPr>
          <w:p>
            <w:pPr>
              <w:ind w:left="1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8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23,902</w:t>
            </w:r>
          </w:p>
        </w:tc>
        <w:tc>
          <w:tcPr>
            <w:tcW w:w="120" w:type="dxa"/>
            <w:vAlign w:val="bottom"/>
            <w:shd w:val="clear" w:color="auto" w:fill="C6F4F9"/>
          </w:tcPr>
          <w:p>
            <w:pPr>
              <w:spacing w:after="0"/>
              <w:rPr>
                <w:sz w:val="19"/>
                <w:szCs w:val="19"/>
                <w:color w:val="auto"/>
              </w:rPr>
            </w:pPr>
          </w:p>
        </w:tc>
        <w:tc>
          <w:tcPr>
            <w:tcW w:w="28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22,960</w:t>
            </w:r>
          </w:p>
        </w:tc>
        <w:tc>
          <w:tcPr>
            <w:tcW w:w="100" w:type="dxa"/>
            <w:vAlign w:val="bottom"/>
            <w:shd w:val="clear" w:color="auto" w:fill="C6F4F9"/>
          </w:tcPr>
          <w:p>
            <w:pPr>
              <w:spacing w:after="0"/>
              <w:rPr>
                <w:sz w:val="19"/>
                <w:szCs w:val="19"/>
                <w:color w:val="auto"/>
              </w:rPr>
            </w:pPr>
          </w:p>
        </w:tc>
        <w:tc>
          <w:tcPr>
            <w:tcW w:w="10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114,758</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98,888</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Total costs and expenses</w:t>
            </w:r>
          </w:p>
        </w:tc>
        <w:tc>
          <w:tcPr>
            <w:tcW w:w="520" w:type="dxa"/>
            <w:vAlign w:val="bottom"/>
            <w:tcBorders>
              <w:bottom w:val="single" w:sz="8" w:color="C6F4F9"/>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48,133</w:t>
            </w:r>
          </w:p>
        </w:tc>
        <w:tc>
          <w:tcPr>
            <w:tcW w:w="120" w:type="dxa"/>
            <w:vAlign w:val="bottom"/>
            <w:tcBorders>
              <w:bottom w:val="single" w:sz="8" w:color="C6F4F9"/>
            </w:tcBorders>
          </w:tcPr>
          <w:p>
            <w:pPr>
              <w:spacing w:after="0"/>
              <w:rPr>
                <w:sz w:val="18"/>
                <w:szCs w:val="18"/>
                <w:color w:val="auto"/>
              </w:rPr>
            </w:pPr>
          </w:p>
        </w:tc>
        <w:tc>
          <w:tcPr>
            <w:tcW w:w="120" w:type="dxa"/>
            <w:vAlign w:val="bottom"/>
            <w:tcBorders>
              <w:bottom w:val="single" w:sz="8" w:color="C6F4F9"/>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49,524</w:t>
            </w:r>
          </w:p>
        </w:tc>
        <w:tc>
          <w:tcPr>
            <w:tcW w:w="120" w:type="dxa"/>
            <w:vAlign w:val="bottom"/>
            <w:tcBorders>
              <w:bottom w:val="single" w:sz="8" w:color="C6F4F9"/>
            </w:tcBorders>
          </w:tcPr>
          <w:p>
            <w:pPr>
              <w:spacing w:after="0"/>
              <w:rPr>
                <w:sz w:val="18"/>
                <w:szCs w:val="18"/>
                <w:color w:val="auto"/>
              </w:rPr>
            </w:pPr>
          </w:p>
        </w:tc>
        <w:tc>
          <w:tcPr>
            <w:tcW w:w="100" w:type="dxa"/>
            <w:vAlign w:val="bottom"/>
            <w:tcBorders>
              <w:bottom w:val="single" w:sz="8" w:color="C6F4F9"/>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214,153</w:t>
            </w:r>
          </w:p>
        </w:tc>
        <w:tc>
          <w:tcPr>
            <w:tcW w:w="120" w:type="dxa"/>
            <w:vAlign w:val="bottom"/>
            <w:tcBorders>
              <w:bottom w:val="single" w:sz="8" w:color="C6F4F9"/>
            </w:tcBorders>
          </w:tcPr>
          <w:p>
            <w:pPr>
              <w:spacing w:after="0"/>
              <w:rPr>
                <w:sz w:val="18"/>
                <w:szCs w:val="18"/>
                <w:color w:val="auto"/>
              </w:rPr>
            </w:pPr>
          </w:p>
        </w:tc>
        <w:tc>
          <w:tcPr>
            <w:tcW w:w="100" w:type="dxa"/>
            <w:vAlign w:val="bottom"/>
            <w:tcBorders>
              <w:bottom w:val="single" w:sz="8" w:color="C6F4F9"/>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198,040</w:t>
            </w:r>
          </w:p>
        </w:tc>
        <w:tc>
          <w:tcPr>
            <w:tcW w:w="100" w:type="dxa"/>
            <w:vAlign w:val="bottom"/>
            <w:tcBorders>
              <w:bottom w:val="single" w:sz="8" w:color="C6F4F9"/>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6F4F9"/>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(21,112)</w:t>
            </w:r>
          </w:p>
        </w:tc>
        <w:tc>
          <w:tcPr>
            <w:tcW w:w="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(116,205)</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(67,459)</w:t>
            </w: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5000" w:type="dxa"/>
            <w:vAlign w:val="bottom"/>
            <w:shd w:val="clear" w:color="auto" w:fill="C6F4F9"/>
          </w:tcPr>
          <w:p>
            <w:pPr>
              <w:spacing w:after="0"/>
              <w:rPr>
                <w:sz w:val="20"/>
                <w:szCs w:val="20"/>
                <w:color w:val="auto"/>
              </w:rPr>
            </w:pPr>
            <w:r>
              <w:rPr>
                <w:rFonts w:ascii="Arial" w:cs="Arial" w:eastAsia="Arial" w:hAnsi="Arial"/>
                <w:sz w:val="18"/>
                <w:szCs w:val="18"/>
                <w:color w:val="auto"/>
              </w:rPr>
              <w:t>Loss on forward sale of Series B Preferred Stock</w:t>
            </w:r>
          </w:p>
        </w:tc>
        <w:tc>
          <w:tcPr>
            <w:tcW w:w="5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60" w:type="dxa"/>
            <w:vAlign w:val="bottom"/>
            <w:gridSpan w:val="3"/>
            <w:shd w:val="clear" w:color="auto" w:fill="C6F4F9"/>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(60,081)</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Loss on bridge loans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6F4F9"/>
          </w:tcPr>
          <w:p>
            <w:pPr>
              <w:spacing w:after="0"/>
              <w:rPr>
                <w:sz w:val="20"/>
                <w:szCs w:val="20"/>
                <w:color w:val="auto"/>
              </w:rPr>
            </w:pPr>
            <w:r>
              <w:rPr>
                <w:rFonts w:ascii="Arial" w:cs="Arial" w:eastAsia="Arial" w:hAnsi="Arial"/>
                <w:sz w:val="18"/>
                <w:szCs w:val="18"/>
                <w:color w:val="auto"/>
              </w:rPr>
              <w:t>Surplus funding from NIH Contract</w:t>
            </w:r>
          </w:p>
        </w:tc>
        <w:tc>
          <w:tcPr>
            <w:tcW w:w="5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9"/>
        </w:trPr>
        <w:tc>
          <w:tcPr>
            <w:tcW w:w="5000" w:type="dxa"/>
            <w:vAlign w:val="bottom"/>
            <w:tcBorders>
              <w:top w:val="single" w:sz="8" w:color="C6F4F9"/>
            </w:tcBorders>
            <w:shd w:val="clear" w:color="auto" w:fill="C6F4F9"/>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6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(20,775)</w:t>
            </w:r>
          </w:p>
        </w:tc>
        <w:tc>
          <w:tcPr>
            <w:tcW w:w="1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C6F4F9"/>
            </w:tcBorders>
            <w:shd w:val="clear" w:color="auto" w:fill="C6F4F9"/>
          </w:tcPr>
          <w:p>
            <w:pPr>
              <w:spacing w:after="0"/>
              <w:rPr>
                <w:sz w:val="18"/>
                <w:szCs w:val="18"/>
                <w:color w:val="auto"/>
              </w:rPr>
            </w:pPr>
          </w:p>
        </w:tc>
        <w:tc>
          <w:tcPr>
            <w:tcW w:w="28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(10,243)</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auto"/>
            </w:tcBorders>
            <w:shd w:val="clear" w:color="auto" w:fill="C6F4F9"/>
          </w:tcPr>
          <w:p>
            <w:pPr>
              <w:spacing w:after="0"/>
              <w:rPr>
                <w:sz w:val="18"/>
                <w:szCs w:val="18"/>
                <w:color w:val="auto"/>
              </w:rPr>
            </w:pPr>
          </w:p>
        </w:tc>
        <w:tc>
          <w:tcPr>
            <w:tcW w:w="112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(192,928)</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tcBorders>
            <w:shd w:val="clear" w:color="auto" w:fill="C6F4F9"/>
          </w:tcPr>
          <w:p>
            <w:pPr>
              <w:spacing w:after="0"/>
              <w:rPr>
                <w:sz w:val="18"/>
                <w:szCs w:val="18"/>
                <w:color w:val="auto"/>
              </w:rPr>
            </w:pPr>
          </w:p>
        </w:tc>
        <w:tc>
          <w:tcPr>
            <w:tcW w:w="940" w:type="dxa"/>
            <w:vAlign w:val="bottom"/>
            <w:tcBorders>
              <w:top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(63,660)</w:t>
            </w:r>
          </w:p>
        </w:tc>
        <w:tc>
          <w:tcPr>
            <w:tcW w:w="100" w:type="dxa"/>
            <w:vAlign w:val="bottom"/>
            <w:tcBorders>
              <w:top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23"/>
        </w:trPr>
        <w:tc>
          <w:tcPr>
            <w:tcW w:w="500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6F4F9"/>
              <w:bottom w:val="single" w:sz="8" w:color="C6F4F9"/>
            </w:tcBorders>
            <w:shd w:val="clear" w:color="auto" w:fill="C6F4F9"/>
          </w:tcPr>
          <w:p>
            <w:pPr>
              <w:spacing w:after="0"/>
              <w:rPr>
                <w:sz w:val="19"/>
                <w:szCs w:val="19"/>
                <w:color w:val="auto"/>
              </w:rPr>
            </w:pPr>
          </w:p>
        </w:tc>
        <w:tc>
          <w:tcPr>
            <w:tcW w:w="300" w:type="dxa"/>
            <w:vAlign w:val="bottom"/>
            <w:tcBorders>
              <w:top w:val="single" w:sz="8" w:color="auto"/>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(20,845</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280" w:type="dxa"/>
            <w:vAlign w:val="bottom"/>
            <w:tcBorders>
              <w:top w:val="single" w:sz="8" w:color="auto"/>
              <w:bottom w:val="single" w:sz="8" w:color="auto"/>
            </w:tcBorders>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(9,429</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(190,098</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300" w:type="dxa"/>
            <w:vAlign w:val="bottom"/>
            <w:tcBorders>
              <w:top w:val="single" w:sz="8" w:color="auto"/>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(59,237</w:t>
            </w:r>
          </w:p>
        </w:tc>
        <w:tc>
          <w:tcPr>
            <w:tcW w:w="10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5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6F4F9"/>
            </w:tcBorders>
            <w:vMerge w:val="continue"/>
          </w:tcPr>
          <w:p>
            <w:pPr>
              <w:spacing w:after="0"/>
              <w:rPr>
                <w:sz w:val="20"/>
                <w:szCs w:val="20"/>
                <w:color w:val="auto"/>
              </w:rPr>
            </w:pPr>
          </w:p>
        </w:tc>
        <w:tc>
          <w:tcPr>
            <w:tcW w:w="520" w:type="dxa"/>
            <w:vAlign w:val="bottom"/>
            <w:tcBorders>
              <w:bottom w:val="single" w:sz="8" w:color="C6F4F9"/>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120" w:type="dxa"/>
            <w:vAlign w:val="bottom"/>
            <w:tcBorders>
              <w:bottom w:val="single" w:sz="8" w:color="C6F4F9"/>
            </w:tcBorders>
            <w:vMerge w:val="continue"/>
          </w:tcPr>
          <w:p>
            <w:pPr>
              <w:spacing w:after="0"/>
              <w:rPr>
                <w:sz w:val="20"/>
                <w:szCs w:val="20"/>
                <w:color w:val="auto"/>
              </w:rPr>
            </w:pPr>
          </w:p>
        </w:tc>
        <w:tc>
          <w:tcPr>
            <w:tcW w:w="120" w:type="dxa"/>
            <w:vAlign w:val="bottom"/>
            <w:tcBorders>
              <w:bottom w:val="single" w:sz="8" w:color="C6F4F9"/>
            </w:tcBorders>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120" w:type="dxa"/>
            <w:vAlign w:val="bottom"/>
            <w:tcBorders>
              <w:bottom w:val="single" w:sz="8" w:color="C6F4F9"/>
            </w:tcBorders>
            <w:vMerge w:val="continue"/>
          </w:tcPr>
          <w:p>
            <w:pPr>
              <w:spacing w:after="0"/>
              <w:rPr>
                <w:sz w:val="20"/>
                <w:szCs w:val="20"/>
                <w:color w:val="auto"/>
              </w:rPr>
            </w:pPr>
          </w:p>
        </w:tc>
        <w:tc>
          <w:tcPr>
            <w:tcW w:w="100" w:type="dxa"/>
            <w:vAlign w:val="bottom"/>
            <w:tcBorders>
              <w:bottom w:val="single" w:sz="8" w:color="C6F4F9"/>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w:t>
            </w:r>
          </w:p>
        </w:tc>
        <w:tc>
          <w:tcPr>
            <w:tcW w:w="120" w:type="dxa"/>
            <w:vAlign w:val="bottom"/>
            <w:tcBorders>
              <w:bottom w:val="single" w:sz="8" w:color="C6F4F9"/>
            </w:tcBorders>
            <w:vMerge w:val="continue"/>
          </w:tcPr>
          <w:p>
            <w:pPr>
              <w:spacing w:after="0"/>
              <w:rPr>
                <w:sz w:val="20"/>
                <w:szCs w:val="20"/>
                <w:color w:val="auto"/>
              </w:rPr>
            </w:pPr>
          </w:p>
        </w:tc>
        <w:tc>
          <w:tcPr>
            <w:tcW w:w="100" w:type="dxa"/>
            <w:vAlign w:val="bottom"/>
            <w:tcBorders>
              <w:bottom w:val="single" w:sz="8" w:color="C6F4F9"/>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100" w:type="dxa"/>
            <w:vAlign w:val="bottom"/>
            <w:tcBorders>
              <w:bottom w:val="single" w:sz="8" w:color="C6F4F9"/>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Borders>
              <w:bottom w:val="single" w:sz="8" w:color="C6F4F9"/>
            </w:tcBorders>
            <w:shd w:val="clear" w:color="auto" w:fill="C6F4F9"/>
          </w:tcPr>
          <w:p>
            <w:pPr>
              <w:spacing w:after="0" w:line="190" w:lineRule="exact"/>
              <w:rPr>
                <w:sz w:val="20"/>
                <w:szCs w:val="20"/>
                <w:color w:val="auto"/>
              </w:rPr>
            </w:pPr>
            <w:r>
              <w:rPr>
                <w:rFonts w:ascii="Arial" w:cs="Arial" w:eastAsia="Arial" w:hAnsi="Arial"/>
                <w:sz w:val="18"/>
                <w:szCs w:val="18"/>
                <w:color w:val="auto"/>
                <w:w w:val="99"/>
              </w:rPr>
              <w:t>Shares used in computing net loss per share, basic and diluted</w:t>
            </w:r>
          </w:p>
        </w:tc>
        <w:tc>
          <w:tcPr>
            <w:tcW w:w="520" w:type="dxa"/>
            <w:vAlign w:val="bottom"/>
            <w:tcBorders>
              <w:bottom w:val="single" w:sz="8" w:color="C6F4F9"/>
            </w:tcBorders>
            <w:shd w:val="clear" w:color="auto" w:fill="C6F4F9"/>
          </w:tcPr>
          <w:p>
            <w:pPr>
              <w:spacing w:after="0"/>
              <w:rPr>
                <w:sz w:val="17"/>
                <w:szCs w:val="17"/>
                <w:color w:val="auto"/>
              </w:rPr>
            </w:pPr>
          </w:p>
        </w:tc>
        <w:tc>
          <w:tcPr>
            <w:tcW w:w="300" w:type="dxa"/>
            <w:vAlign w:val="bottom"/>
            <w:tcBorders>
              <w:bottom w:val="single" w:sz="8" w:color="auto"/>
            </w:tcBorders>
            <w:shd w:val="clear" w:color="auto" w:fill="C6F4F9"/>
          </w:tcPr>
          <w:p>
            <w:pPr>
              <w:spacing w:after="0"/>
              <w:rPr>
                <w:sz w:val="17"/>
                <w:szCs w:val="17"/>
                <w:color w:val="auto"/>
              </w:rPr>
            </w:pPr>
          </w:p>
        </w:tc>
        <w:tc>
          <w:tcPr>
            <w:tcW w:w="96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79,434</w:t>
            </w:r>
          </w:p>
        </w:tc>
        <w:tc>
          <w:tcPr>
            <w:tcW w:w="120" w:type="dxa"/>
            <w:vAlign w:val="bottom"/>
            <w:tcBorders>
              <w:bottom w:val="single" w:sz="8" w:color="C6F4F9"/>
            </w:tcBorders>
            <w:shd w:val="clear" w:color="auto" w:fill="C6F4F9"/>
          </w:tcPr>
          <w:p>
            <w:pPr>
              <w:spacing w:after="0"/>
              <w:rPr>
                <w:sz w:val="17"/>
                <w:szCs w:val="17"/>
                <w:color w:val="auto"/>
              </w:rPr>
            </w:pPr>
          </w:p>
        </w:tc>
        <w:tc>
          <w:tcPr>
            <w:tcW w:w="120" w:type="dxa"/>
            <w:vAlign w:val="bottom"/>
            <w:tcBorders>
              <w:bottom w:val="single" w:sz="8" w:color="C6F4F9"/>
            </w:tcBorders>
            <w:shd w:val="clear" w:color="auto" w:fill="C6F4F9"/>
          </w:tcPr>
          <w:p>
            <w:pPr>
              <w:spacing w:after="0"/>
              <w:rPr>
                <w:sz w:val="17"/>
                <w:szCs w:val="17"/>
                <w:color w:val="auto"/>
              </w:rPr>
            </w:pPr>
          </w:p>
        </w:tc>
        <w:tc>
          <w:tcPr>
            <w:tcW w:w="280" w:type="dxa"/>
            <w:vAlign w:val="bottom"/>
            <w:tcBorders>
              <w:bottom w:val="single" w:sz="8" w:color="auto"/>
            </w:tcBorders>
            <w:shd w:val="clear" w:color="auto" w:fill="C6F4F9"/>
          </w:tcPr>
          <w:p>
            <w:pPr>
              <w:spacing w:after="0"/>
              <w:rPr>
                <w:sz w:val="17"/>
                <w:szCs w:val="17"/>
                <w:color w:val="auto"/>
              </w:rPr>
            </w:pPr>
          </w:p>
        </w:tc>
        <w:tc>
          <w:tcPr>
            <w:tcW w:w="94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76,652</w:t>
            </w:r>
          </w:p>
        </w:tc>
        <w:tc>
          <w:tcPr>
            <w:tcW w:w="120" w:type="dxa"/>
            <w:vAlign w:val="bottom"/>
            <w:tcBorders>
              <w:bottom w:val="single" w:sz="8" w:color="C6F4F9"/>
            </w:tcBorders>
            <w:shd w:val="clear" w:color="auto" w:fill="C6F4F9"/>
          </w:tcPr>
          <w:p>
            <w:pPr>
              <w:spacing w:after="0"/>
              <w:rPr>
                <w:sz w:val="17"/>
                <w:szCs w:val="17"/>
                <w:color w:val="auto"/>
              </w:rPr>
            </w:pPr>
          </w:p>
        </w:tc>
        <w:tc>
          <w:tcPr>
            <w:tcW w:w="100" w:type="dxa"/>
            <w:vAlign w:val="bottom"/>
            <w:tcBorders>
              <w:bottom w:val="single" w:sz="8" w:color="C6F4F9"/>
            </w:tcBorders>
            <w:shd w:val="clear" w:color="auto" w:fill="C6F4F9"/>
          </w:tcPr>
          <w:p>
            <w:pPr>
              <w:spacing w:after="0"/>
              <w:rPr>
                <w:sz w:val="17"/>
                <w:szCs w:val="17"/>
                <w:color w:val="auto"/>
              </w:rPr>
            </w:pPr>
          </w:p>
        </w:tc>
        <w:tc>
          <w:tcPr>
            <w:tcW w:w="100" w:type="dxa"/>
            <w:vAlign w:val="bottom"/>
            <w:tcBorders>
              <w:bottom w:val="single" w:sz="8" w:color="auto"/>
            </w:tcBorders>
            <w:shd w:val="clear" w:color="auto" w:fill="C6F4F9"/>
          </w:tcPr>
          <w:p>
            <w:pPr>
              <w:spacing w:after="0"/>
              <w:rPr>
                <w:sz w:val="17"/>
                <w:szCs w:val="17"/>
                <w:color w:val="auto"/>
              </w:rPr>
            </w:pPr>
          </w:p>
        </w:tc>
        <w:tc>
          <w:tcPr>
            <w:tcW w:w="112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78,305</w:t>
            </w:r>
          </w:p>
        </w:tc>
        <w:tc>
          <w:tcPr>
            <w:tcW w:w="120" w:type="dxa"/>
            <w:vAlign w:val="bottom"/>
            <w:tcBorders>
              <w:bottom w:val="single" w:sz="8" w:color="C6F4F9"/>
            </w:tcBorders>
            <w:shd w:val="clear" w:color="auto" w:fill="C6F4F9"/>
          </w:tcPr>
          <w:p>
            <w:pPr>
              <w:spacing w:after="0"/>
              <w:rPr>
                <w:sz w:val="17"/>
                <w:szCs w:val="17"/>
                <w:color w:val="auto"/>
              </w:rPr>
            </w:pPr>
          </w:p>
        </w:tc>
        <w:tc>
          <w:tcPr>
            <w:tcW w:w="100" w:type="dxa"/>
            <w:vAlign w:val="bottom"/>
            <w:tcBorders>
              <w:bottom w:val="single" w:sz="8" w:color="C6F4F9"/>
            </w:tcBorders>
            <w:shd w:val="clear" w:color="auto" w:fill="C6F4F9"/>
          </w:tcPr>
          <w:p>
            <w:pPr>
              <w:spacing w:after="0"/>
              <w:rPr>
                <w:sz w:val="17"/>
                <w:szCs w:val="17"/>
                <w:color w:val="auto"/>
              </w:rPr>
            </w:pPr>
          </w:p>
        </w:tc>
        <w:tc>
          <w:tcPr>
            <w:tcW w:w="300" w:type="dxa"/>
            <w:vAlign w:val="bottom"/>
            <w:tcBorders>
              <w:bottom w:val="single" w:sz="8" w:color="auto"/>
            </w:tcBorders>
            <w:shd w:val="clear" w:color="auto" w:fill="C6F4F9"/>
          </w:tcPr>
          <w:p>
            <w:pPr>
              <w:spacing w:after="0"/>
              <w:rPr>
                <w:sz w:val="17"/>
                <w:szCs w:val="17"/>
                <w:color w:val="auto"/>
              </w:rPr>
            </w:pPr>
          </w:p>
        </w:tc>
        <w:tc>
          <w:tcPr>
            <w:tcW w:w="94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75,786</w:t>
            </w:r>
          </w:p>
        </w:tc>
        <w:tc>
          <w:tcPr>
            <w:tcW w:w="100" w:type="dxa"/>
            <w:vAlign w:val="bottom"/>
            <w:tcBorders>
              <w:bottom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revenue includes development, grant and license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 (1)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8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Cash and cash equivalents (2)</w:t>
            </w:r>
          </w:p>
        </w:tc>
        <w:tc>
          <w:tcPr>
            <w:tcW w:w="92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81,309</w:t>
            </w:r>
          </w:p>
        </w:tc>
        <w:tc>
          <w:tcPr>
            <w:tcW w:w="320" w:type="dxa"/>
            <w:vAlign w:val="bottom"/>
            <w:gridSpan w:val="2"/>
            <w:shd w:val="clear" w:color="auto" w:fill="C6F4F9"/>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Short-term investments (2)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84,475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Accounts receivable, net</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30"/>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25,652</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28,034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37,119</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Other non-current assets</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Developed technology,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27,927</w:t>
            </w:r>
          </w:p>
        </w:tc>
        <w:tc>
          <w:tcPr>
            <w:tcW w:w="0" w:type="dxa"/>
            <w:vAlign w:val="bottom"/>
          </w:tcPr>
          <w:p>
            <w:pPr>
              <w:spacing w:after="0"/>
              <w:rPr>
                <w:sz w:val="1"/>
                <w:szCs w:val="1"/>
                <w:color w:val="auto"/>
              </w:rPr>
            </w:pPr>
          </w:p>
        </w:tc>
      </w:tr>
      <w:tr>
        <w:trPr>
          <w:trHeight w:val="229"/>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106,251</w:t>
            </w:r>
          </w:p>
        </w:tc>
        <w:tc>
          <w:tcPr>
            <w:tcW w:w="1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106,379</w:t>
            </w:r>
          </w:p>
        </w:tc>
        <w:tc>
          <w:tcPr>
            <w:tcW w:w="0" w:type="dxa"/>
            <w:vAlign w:val="bottom"/>
          </w:tcPr>
          <w:p>
            <w:pPr>
              <w:spacing w:after="0"/>
              <w:rPr>
                <w:sz w:val="1"/>
                <w:szCs w:val="1"/>
                <w:color w:val="auto"/>
              </w:rPr>
            </w:pPr>
          </w:p>
        </w:tc>
      </w:tr>
      <w:tr>
        <w:trPr>
          <w:trHeight w:val="263"/>
        </w:trPr>
        <w:tc>
          <w:tcPr>
            <w:tcW w:w="782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C6F4F9"/>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390,310</w:t>
            </w:r>
          </w:p>
        </w:tc>
        <w:tc>
          <w:tcPr>
            <w:tcW w:w="120" w:type="dxa"/>
            <w:vAlign w:val="bottom"/>
            <w:tcBorders>
              <w:bottom w:val="single" w:sz="8" w:color="C6F4F9"/>
            </w:tcBorders>
          </w:tcPr>
          <w:p>
            <w:pPr>
              <w:spacing w:after="0"/>
              <w:rPr>
                <w:sz w:val="22"/>
                <w:szCs w:val="22"/>
                <w:color w:val="auto"/>
              </w:rPr>
            </w:pPr>
          </w:p>
        </w:tc>
        <w:tc>
          <w:tcPr>
            <w:tcW w:w="100" w:type="dxa"/>
            <w:vAlign w:val="bottom"/>
            <w:tcBorders>
              <w:bottom w:val="single" w:sz="8" w:color="C6F4F9"/>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275,214</w:t>
            </w:r>
          </w:p>
        </w:tc>
        <w:tc>
          <w:tcPr>
            <w:tcW w:w="10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820" w:type="dxa"/>
            <w:vAlign w:val="bottom"/>
            <w:shd w:val="clear" w:color="auto" w:fill="C6F4F9"/>
          </w:tcPr>
          <w:p>
            <w:pPr>
              <w:spacing w:after="0"/>
              <w:rPr>
                <w:sz w:val="11"/>
                <w:szCs w:val="11"/>
                <w:color w:val="auto"/>
              </w:rPr>
            </w:pPr>
          </w:p>
        </w:tc>
        <w:tc>
          <w:tcPr>
            <w:tcW w:w="620" w:type="dxa"/>
            <w:vAlign w:val="bottom"/>
            <w:shd w:val="clear" w:color="auto" w:fill="C6F4F9"/>
          </w:tcPr>
          <w:p>
            <w:pPr>
              <w:spacing w:after="0"/>
              <w:rPr>
                <w:sz w:val="11"/>
                <w:szCs w:val="11"/>
                <w:color w:val="auto"/>
              </w:rPr>
            </w:pPr>
          </w:p>
        </w:tc>
        <w:tc>
          <w:tcPr>
            <w:tcW w:w="300" w:type="dxa"/>
            <w:vAlign w:val="bottom"/>
            <w:shd w:val="clear" w:color="auto" w:fill="C6F4F9"/>
          </w:tcPr>
          <w:p>
            <w:pPr>
              <w:spacing w:after="0"/>
              <w:rPr>
                <w:sz w:val="11"/>
                <w:szCs w:val="11"/>
                <w:color w:val="auto"/>
              </w:rPr>
            </w:pPr>
          </w:p>
        </w:tc>
        <w:tc>
          <w:tcPr>
            <w:tcW w:w="940" w:type="dxa"/>
            <w:vAlign w:val="bottom"/>
            <w:shd w:val="clear" w:color="auto" w:fill="C6F4F9"/>
          </w:tcPr>
          <w:p>
            <w:pPr>
              <w:spacing w:after="0"/>
              <w:rPr>
                <w:sz w:val="11"/>
                <w:szCs w:val="11"/>
                <w:color w:val="auto"/>
              </w:rPr>
            </w:pPr>
          </w:p>
        </w:tc>
        <w:tc>
          <w:tcPr>
            <w:tcW w:w="120" w:type="dxa"/>
            <w:vAlign w:val="bottom"/>
            <w:shd w:val="clear" w:color="auto" w:fill="C6F4F9"/>
          </w:tcPr>
          <w:p>
            <w:pPr>
              <w:spacing w:after="0"/>
              <w:rPr>
                <w:sz w:val="11"/>
                <w:szCs w:val="11"/>
                <w:color w:val="auto"/>
              </w:rPr>
            </w:pPr>
          </w:p>
        </w:tc>
        <w:tc>
          <w:tcPr>
            <w:tcW w:w="100" w:type="dxa"/>
            <w:vAlign w:val="bottom"/>
            <w:shd w:val="clear" w:color="auto" w:fill="C6F4F9"/>
          </w:tcPr>
          <w:p>
            <w:pPr>
              <w:spacing w:after="0"/>
              <w:rPr>
                <w:sz w:val="11"/>
                <w:szCs w:val="11"/>
                <w:color w:val="auto"/>
              </w:rPr>
            </w:pPr>
          </w:p>
        </w:tc>
        <w:tc>
          <w:tcPr>
            <w:tcW w:w="220" w:type="dxa"/>
            <w:vAlign w:val="bottom"/>
            <w:shd w:val="clear" w:color="auto" w:fill="C6F4F9"/>
          </w:tcPr>
          <w:p>
            <w:pPr>
              <w:spacing w:after="0"/>
              <w:rPr>
                <w:sz w:val="11"/>
                <w:szCs w:val="11"/>
                <w:color w:val="auto"/>
              </w:rPr>
            </w:pPr>
          </w:p>
        </w:tc>
        <w:tc>
          <w:tcPr>
            <w:tcW w:w="1020" w:type="dxa"/>
            <w:vAlign w:val="bottom"/>
            <w:shd w:val="clear" w:color="auto" w:fill="C6F4F9"/>
          </w:tcPr>
          <w:p>
            <w:pPr>
              <w:spacing w:after="0"/>
              <w:rPr>
                <w:sz w:val="11"/>
                <w:szCs w:val="11"/>
                <w:color w:val="auto"/>
              </w:rPr>
            </w:pPr>
          </w:p>
        </w:tc>
        <w:tc>
          <w:tcPr>
            <w:tcW w:w="100" w:type="dxa"/>
            <w:vAlign w:val="bottom"/>
            <w:shd w:val="clear" w:color="auto" w:fill="C6F4F9"/>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LIABILITIES, MEZZANINE EQUITY AND STOCKHOLDERS’ EQUITY (DEFICIT)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7,914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Accrued compensation and related benefits</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Deferred revenue, current</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10,792</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Deferred grant income, 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Other accrued liabilities</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6,175</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Advances under revolving credit agreement, 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30"/>
        </w:trPr>
        <w:tc>
          <w:tcPr>
            <w:tcW w:w="7820" w:type="dxa"/>
            <w:vAlign w:val="bottom"/>
            <w:shd w:val="clear" w:color="auto" w:fill="C6F4F9"/>
          </w:tcPr>
          <w:p>
            <w:pPr>
              <w:ind w:left="120"/>
              <w:spacing w:after="0"/>
              <w:rPr>
                <w:sz w:val="20"/>
                <w:szCs w:val="20"/>
                <w:color w:val="auto"/>
              </w:rPr>
            </w:pPr>
            <w:r>
              <w:rPr>
                <w:rFonts w:ascii="Arial" w:cs="Arial" w:eastAsia="Arial" w:hAnsi="Arial"/>
                <w:sz w:val="18"/>
                <w:szCs w:val="18"/>
                <w:color w:val="auto"/>
              </w:rPr>
              <w:t>Term loan, current</w:t>
            </w:r>
          </w:p>
        </w:tc>
        <w:tc>
          <w:tcPr>
            <w:tcW w:w="6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12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Convertible notes, net</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54,615</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54,160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Term loan, non-current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Deferred tax liability</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Deferred revenue, non-current</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3,816</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Deferred grant income, non-current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14,359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30"/>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Other non-current liabilities</w:t>
            </w:r>
          </w:p>
        </w:tc>
        <w:tc>
          <w:tcPr>
            <w:tcW w:w="6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Redeemable preferred stock</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311,253</w:t>
            </w: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12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94,596</w:t>
            </w:r>
          </w:p>
        </w:tc>
        <w:tc>
          <w:tcPr>
            <w:tcW w:w="0" w:type="dxa"/>
            <w:vAlign w:val="bottom"/>
          </w:tcPr>
          <w:p>
            <w:pPr>
              <w:spacing w:after="0"/>
              <w:rPr>
                <w:sz w:val="1"/>
                <w:szCs w:val="1"/>
                <w:color w:val="auto"/>
              </w:rPr>
            </w:pPr>
          </w:p>
        </w:tc>
      </w:tr>
      <w:tr>
        <w:trPr>
          <w:trHeight w:val="223"/>
        </w:trPr>
        <w:tc>
          <w:tcPr>
            <w:tcW w:w="782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Total liabilities, mezzanine equity, and stockholders’ equity (deficit)</w:t>
            </w:r>
          </w:p>
        </w:tc>
        <w:tc>
          <w:tcPr>
            <w:tcW w:w="620" w:type="dxa"/>
            <w:vAlign w:val="bottom"/>
            <w:tcBorders>
              <w:top w:val="single" w:sz="8" w:color="C6F4F9"/>
              <w:bottom w:val="single" w:sz="8" w:color="C6F4F9"/>
            </w:tcBorders>
            <w:shd w:val="clear" w:color="auto" w:fill="C6F4F9"/>
          </w:tcPr>
          <w:p>
            <w:pPr>
              <w:spacing w:after="0"/>
              <w:rPr>
                <w:sz w:val="19"/>
                <w:szCs w:val="19"/>
                <w:color w:val="auto"/>
              </w:rPr>
            </w:pPr>
          </w:p>
        </w:tc>
        <w:tc>
          <w:tcPr>
            <w:tcW w:w="300" w:type="dxa"/>
            <w:vAlign w:val="bottom"/>
            <w:tcBorders>
              <w:top w:val="single" w:sz="8" w:color="auto"/>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390,310</w:t>
            </w: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220" w:type="dxa"/>
            <w:vAlign w:val="bottom"/>
            <w:tcBorders>
              <w:top w:val="single" w:sz="8" w:color="auto"/>
              <w:bottom w:val="single" w:sz="8" w:color="auto"/>
            </w:tcBorders>
            <w:shd w:val="clear" w:color="auto" w:fill="C6F4F9"/>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275,214</w:t>
            </w: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(1) Derived from audited consolidated financial statements</w:t>
            </w:r>
          </w:p>
        </w:tc>
        <w:tc>
          <w:tcPr>
            <w:tcW w:w="6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 Cash and cash equivalents, short-term investments and restricted cash consists of:</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81,309</w:t>
            </w:r>
          </w:p>
        </w:tc>
        <w:tc>
          <w:tcPr>
            <w:tcW w:w="320" w:type="dxa"/>
            <w:vAlign w:val="bottom"/>
            <w:gridSpan w:val="2"/>
            <w:shd w:val="clear" w:color="auto" w:fill="C6F4F9"/>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84,475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w w:val="95"/>
              </w:rPr>
              <w:t>Restricted cash (included in prepaid expenses and other current assets, and other non-current assets)</w:t>
            </w:r>
          </w:p>
        </w:tc>
        <w:tc>
          <w:tcPr>
            <w:tcW w:w="62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6F4F9"/>
          </w:tcPr>
          <w:p>
            <w:pPr>
              <w:spacing w:after="0"/>
              <w:rPr>
                <w:sz w:val="19"/>
                <w:szCs w:val="19"/>
                <w:color w:val="auto"/>
              </w:rPr>
            </w:pPr>
          </w:p>
        </w:tc>
        <w:tc>
          <w:tcPr>
            <w:tcW w:w="220" w:type="dxa"/>
            <w:vAlign w:val="bottom"/>
            <w:shd w:val="clear" w:color="auto" w:fill="C6F4F9"/>
          </w:tcPr>
          <w:p>
            <w:pPr>
              <w:spacing w:after="0"/>
              <w:rPr>
                <w:sz w:val="19"/>
                <w:szCs w:val="19"/>
                <w:color w:val="auto"/>
              </w:rPr>
            </w:pPr>
          </w:p>
        </w:tc>
        <w:tc>
          <w:tcPr>
            <w:tcW w:w="11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Total cash and cash equivalents, short-term investments and restricted cash</w:t>
            </w: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558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2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6"/>
          </w:tcPr>
          <w:p>
            <w:pPr>
              <w:jc w:val="right"/>
              <w:ind w:right="41"/>
              <w:spacing w:after="0"/>
              <w:rPr>
                <w:sz w:val="20"/>
                <w:szCs w:val="20"/>
                <w:color w:val="auto"/>
              </w:rPr>
            </w:pPr>
            <w:r>
              <w:rPr>
                <w:rFonts w:ascii="Arial" w:cs="Arial" w:eastAsia="Arial" w:hAnsi="Arial"/>
                <w:sz w:val="18"/>
                <w:szCs w:val="18"/>
                <w:b w:val="1"/>
                <w:bCs w:val="1"/>
                <w:color w:val="auto"/>
                <w:w w:val="90"/>
              </w:rPr>
              <w:t>Twelve Months Ended December</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(190,098)</w:t>
            </w:r>
          </w:p>
        </w:tc>
        <w:tc>
          <w:tcPr>
            <w:tcW w:w="40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(59,237)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Loss on forward sale of Series B Preferred Stock</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Loss on bridge loans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13,719</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16,101</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Amortization of developed technology</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11,528</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Provision for excess and obsolete inventory</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Impairment of InstruNor developed technology intangible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Amortization of debt discounts, premiums and issuance costs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non-cash items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Change in assets and liabilities, net</w:t>
            </w:r>
          </w:p>
        </w:tc>
        <w:tc>
          <w:tcPr>
            <w:tcW w:w="620" w:type="dxa"/>
            <w:vAlign w:val="bottom"/>
            <w:shd w:val="clear" w:color="auto" w:fill="C6F4F9"/>
          </w:tcPr>
          <w:p>
            <w:pPr>
              <w:spacing w:after="0"/>
              <w:rPr>
                <w:sz w:val="19"/>
                <w:szCs w:val="19"/>
                <w:color w:val="auto"/>
              </w:rPr>
            </w:pPr>
          </w:p>
        </w:tc>
        <w:tc>
          <w:tcPr>
            <w:tcW w:w="12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(19,933)</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bottom w:val="single" w:sz="8" w:color="C6F4F9"/>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(89,370</w:t>
            </w:r>
          </w:p>
        </w:tc>
        <w:tc>
          <w:tcPr>
            <w:tcW w:w="120" w:type="dxa"/>
            <w:vAlign w:val="bottom"/>
            <w:tcBorders>
              <w:bottom w:val="single" w:sz="8" w:color="C6F4F9"/>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6F4F9"/>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(44,061</w:t>
            </w:r>
          </w:p>
        </w:tc>
        <w:tc>
          <w:tcPr>
            <w:tcW w:w="100" w:type="dxa"/>
            <w:vAlign w:val="bottom"/>
            <w:tcBorders>
              <w:bottom w:val="single" w:sz="8" w:color="C6F4F9"/>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2"/>
        </w:trPr>
        <w:tc>
          <w:tcPr>
            <w:tcW w:w="7820" w:type="dxa"/>
            <w:vAlign w:val="bottom"/>
            <w:shd w:val="clear" w:color="auto" w:fill="C6F4F9"/>
          </w:tcPr>
          <w:p>
            <w:pPr>
              <w:spacing w:after="0"/>
              <w:rPr>
                <w:sz w:val="12"/>
                <w:szCs w:val="12"/>
                <w:color w:val="auto"/>
              </w:rPr>
            </w:pPr>
          </w:p>
        </w:tc>
        <w:tc>
          <w:tcPr>
            <w:tcW w:w="620" w:type="dxa"/>
            <w:vAlign w:val="bottom"/>
            <w:shd w:val="clear" w:color="auto" w:fill="C6F4F9"/>
          </w:tcPr>
          <w:p>
            <w:pPr>
              <w:spacing w:after="0"/>
              <w:rPr>
                <w:sz w:val="12"/>
                <w:szCs w:val="12"/>
                <w:color w:val="auto"/>
              </w:rPr>
            </w:pPr>
          </w:p>
        </w:tc>
        <w:tc>
          <w:tcPr>
            <w:tcW w:w="120" w:type="dxa"/>
            <w:vAlign w:val="bottom"/>
            <w:shd w:val="clear" w:color="auto" w:fill="C6F4F9"/>
          </w:tcPr>
          <w:p>
            <w:pPr>
              <w:spacing w:after="0"/>
              <w:rPr>
                <w:sz w:val="12"/>
                <w:szCs w:val="12"/>
                <w:color w:val="auto"/>
              </w:rPr>
            </w:pPr>
          </w:p>
        </w:tc>
        <w:tc>
          <w:tcPr>
            <w:tcW w:w="1120" w:type="dxa"/>
            <w:vAlign w:val="bottom"/>
            <w:shd w:val="clear" w:color="auto" w:fill="C6F4F9"/>
          </w:tcPr>
          <w:p>
            <w:pPr>
              <w:spacing w:after="0"/>
              <w:rPr>
                <w:sz w:val="12"/>
                <w:szCs w:val="12"/>
                <w:color w:val="auto"/>
              </w:rPr>
            </w:pPr>
          </w:p>
        </w:tc>
        <w:tc>
          <w:tcPr>
            <w:tcW w:w="120" w:type="dxa"/>
            <w:vAlign w:val="bottom"/>
            <w:shd w:val="clear" w:color="auto" w:fill="C6F4F9"/>
          </w:tcPr>
          <w:p>
            <w:pPr>
              <w:spacing w:after="0"/>
              <w:rPr>
                <w:sz w:val="12"/>
                <w:szCs w:val="12"/>
                <w:color w:val="auto"/>
              </w:rPr>
            </w:pPr>
          </w:p>
        </w:tc>
        <w:tc>
          <w:tcPr>
            <w:tcW w:w="100" w:type="dxa"/>
            <w:vAlign w:val="bottom"/>
            <w:shd w:val="clear" w:color="auto" w:fill="C6F4F9"/>
          </w:tcPr>
          <w:p>
            <w:pPr>
              <w:spacing w:after="0"/>
              <w:rPr>
                <w:sz w:val="12"/>
                <w:szCs w:val="12"/>
                <w:color w:val="auto"/>
              </w:rPr>
            </w:pPr>
          </w:p>
        </w:tc>
        <w:tc>
          <w:tcPr>
            <w:tcW w:w="300" w:type="dxa"/>
            <w:vAlign w:val="bottom"/>
            <w:shd w:val="clear" w:color="auto" w:fill="C6F4F9"/>
          </w:tcPr>
          <w:p>
            <w:pPr>
              <w:spacing w:after="0"/>
              <w:rPr>
                <w:sz w:val="12"/>
                <w:szCs w:val="12"/>
                <w:color w:val="auto"/>
              </w:rPr>
            </w:pPr>
          </w:p>
        </w:tc>
        <w:tc>
          <w:tcPr>
            <w:tcW w:w="940" w:type="dxa"/>
            <w:vAlign w:val="bottom"/>
            <w:shd w:val="clear" w:color="auto" w:fill="C6F4F9"/>
          </w:tcPr>
          <w:p>
            <w:pPr>
              <w:spacing w:after="0"/>
              <w:rPr>
                <w:sz w:val="12"/>
                <w:szCs w:val="12"/>
                <w:color w:val="auto"/>
              </w:rPr>
            </w:pPr>
          </w:p>
        </w:tc>
        <w:tc>
          <w:tcPr>
            <w:tcW w:w="100" w:type="dxa"/>
            <w:vAlign w:val="bottom"/>
            <w:shd w:val="clear" w:color="auto" w:fill="C6F4F9"/>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Purchases of investments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(137,302)</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NIH Contract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Proceeds from sales and maturities of investments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53,000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0"/>
        </w:trPr>
        <w:tc>
          <w:tcPr>
            <w:tcW w:w="7820" w:type="dxa"/>
            <w:vAlign w:val="bottom"/>
            <w:tcBorders>
              <w:top w:val="single" w:sz="8" w:color="C6F4F9"/>
            </w:tcBorders>
            <w:shd w:val="clear" w:color="auto" w:fill="C6F4F9"/>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auto"/>
              <w:bottom w:val="single" w:sz="8" w:color="auto"/>
            </w:tcBorders>
            <w:shd w:val="clear" w:color="auto" w:fill="C6F4F9"/>
          </w:tcPr>
          <w:p>
            <w:pPr>
              <w:spacing w:after="0"/>
              <w:rPr>
                <w:sz w:val="18"/>
                <w:szCs w:val="18"/>
                <w:color w:val="auto"/>
              </w:rPr>
            </w:pP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(88,127</w:t>
            </w:r>
          </w:p>
        </w:tc>
        <w:tc>
          <w:tcPr>
            <w:tcW w:w="120" w:type="dxa"/>
            <w:vAlign w:val="bottom"/>
            <w:tcBorders>
              <w:top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bottom w:val="single" w:sz="8" w:color="auto"/>
            </w:tcBorders>
            <w:shd w:val="clear" w:color="auto" w:fill="C6F4F9"/>
          </w:tcPr>
          <w:p>
            <w:pPr>
              <w:spacing w:after="0"/>
              <w:rPr>
                <w:sz w:val="18"/>
                <w:szCs w:val="18"/>
                <w:color w:val="auto"/>
              </w:rPr>
            </w:pP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top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b w:val="1"/>
                <w:bCs w:val="1"/>
                <w:color w:val="auto"/>
              </w:rPr>
              <w:t>Financing activities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bridge loans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Proceeds from issuance of Series B Preferred Stock</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advances under revolving line of credit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Proceeds from term loan</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Repayment of advances under revolving line of credit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Repurchase of common stock</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Payments of debt and equity issuance costs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(payments for) employee equity programs, net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9"/>
        </w:trPr>
        <w:tc>
          <w:tcPr>
            <w:tcW w:w="7820" w:type="dxa"/>
            <w:vAlign w:val="bottom"/>
            <w:tcBorders>
              <w:top w:val="single" w:sz="8" w:color="C6F4F9"/>
            </w:tcBorders>
            <w:shd w:val="clear" w:color="auto" w:fill="C6F4F9"/>
          </w:tcPr>
          <w:p>
            <w:pPr>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top w:val="single" w:sz="8" w:color="C6F4F9"/>
            </w:tcBorders>
            <w:shd w:val="clear" w:color="auto" w:fill="C6F4F9"/>
          </w:tcPr>
          <w:p>
            <w:pPr>
              <w:spacing w:after="0"/>
              <w:rPr>
                <w:sz w:val="18"/>
                <w:szCs w:val="18"/>
                <w:color w:val="auto"/>
              </w:rPr>
            </w:pPr>
          </w:p>
        </w:tc>
        <w:tc>
          <w:tcPr>
            <w:tcW w:w="120" w:type="dxa"/>
            <w:vAlign w:val="bottom"/>
            <w:tcBorders>
              <w:top w:val="single" w:sz="8" w:color="auto"/>
              <w:bottom w:val="single" w:sz="8" w:color="auto"/>
            </w:tcBorders>
            <w:shd w:val="clear" w:color="auto" w:fill="C6F4F9"/>
          </w:tcPr>
          <w:p>
            <w:pPr>
              <w:spacing w:after="0"/>
              <w:rPr>
                <w:sz w:val="18"/>
                <w:szCs w:val="18"/>
                <w:color w:val="auto"/>
              </w:rPr>
            </w:pP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230,758</w:t>
            </w:r>
          </w:p>
        </w:tc>
        <w:tc>
          <w:tcPr>
            <w:tcW w:w="120" w:type="dxa"/>
            <w:vAlign w:val="bottom"/>
            <w:tcBorders>
              <w:top w:val="single" w:sz="8" w:color="C6F4F9"/>
            </w:tcBorders>
            <w:shd w:val="clear" w:color="auto" w:fill="C6F4F9"/>
          </w:tcPr>
          <w:p>
            <w:pPr>
              <w:spacing w:after="0"/>
              <w:rPr>
                <w:sz w:val="18"/>
                <w:szCs w:val="18"/>
                <w:color w:val="auto"/>
              </w:rPr>
            </w:pPr>
          </w:p>
        </w:tc>
        <w:tc>
          <w:tcPr>
            <w:tcW w:w="100" w:type="dxa"/>
            <w:vAlign w:val="bottom"/>
            <w:tcBorders>
              <w:top w:val="single" w:sz="8" w:color="C6F4F9"/>
            </w:tcBorders>
            <w:shd w:val="clear" w:color="auto" w:fill="C6F4F9"/>
          </w:tcPr>
          <w:p>
            <w:pPr>
              <w:spacing w:after="0"/>
              <w:rPr>
                <w:sz w:val="18"/>
                <w:szCs w:val="18"/>
                <w:color w:val="auto"/>
              </w:rPr>
            </w:pPr>
          </w:p>
        </w:tc>
        <w:tc>
          <w:tcPr>
            <w:tcW w:w="300" w:type="dxa"/>
            <w:vAlign w:val="bottom"/>
            <w:tcBorders>
              <w:top w:val="single" w:sz="8" w:color="auto"/>
              <w:bottom w:val="single" w:sz="8" w:color="auto"/>
            </w:tcBorders>
            <w:shd w:val="clear" w:color="auto" w:fill="C6F4F9"/>
          </w:tcPr>
          <w:p>
            <w:pPr>
              <w:spacing w:after="0"/>
              <w:rPr>
                <w:sz w:val="18"/>
                <w:szCs w:val="18"/>
                <w:color w:val="auto"/>
              </w:rPr>
            </w:pP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15,959</w:t>
            </w:r>
          </w:p>
        </w:tc>
        <w:tc>
          <w:tcPr>
            <w:tcW w:w="100" w:type="dxa"/>
            <w:vAlign w:val="bottom"/>
            <w:tcBorders>
              <w:top w:val="single" w:sz="8" w:color="C6F4F9"/>
            </w:tcBorders>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6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52,857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0" w:type="dxa"/>
            <w:vAlign w:val="bottom"/>
          </w:tcPr>
          <w:p>
            <w:pPr>
              <w:spacing w:after="0"/>
              <w:rPr>
                <w:sz w:val="1"/>
                <w:szCs w:val="1"/>
                <w:color w:val="auto"/>
              </w:rPr>
            </w:pPr>
          </w:p>
        </w:tc>
      </w:tr>
      <w:tr>
        <w:trPr>
          <w:trHeight w:val="230"/>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620" w:type="dxa"/>
            <w:vAlign w:val="bottom"/>
            <w:shd w:val="clear" w:color="auto" w:fill="C6F4F9"/>
          </w:tcPr>
          <w:p>
            <w:pPr>
              <w:spacing w:after="0"/>
              <w:rPr>
                <w:sz w:val="19"/>
                <w:szCs w:val="19"/>
                <w:color w:val="auto"/>
              </w:rPr>
            </w:pPr>
          </w:p>
        </w:tc>
        <w:tc>
          <w:tcPr>
            <w:tcW w:w="12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29,467</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69,536</w:t>
            </w:r>
          </w:p>
        </w:tc>
        <w:tc>
          <w:tcPr>
            <w:tcW w:w="0" w:type="dxa"/>
            <w:vAlign w:val="bottom"/>
          </w:tcPr>
          <w:p>
            <w:pPr>
              <w:spacing w:after="0"/>
              <w:rPr>
                <w:sz w:val="1"/>
                <w:szCs w:val="1"/>
                <w:color w:val="auto"/>
              </w:rPr>
            </w:pPr>
          </w:p>
        </w:tc>
      </w:tr>
      <w:tr>
        <w:trPr>
          <w:trHeight w:val="263"/>
        </w:trPr>
        <w:tc>
          <w:tcPr>
            <w:tcW w:w="782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620" w:type="dxa"/>
            <w:vAlign w:val="bottom"/>
            <w:tcBorders>
              <w:bottom w:val="single" w:sz="8" w:color="C6F4F9"/>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82,324</w:t>
            </w:r>
          </w:p>
        </w:tc>
        <w:tc>
          <w:tcPr>
            <w:tcW w:w="120" w:type="dxa"/>
            <w:vAlign w:val="bottom"/>
            <w:tcBorders>
              <w:bottom w:val="single" w:sz="8" w:color="C6F4F9"/>
            </w:tcBorders>
          </w:tcPr>
          <w:p>
            <w:pPr>
              <w:spacing w:after="0"/>
              <w:rPr>
                <w:sz w:val="22"/>
                <w:szCs w:val="22"/>
                <w:color w:val="auto"/>
              </w:rPr>
            </w:pPr>
          </w:p>
        </w:tc>
        <w:tc>
          <w:tcPr>
            <w:tcW w:w="100" w:type="dxa"/>
            <w:vAlign w:val="bottom"/>
            <w:tcBorders>
              <w:bottom w:val="single" w:sz="8" w:color="C6F4F9"/>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820" w:type="dxa"/>
            <w:vAlign w:val="bottom"/>
            <w:shd w:val="clear" w:color="auto" w:fill="C6F4F9"/>
          </w:tcPr>
          <w:p>
            <w:pPr>
              <w:spacing w:after="0"/>
              <w:rPr>
                <w:sz w:val="11"/>
                <w:szCs w:val="11"/>
                <w:color w:val="auto"/>
              </w:rPr>
            </w:pPr>
          </w:p>
        </w:tc>
        <w:tc>
          <w:tcPr>
            <w:tcW w:w="620" w:type="dxa"/>
            <w:vAlign w:val="bottom"/>
            <w:shd w:val="clear" w:color="auto" w:fill="C6F4F9"/>
          </w:tcPr>
          <w:p>
            <w:pPr>
              <w:spacing w:after="0"/>
              <w:rPr>
                <w:sz w:val="11"/>
                <w:szCs w:val="11"/>
                <w:color w:val="auto"/>
              </w:rPr>
            </w:pPr>
          </w:p>
        </w:tc>
        <w:tc>
          <w:tcPr>
            <w:tcW w:w="120" w:type="dxa"/>
            <w:vAlign w:val="bottom"/>
            <w:shd w:val="clear" w:color="auto" w:fill="C6F4F9"/>
          </w:tcPr>
          <w:p>
            <w:pPr>
              <w:spacing w:after="0"/>
              <w:rPr>
                <w:sz w:val="11"/>
                <w:szCs w:val="11"/>
                <w:color w:val="auto"/>
              </w:rPr>
            </w:pPr>
          </w:p>
        </w:tc>
        <w:tc>
          <w:tcPr>
            <w:tcW w:w="1120" w:type="dxa"/>
            <w:vAlign w:val="bottom"/>
            <w:shd w:val="clear" w:color="auto" w:fill="C6F4F9"/>
          </w:tcPr>
          <w:p>
            <w:pPr>
              <w:spacing w:after="0"/>
              <w:rPr>
                <w:sz w:val="11"/>
                <w:szCs w:val="11"/>
                <w:color w:val="auto"/>
              </w:rPr>
            </w:pPr>
          </w:p>
        </w:tc>
        <w:tc>
          <w:tcPr>
            <w:tcW w:w="120" w:type="dxa"/>
            <w:vAlign w:val="bottom"/>
            <w:shd w:val="clear" w:color="auto" w:fill="C6F4F9"/>
          </w:tcPr>
          <w:p>
            <w:pPr>
              <w:spacing w:after="0"/>
              <w:rPr>
                <w:sz w:val="11"/>
                <w:szCs w:val="11"/>
                <w:color w:val="auto"/>
              </w:rPr>
            </w:pPr>
          </w:p>
        </w:tc>
        <w:tc>
          <w:tcPr>
            <w:tcW w:w="100" w:type="dxa"/>
            <w:vAlign w:val="bottom"/>
            <w:shd w:val="clear" w:color="auto" w:fill="C6F4F9"/>
          </w:tcPr>
          <w:p>
            <w:pPr>
              <w:spacing w:after="0"/>
              <w:rPr>
                <w:sz w:val="11"/>
                <w:szCs w:val="11"/>
                <w:color w:val="auto"/>
              </w:rPr>
            </w:pPr>
          </w:p>
        </w:tc>
        <w:tc>
          <w:tcPr>
            <w:tcW w:w="300" w:type="dxa"/>
            <w:vAlign w:val="bottom"/>
            <w:shd w:val="clear" w:color="auto" w:fill="C6F4F9"/>
          </w:tcPr>
          <w:p>
            <w:pPr>
              <w:spacing w:after="0"/>
              <w:rPr>
                <w:sz w:val="11"/>
                <w:szCs w:val="11"/>
                <w:color w:val="auto"/>
              </w:rPr>
            </w:pPr>
          </w:p>
        </w:tc>
        <w:tc>
          <w:tcPr>
            <w:tcW w:w="940" w:type="dxa"/>
            <w:vAlign w:val="bottom"/>
            <w:shd w:val="clear" w:color="auto" w:fill="C6F4F9"/>
          </w:tcPr>
          <w:p>
            <w:pPr>
              <w:spacing w:after="0"/>
              <w:rPr>
                <w:sz w:val="11"/>
                <w:szCs w:val="11"/>
                <w:color w:val="auto"/>
              </w:rPr>
            </w:pPr>
          </w:p>
        </w:tc>
        <w:tc>
          <w:tcPr>
            <w:tcW w:w="100" w:type="dxa"/>
            <w:vAlign w:val="bottom"/>
            <w:shd w:val="clear" w:color="auto" w:fill="C6F4F9"/>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short-term investments, and restricted cash consists of: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81,309</w:t>
            </w:r>
          </w:p>
        </w:tc>
        <w:tc>
          <w:tcPr>
            <w:tcW w:w="400" w:type="dxa"/>
            <w:vAlign w:val="bottom"/>
            <w:gridSpan w:val="2"/>
            <w:shd w:val="clear" w:color="auto" w:fill="C6F4F9"/>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84,475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6F4F9"/>
          </w:tcPr>
          <w:p>
            <w:pPr>
              <w:spacing w:after="0"/>
              <w:rPr>
                <w:sz w:val="20"/>
                <w:szCs w:val="20"/>
                <w:color w:val="auto"/>
              </w:rPr>
            </w:pPr>
            <w:r>
              <w:rPr>
                <w:rFonts w:ascii="Arial" w:cs="Arial" w:eastAsia="Arial" w:hAnsi="Arial"/>
                <w:sz w:val="18"/>
                <w:szCs w:val="18"/>
                <w:color w:val="auto"/>
                <w:w w:val="95"/>
              </w:rPr>
              <w:t>Restricted cash (included in prepaid expenses and other current assets, and other non-current assets)</w:t>
            </w:r>
          </w:p>
        </w:tc>
        <w:tc>
          <w:tcPr>
            <w:tcW w:w="620" w:type="dxa"/>
            <w:vAlign w:val="bottom"/>
            <w:shd w:val="clear" w:color="auto" w:fill="C6F4F9"/>
          </w:tcPr>
          <w:p>
            <w:pPr>
              <w:spacing w:after="0"/>
              <w:rPr>
                <w:sz w:val="19"/>
                <w:szCs w:val="19"/>
                <w:color w:val="auto"/>
              </w:rPr>
            </w:pPr>
          </w:p>
        </w:tc>
        <w:tc>
          <w:tcPr>
            <w:tcW w:w="12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Total cash and cash equivalents, short-term investments, and restricted cash</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82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ITEMIZED RECONCILIATION BETWEEN GAAP AND NON-GAAP NET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980" w:type="dxa"/>
            <w:vAlign w:val="bottom"/>
            <w:gridSpan w:val="8"/>
          </w:tcPr>
          <w:p>
            <w:pPr>
              <w:ind w:left="60"/>
              <w:spacing w:after="0"/>
              <w:rPr>
                <w:sz w:val="20"/>
                <w:szCs w:val="20"/>
                <w:color w:val="auto"/>
              </w:rPr>
            </w:pPr>
            <w:r>
              <w:rPr>
                <w:rFonts w:ascii="Arial" w:cs="Arial" w:eastAsia="Arial" w:hAnsi="Arial"/>
                <w:sz w:val="18"/>
                <w:szCs w:val="18"/>
                <w:b w:val="1"/>
                <w:bCs w:val="1"/>
                <w:color w:val="auto"/>
                <w:w w:val="96"/>
              </w:rPr>
              <w:t>Three Months Ended December 31,</w:t>
            </w:r>
          </w:p>
        </w:tc>
        <w:tc>
          <w:tcPr>
            <w:tcW w:w="288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Twelve Months Ended December 31,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6F4F9"/>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6F4F9"/>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6F4F9"/>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6F4F9"/>
            </w:tcBorders>
          </w:tcPr>
          <w:p>
            <w:pPr>
              <w:spacing w:after="0"/>
              <w:rPr>
                <w:sz w:val="19"/>
                <w:szCs w:val="19"/>
                <w:color w:val="auto"/>
              </w:rPr>
            </w:pPr>
          </w:p>
        </w:tc>
        <w:tc>
          <w:tcPr>
            <w:tcW w:w="20" w:type="dxa"/>
            <w:vAlign w:val="bottom"/>
            <w:tcBorders>
              <w:top w:val="single" w:sz="8" w:color="auto"/>
              <w:bottom w:val="single" w:sz="8" w:color="C6F4F9"/>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Net loss (GAAP)</w:t>
            </w:r>
          </w:p>
        </w:tc>
        <w:tc>
          <w:tcPr>
            <w:tcW w:w="140" w:type="dxa"/>
            <w:vAlign w:val="bottom"/>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(20,845)</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(9,429)</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(190,098)</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(59,237)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Loss on forward sale of Series B Preferred Stock</w:t>
            </w:r>
          </w:p>
        </w:tc>
        <w:tc>
          <w:tcPr>
            <w:tcW w:w="140" w:type="dxa"/>
            <w:vAlign w:val="bottom"/>
          </w:tcPr>
          <w:p>
            <w:pPr>
              <w:spacing w:after="0"/>
              <w:rPr>
                <w:sz w:val="18"/>
                <w:szCs w:val="18"/>
                <w:color w:val="auto"/>
              </w:rPr>
            </w:pPr>
          </w:p>
        </w:tc>
        <w:tc>
          <w:tcPr>
            <w:tcW w:w="13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Loss on bridge loans</w:t>
            </w:r>
          </w:p>
        </w:tc>
        <w:tc>
          <w:tcPr>
            <w:tcW w:w="140" w:type="dxa"/>
            <w:vAlign w:val="bottom"/>
            <w:shd w:val="clear" w:color="auto" w:fill="C6F4F9"/>
          </w:tcPr>
          <w:p>
            <w:pPr>
              <w:spacing w:after="0"/>
              <w:rPr>
                <w:sz w:val="18"/>
                <w:szCs w:val="18"/>
                <w:color w:val="auto"/>
              </w:rPr>
            </w:pPr>
          </w:p>
        </w:tc>
        <w:tc>
          <w:tcPr>
            <w:tcW w:w="1340" w:type="dxa"/>
            <w:vAlign w:val="bottom"/>
            <w:gridSpan w:val="3"/>
            <w:shd w:val="clear" w:color="auto" w:fill="C6F4F9"/>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8"/>
                <w:szCs w:val="18"/>
                <w:color w:val="auto"/>
              </w:rPr>
            </w:pPr>
          </w:p>
        </w:tc>
        <w:tc>
          <w:tcPr>
            <w:tcW w:w="1200" w:type="dxa"/>
            <w:vAlign w:val="bottom"/>
            <w:gridSpan w:val="3"/>
            <w:shd w:val="clear" w:color="auto" w:fill="C6F4F9"/>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13,719</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16,101</w:t>
            </w: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Amortization of developed technology (a)</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11,528</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Interest expense (b)</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Impairment of intangible (c)</w:t>
            </w:r>
          </w:p>
        </w:tc>
        <w:tc>
          <w:tcPr>
            <w:tcW w:w="140" w:type="dxa"/>
            <w:vAlign w:val="bottom"/>
          </w:tcPr>
          <w:p>
            <w:pPr>
              <w:spacing w:after="0"/>
              <w:rPr>
                <w:sz w:val="18"/>
                <w:szCs w:val="18"/>
                <w:color w:val="auto"/>
              </w:rPr>
            </w:pPr>
          </w:p>
        </w:tc>
        <w:tc>
          <w:tcPr>
            <w:tcW w:w="13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Loss from extinguishment of debt</w:t>
            </w:r>
          </w:p>
        </w:tc>
        <w:tc>
          <w:tcPr>
            <w:tcW w:w="140" w:type="dxa"/>
            <w:vAlign w:val="bottom"/>
          </w:tcPr>
          <w:p>
            <w:pPr>
              <w:spacing w:after="0"/>
              <w:rPr>
                <w:sz w:val="18"/>
                <w:szCs w:val="18"/>
                <w:color w:val="auto"/>
              </w:rPr>
            </w:pPr>
          </w:p>
        </w:tc>
        <w:tc>
          <w:tcPr>
            <w:tcW w:w="13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Benefit from acquisition related income taxes (d)</w:t>
            </w:r>
          </w:p>
        </w:tc>
        <w:tc>
          <w:tcPr>
            <w:tcW w:w="14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6F4F9"/>
          </w:tcPr>
          <w:p>
            <w:pPr>
              <w:spacing w:after="0"/>
              <w:rPr>
                <w:sz w:val="19"/>
                <w:szCs w:val="19"/>
                <w:color w:val="auto"/>
              </w:rPr>
            </w:pPr>
          </w:p>
        </w:tc>
        <w:tc>
          <w:tcPr>
            <w:tcW w:w="100" w:type="dxa"/>
            <w:vAlign w:val="bottom"/>
            <w:shd w:val="clear" w:color="auto" w:fill="C6F4F9"/>
          </w:tcPr>
          <w:p>
            <w:pPr>
              <w:spacing w:after="0"/>
              <w:rPr>
                <w:sz w:val="19"/>
                <w:szCs w:val="19"/>
                <w:color w:val="auto"/>
              </w:rPr>
            </w:pPr>
          </w:p>
        </w:tc>
        <w:tc>
          <w:tcPr>
            <w:tcW w:w="12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6F4F9"/>
          </w:tcPr>
          <w:p>
            <w:pPr>
              <w:spacing w:after="0"/>
              <w:rPr>
                <w:sz w:val="19"/>
                <w:szCs w:val="19"/>
                <w:color w:val="auto"/>
              </w:rPr>
            </w:pPr>
          </w:p>
        </w:tc>
        <w:tc>
          <w:tcPr>
            <w:tcW w:w="20" w:type="dxa"/>
            <w:vAlign w:val="bottom"/>
            <w:shd w:val="clear" w:color="auto" w:fill="C6F4F9"/>
          </w:tcPr>
          <w:p>
            <w:pPr>
              <w:spacing w:after="0"/>
              <w:rPr>
                <w:sz w:val="19"/>
                <w:szCs w:val="19"/>
                <w:color w:val="auto"/>
              </w:rPr>
            </w:pPr>
          </w:p>
        </w:tc>
        <w:tc>
          <w:tcPr>
            <w:tcW w:w="280" w:type="dxa"/>
            <w:vAlign w:val="bottom"/>
            <w:shd w:val="clear" w:color="auto" w:fill="C6F4F9"/>
          </w:tcPr>
          <w:p>
            <w:pPr>
              <w:spacing w:after="0"/>
              <w:rPr>
                <w:sz w:val="19"/>
                <w:szCs w:val="19"/>
                <w:color w:val="auto"/>
              </w:rPr>
            </w:pPr>
          </w:p>
        </w:tc>
        <w:tc>
          <w:tcPr>
            <w:tcW w:w="110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Net loss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60" w:type="dxa"/>
            <w:vAlign w:val="bottom"/>
            <w:tcBorders>
              <w:bottom w:val="single" w:sz="8" w:color="C6F4F9"/>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6F4F9"/>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bottom w:val="single" w:sz="8" w:color="C6F4F9"/>
            </w:tcBorders>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6F4F9"/>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160" w:type="dxa"/>
            <w:vAlign w:val="bottom"/>
            <w:tcBorders>
              <w:bottom w:val="single" w:sz="8" w:color="C6F4F9"/>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6F4F9"/>
            </w:tcBorders>
          </w:tcPr>
          <w:p>
            <w:pPr>
              <w:spacing w:after="0"/>
              <w:rPr>
                <w:sz w:val="22"/>
                <w:szCs w:val="22"/>
                <w:color w:val="auto"/>
              </w:rPr>
            </w:pPr>
          </w:p>
        </w:tc>
        <w:tc>
          <w:tcPr>
            <w:tcW w:w="20" w:type="dxa"/>
            <w:vAlign w:val="bottom"/>
            <w:tcBorders>
              <w:bottom w:val="single" w:sz="8" w:color="C6F4F9"/>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(26,689</w:t>
            </w:r>
          </w:p>
        </w:tc>
        <w:tc>
          <w:tcPr>
            <w:tcW w:w="160" w:type="dxa"/>
            <w:vAlign w:val="bottom"/>
            <w:tcBorders>
              <w:bottom w:val="single" w:sz="8" w:color="C6F4F9"/>
            </w:tcBorders>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5380" w:type="dxa"/>
            <w:vAlign w:val="bottom"/>
            <w:shd w:val="clear" w:color="auto" w:fill="C6F4F9"/>
          </w:tcPr>
          <w:p>
            <w:pPr>
              <w:spacing w:after="0" w:line="155" w:lineRule="exact"/>
              <w:rPr>
                <w:sz w:val="20"/>
                <w:szCs w:val="20"/>
                <w:color w:val="auto"/>
              </w:rPr>
            </w:pPr>
            <w:r>
              <w:rPr>
                <w:rFonts w:ascii="Arial" w:cs="Arial" w:eastAsia="Arial" w:hAnsi="Arial"/>
                <w:sz w:val="17"/>
                <w:szCs w:val="17"/>
                <w:color w:val="auto"/>
              </w:rPr>
              <w:t>Shares used in net loss per share calculation –</w:t>
            </w:r>
          </w:p>
        </w:tc>
        <w:tc>
          <w:tcPr>
            <w:tcW w:w="140" w:type="dxa"/>
            <w:vAlign w:val="bottom"/>
            <w:shd w:val="clear" w:color="auto" w:fill="C6F4F9"/>
          </w:tcPr>
          <w:p>
            <w:pPr>
              <w:spacing w:after="0"/>
              <w:rPr>
                <w:sz w:val="13"/>
                <w:szCs w:val="13"/>
                <w:color w:val="auto"/>
              </w:rPr>
            </w:pPr>
          </w:p>
        </w:tc>
        <w:tc>
          <w:tcPr>
            <w:tcW w:w="1080" w:type="dxa"/>
            <w:vAlign w:val="bottom"/>
            <w:shd w:val="clear" w:color="auto" w:fill="C6F4F9"/>
          </w:tcPr>
          <w:p>
            <w:pPr>
              <w:spacing w:after="0"/>
              <w:rPr>
                <w:sz w:val="13"/>
                <w:szCs w:val="13"/>
                <w:color w:val="auto"/>
              </w:rPr>
            </w:pPr>
          </w:p>
        </w:tc>
        <w:tc>
          <w:tcPr>
            <w:tcW w:w="160" w:type="dxa"/>
            <w:vAlign w:val="bottom"/>
            <w:shd w:val="clear" w:color="auto" w:fill="C6F4F9"/>
          </w:tcPr>
          <w:p>
            <w:pPr>
              <w:spacing w:after="0"/>
              <w:rPr>
                <w:sz w:val="13"/>
                <w:szCs w:val="13"/>
                <w:color w:val="auto"/>
              </w:rPr>
            </w:pPr>
          </w:p>
        </w:tc>
        <w:tc>
          <w:tcPr>
            <w:tcW w:w="100" w:type="dxa"/>
            <w:vAlign w:val="bottom"/>
            <w:shd w:val="clear" w:color="auto" w:fill="C6F4F9"/>
          </w:tcPr>
          <w:p>
            <w:pPr>
              <w:spacing w:after="0"/>
              <w:rPr>
                <w:sz w:val="13"/>
                <w:szCs w:val="13"/>
                <w:color w:val="auto"/>
              </w:rPr>
            </w:pPr>
          </w:p>
        </w:tc>
        <w:tc>
          <w:tcPr>
            <w:tcW w:w="300" w:type="dxa"/>
            <w:vAlign w:val="bottom"/>
            <w:shd w:val="clear" w:color="auto" w:fill="C6F4F9"/>
          </w:tcPr>
          <w:p>
            <w:pPr>
              <w:spacing w:after="0"/>
              <w:rPr>
                <w:sz w:val="13"/>
                <w:szCs w:val="13"/>
                <w:color w:val="auto"/>
              </w:rPr>
            </w:pPr>
          </w:p>
        </w:tc>
        <w:tc>
          <w:tcPr>
            <w:tcW w:w="920" w:type="dxa"/>
            <w:vAlign w:val="bottom"/>
            <w:shd w:val="clear" w:color="auto" w:fill="C6F4F9"/>
          </w:tcPr>
          <w:p>
            <w:pPr>
              <w:spacing w:after="0"/>
              <w:rPr>
                <w:sz w:val="13"/>
                <w:szCs w:val="13"/>
                <w:color w:val="auto"/>
              </w:rPr>
            </w:pPr>
          </w:p>
        </w:tc>
        <w:tc>
          <w:tcPr>
            <w:tcW w:w="160" w:type="dxa"/>
            <w:vAlign w:val="bottom"/>
            <w:shd w:val="clear" w:color="auto" w:fill="C6F4F9"/>
          </w:tcPr>
          <w:p>
            <w:pPr>
              <w:spacing w:after="0"/>
              <w:rPr>
                <w:sz w:val="13"/>
                <w:szCs w:val="13"/>
                <w:color w:val="auto"/>
              </w:rPr>
            </w:pPr>
          </w:p>
        </w:tc>
        <w:tc>
          <w:tcPr>
            <w:tcW w:w="120" w:type="dxa"/>
            <w:vAlign w:val="bottom"/>
            <w:shd w:val="clear" w:color="auto" w:fill="C6F4F9"/>
          </w:tcPr>
          <w:p>
            <w:pPr>
              <w:spacing w:after="0"/>
              <w:rPr>
                <w:sz w:val="13"/>
                <w:szCs w:val="13"/>
                <w:color w:val="auto"/>
              </w:rPr>
            </w:pPr>
          </w:p>
        </w:tc>
        <w:tc>
          <w:tcPr>
            <w:tcW w:w="100" w:type="dxa"/>
            <w:vAlign w:val="bottom"/>
            <w:shd w:val="clear" w:color="auto" w:fill="C6F4F9"/>
          </w:tcPr>
          <w:p>
            <w:pPr>
              <w:spacing w:after="0"/>
              <w:rPr>
                <w:sz w:val="13"/>
                <w:szCs w:val="13"/>
                <w:color w:val="auto"/>
              </w:rPr>
            </w:pPr>
          </w:p>
        </w:tc>
        <w:tc>
          <w:tcPr>
            <w:tcW w:w="1120" w:type="dxa"/>
            <w:vAlign w:val="bottom"/>
            <w:shd w:val="clear" w:color="auto" w:fill="C6F4F9"/>
          </w:tcPr>
          <w:p>
            <w:pPr>
              <w:spacing w:after="0"/>
              <w:rPr>
                <w:sz w:val="13"/>
                <w:szCs w:val="13"/>
                <w:color w:val="auto"/>
              </w:rPr>
            </w:pPr>
          </w:p>
        </w:tc>
        <w:tc>
          <w:tcPr>
            <w:tcW w:w="160" w:type="dxa"/>
            <w:vAlign w:val="bottom"/>
            <w:shd w:val="clear" w:color="auto" w:fill="C6F4F9"/>
          </w:tcPr>
          <w:p>
            <w:pPr>
              <w:spacing w:after="0"/>
              <w:rPr>
                <w:sz w:val="13"/>
                <w:szCs w:val="13"/>
                <w:color w:val="auto"/>
              </w:rPr>
            </w:pPr>
          </w:p>
        </w:tc>
        <w:tc>
          <w:tcPr>
            <w:tcW w:w="100" w:type="dxa"/>
            <w:vAlign w:val="bottom"/>
            <w:shd w:val="clear" w:color="auto" w:fill="C6F4F9"/>
          </w:tcPr>
          <w:p>
            <w:pPr>
              <w:spacing w:after="0"/>
              <w:rPr>
                <w:sz w:val="13"/>
                <w:szCs w:val="13"/>
                <w:color w:val="auto"/>
              </w:rPr>
            </w:pPr>
          </w:p>
        </w:tc>
        <w:tc>
          <w:tcPr>
            <w:tcW w:w="20" w:type="dxa"/>
            <w:vAlign w:val="bottom"/>
            <w:shd w:val="clear" w:color="auto" w:fill="C6F4F9"/>
          </w:tcPr>
          <w:p>
            <w:pPr>
              <w:spacing w:after="0"/>
              <w:rPr>
                <w:sz w:val="13"/>
                <w:szCs w:val="13"/>
                <w:color w:val="auto"/>
              </w:rPr>
            </w:pPr>
          </w:p>
        </w:tc>
        <w:tc>
          <w:tcPr>
            <w:tcW w:w="280" w:type="dxa"/>
            <w:vAlign w:val="bottom"/>
            <w:shd w:val="clear" w:color="auto" w:fill="C6F4F9"/>
          </w:tcPr>
          <w:p>
            <w:pPr>
              <w:spacing w:after="0"/>
              <w:rPr>
                <w:sz w:val="13"/>
                <w:szCs w:val="13"/>
                <w:color w:val="auto"/>
              </w:rPr>
            </w:pPr>
          </w:p>
        </w:tc>
        <w:tc>
          <w:tcPr>
            <w:tcW w:w="940" w:type="dxa"/>
            <w:vAlign w:val="bottom"/>
            <w:shd w:val="clear" w:color="auto" w:fill="C6F4F9"/>
          </w:tcPr>
          <w:p>
            <w:pPr>
              <w:spacing w:after="0"/>
              <w:rPr>
                <w:sz w:val="13"/>
                <w:szCs w:val="13"/>
                <w:color w:val="auto"/>
              </w:rPr>
            </w:pPr>
          </w:p>
        </w:tc>
        <w:tc>
          <w:tcPr>
            <w:tcW w:w="160" w:type="dxa"/>
            <w:vAlign w:val="bottom"/>
            <w:shd w:val="clear" w:color="auto" w:fill="C6F4F9"/>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basic and diluted (GAAP and Non-GAAP)</w:t>
            </w:r>
          </w:p>
        </w:tc>
        <w:tc>
          <w:tcPr>
            <w:tcW w:w="140" w:type="dxa"/>
            <w:vAlign w:val="bottom"/>
            <w:shd w:val="clear" w:color="auto" w:fill="C6F4F9"/>
          </w:tcPr>
          <w:p>
            <w:pPr>
              <w:spacing w:after="0"/>
              <w:rPr>
                <w:sz w:val="20"/>
                <w:szCs w:val="20"/>
                <w:color w:val="auto"/>
              </w:rPr>
            </w:pPr>
          </w:p>
        </w:tc>
        <w:tc>
          <w:tcPr>
            <w:tcW w:w="124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79,434</w:t>
            </w:r>
          </w:p>
        </w:tc>
        <w:tc>
          <w:tcPr>
            <w:tcW w:w="100" w:type="dxa"/>
            <w:vAlign w:val="bottom"/>
            <w:shd w:val="clear" w:color="auto" w:fill="C6F4F9"/>
          </w:tcPr>
          <w:p>
            <w:pPr>
              <w:spacing w:after="0"/>
              <w:rPr>
                <w:sz w:val="20"/>
                <w:szCs w:val="20"/>
                <w:color w:val="auto"/>
              </w:rPr>
            </w:pPr>
          </w:p>
        </w:tc>
        <w:tc>
          <w:tcPr>
            <w:tcW w:w="300" w:type="dxa"/>
            <w:vAlign w:val="bottom"/>
            <w:shd w:val="clear" w:color="auto" w:fill="C6F4F9"/>
          </w:tcPr>
          <w:p>
            <w:pPr>
              <w:spacing w:after="0"/>
              <w:rPr>
                <w:sz w:val="20"/>
                <w:szCs w:val="20"/>
                <w:color w:val="auto"/>
              </w:rPr>
            </w:pPr>
          </w:p>
        </w:tc>
        <w:tc>
          <w:tcPr>
            <w:tcW w:w="10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76,652</w:t>
            </w:r>
          </w:p>
        </w:tc>
        <w:tc>
          <w:tcPr>
            <w:tcW w:w="120" w:type="dxa"/>
            <w:vAlign w:val="bottom"/>
            <w:shd w:val="clear" w:color="auto" w:fill="C6F4F9"/>
          </w:tcPr>
          <w:p>
            <w:pPr>
              <w:spacing w:after="0"/>
              <w:rPr>
                <w:sz w:val="20"/>
                <w:szCs w:val="20"/>
                <w:color w:val="auto"/>
              </w:rPr>
            </w:pPr>
          </w:p>
        </w:tc>
        <w:tc>
          <w:tcPr>
            <w:tcW w:w="100" w:type="dxa"/>
            <w:vAlign w:val="bottom"/>
            <w:shd w:val="clear" w:color="auto" w:fill="C6F4F9"/>
          </w:tcPr>
          <w:p>
            <w:pPr>
              <w:spacing w:after="0"/>
              <w:rPr>
                <w:sz w:val="20"/>
                <w:szCs w:val="20"/>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78,305</w:t>
            </w:r>
          </w:p>
        </w:tc>
        <w:tc>
          <w:tcPr>
            <w:tcW w:w="100" w:type="dxa"/>
            <w:vAlign w:val="bottom"/>
            <w:shd w:val="clear" w:color="auto" w:fill="C6F4F9"/>
          </w:tcPr>
          <w:p>
            <w:pPr>
              <w:spacing w:after="0"/>
              <w:rPr>
                <w:sz w:val="20"/>
                <w:szCs w:val="20"/>
                <w:color w:val="auto"/>
              </w:rPr>
            </w:pPr>
          </w:p>
        </w:tc>
        <w:tc>
          <w:tcPr>
            <w:tcW w:w="20" w:type="dxa"/>
            <w:vAlign w:val="bottom"/>
            <w:shd w:val="clear" w:color="auto" w:fill="C6F4F9"/>
          </w:tcPr>
          <w:p>
            <w:pPr>
              <w:spacing w:after="0"/>
              <w:rPr>
                <w:sz w:val="20"/>
                <w:szCs w:val="20"/>
                <w:color w:val="auto"/>
              </w:rPr>
            </w:pPr>
          </w:p>
        </w:tc>
        <w:tc>
          <w:tcPr>
            <w:tcW w:w="280" w:type="dxa"/>
            <w:vAlign w:val="bottom"/>
            <w:shd w:val="clear" w:color="auto" w:fill="C6F4F9"/>
          </w:tcPr>
          <w:p>
            <w:pPr>
              <w:spacing w:after="0"/>
              <w:rPr>
                <w:sz w:val="20"/>
                <w:szCs w:val="20"/>
                <w:color w:val="auto"/>
              </w:rPr>
            </w:pPr>
          </w:p>
        </w:tc>
        <w:tc>
          <w:tcPr>
            <w:tcW w:w="110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75,786</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Net loss per share - basic and diluted (GAAP)</w:t>
            </w:r>
          </w:p>
        </w:tc>
        <w:tc>
          <w:tcPr>
            <w:tcW w:w="140" w:type="dxa"/>
            <w:vAlign w:val="bottom"/>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6F4F9"/>
          </w:tcPr>
          <w:p>
            <w:pPr>
              <w:spacing w:after="0"/>
              <w:rPr>
                <w:sz w:val="21"/>
                <w:szCs w:val="21"/>
                <w:color w:val="auto"/>
              </w:rPr>
            </w:pPr>
          </w:p>
        </w:tc>
        <w:tc>
          <w:tcPr>
            <w:tcW w:w="3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6F4F9"/>
          </w:tcPr>
          <w:p>
            <w:pPr>
              <w:spacing w:after="0"/>
              <w:rPr>
                <w:sz w:val="21"/>
                <w:szCs w:val="21"/>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6F4F9"/>
          </w:tcPr>
          <w:p>
            <w:pPr>
              <w:spacing w:after="0"/>
              <w:rPr>
                <w:sz w:val="21"/>
                <w:szCs w:val="21"/>
                <w:color w:val="auto"/>
              </w:rPr>
            </w:pPr>
          </w:p>
        </w:tc>
        <w:tc>
          <w:tcPr>
            <w:tcW w:w="300" w:type="dxa"/>
            <w:vAlign w:val="bottom"/>
            <w:gridSpan w:val="2"/>
            <w:shd w:val="clear" w:color="auto" w:fill="C6F4F9"/>
          </w:tcPr>
          <w:p>
            <w:pPr>
              <w:jc w:val="right"/>
              <w:ind w:right="12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380" w:type="dxa"/>
            <w:vAlign w:val="bottom"/>
            <w:tcBorders>
              <w:top w:val="single" w:sz="8" w:color="C6F4F9"/>
              <w:bottom w:val="single" w:sz="8" w:color="C6F4F9"/>
            </w:tcBorders>
            <w:vMerge w:val="restart"/>
          </w:tcPr>
          <w:p>
            <w:pPr>
              <w:spacing w:after="0"/>
              <w:rPr>
                <w:sz w:val="20"/>
                <w:szCs w:val="20"/>
                <w:color w:val="auto"/>
              </w:rPr>
            </w:pPr>
            <w:r>
              <w:rPr>
                <w:rFonts w:ascii="Arial" w:cs="Arial" w:eastAsia="Arial" w:hAnsi="Arial"/>
                <w:sz w:val="18"/>
                <w:szCs w:val="18"/>
                <w:color w:val="auto"/>
              </w:rPr>
              <w:t>Net loss per share - basic and diluted (Non-GAAP)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6F4F9"/>
              <w:bottom w:val="single" w:sz="8" w:color="C6F4F9"/>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6F4F9"/>
              <w:bottom w:val="single" w:sz="8" w:color="C6F4F9"/>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6F4F9"/>
              <w:bottom w:val="single" w:sz="8" w:color="C6F4F9"/>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6F4F9"/>
              <w:bottom w:val="single" w:sz="8" w:color="C6F4F9"/>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vMerge w:val="restart"/>
          </w:tcPr>
          <w:p>
            <w:pPr>
              <w:spacing w:after="0" w:line="20" w:lineRule="exact"/>
              <w:rPr>
                <w:sz w:val="1"/>
                <w:szCs w:val="1"/>
                <w:color w:val="auto"/>
              </w:rPr>
            </w:pPr>
          </w:p>
        </w:tc>
        <w:tc>
          <w:tcPr>
            <w:tcW w:w="20" w:type="dxa"/>
            <w:vAlign w:val="bottom"/>
            <w:tcBorders>
              <w:top w:val="single" w:sz="8" w:color="C6F4F9"/>
              <w:bottom w:val="single" w:sz="8" w:color="C6F4F9"/>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6F4F9"/>
              <w:bottom w:val="single" w:sz="8" w:color="C6F4F9"/>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0140" w:type="dxa"/>
            <w:vAlign w:val="bottom"/>
            <w:gridSpan w:val="15"/>
          </w:tcPr>
          <w:p>
            <w:pPr>
              <w:ind w:left="1340"/>
              <w:spacing w:after="0"/>
              <w:rPr>
                <w:sz w:val="20"/>
                <w:szCs w:val="20"/>
                <w:color w:val="auto"/>
              </w:rPr>
            </w:pPr>
            <w:r>
              <w:rPr>
                <w:rFonts w:ascii="Arial" w:cs="Arial" w:eastAsia="Arial" w:hAnsi="Arial"/>
                <w:sz w:val="18"/>
                <w:szCs w:val="18"/>
                <w:b w:val="1"/>
                <w:bCs w:val="1"/>
                <w:color w:val="auto"/>
              </w:rPr>
              <w:t>ITEMIZED RECONCILIATION BETWEEN GAAP AND NON-GAAP PRODUCT AND SERVICE MARGIN</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 December</w:t>
            </w:r>
          </w:p>
        </w:tc>
        <w:tc>
          <w:tcPr>
            <w:tcW w:w="100" w:type="dxa"/>
            <w:vAlign w:val="bottom"/>
          </w:tcPr>
          <w:p>
            <w:pPr>
              <w:spacing w:after="0"/>
              <w:rPr>
                <w:sz w:val="24"/>
                <w:szCs w:val="24"/>
                <w:color w:val="auto"/>
              </w:rPr>
            </w:pPr>
          </w:p>
        </w:tc>
        <w:tc>
          <w:tcPr>
            <w:tcW w:w="2780" w:type="dxa"/>
            <w:vAlign w:val="bottom"/>
            <w:gridSpan w:val="7"/>
          </w:tcPr>
          <w:p>
            <w:pPr>
              <w:jc w:val="right"/>
              <w:ind w:right="121"/>
              <w:spacing w:after="0"/>
              <w:rPr>
                <w:sz w:val="20"/>
                <w:szCs w:val="20"/>
                <w:color w:val="auto"/>
              </w:rPr>
            </w:pPr>
            <w:r>
              <w:rPr>
                <w:rFonts w:ascii="Arial" w:cs="Arial" w:eastAsia="Arial" w:hAnsi="Arial"/>
                <w:sz w:val="18"/>
                <w:szCs w:val="18"/>
                <w:b w:val="1"/>
                <w:bCs w:val="1"/>
                <w:color w:val="auto"/>
                <w:w w:val="91"/>
              </w:rPr>
              <w:t>Twelve Months Ended December</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6F4F9"/>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6F4F9"/>
            </w:tcBorders>
          </w:tcPr>
          <w:p>
            <w:pPr>
              <w:spacing w:after="0"/>
              <w:rPr>
                <w:sz w:val="19"/>
                <w:szCs w:val="19"/>
                <w:color w:val="auto"/>
              </w:rPr>
            </w:pPr>
          </w:p>
        </w:tc>
        <w:tc>
          <w:tcPr>
            <w:tcW w:w="100" w:type="dxa"/>
            <w:vAlign w:val="bottom"/>
            <w:tcBorders>
              <w:bottom w:val="single" w:sz="8" w:color="C6F4F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6F4F9"/>
            </w:tcBorders>
          </w:tcPr>
          <w:p>
            <w:pPr>
              <w:spacing w:after="0"/>
              <w:rPr>
                <w:sz w:val="19"/>
                <w:szCs w:val="19"/>
                <w:color w:val="auto"/>
              </w:rPr>
            </w:pPr>
          </w:p>
        </w:tc>
        <w:tc>
          <w:tcPr>
            <w:tcW w:w="120" w:type="dxa"/>
            <w:vAlign w:val="bottom"/>
            <w:tcBorders>
              <w:bottom w:val="single" w:sz="8" w:color="C6F4F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6F4F9"/>
            </w:tcBorders>
          </w:tcPr>
          <w:p>
            <w:pPr>
              <w:spacing w:after="0"/>
              <w:rPr>
                <w:sz w:val="19"/>
                <w:szCs w:val="19"/>
                <w:color w:val="auto"/>
              </w:rPr>
            </w:pPr>
          </w:p>
        </w:tc>
        <w:tc>
          <w:tcPr>
            <w:tcW w:w="100" w:type="dxa"/>
            <w:vAlign w:val="bottom"/>
            <w:tcBorders>
              <w:bottom w:val="single" w:sz="8" w:color="C6F4F9"/>
            </w:tcBorders>
          </w:tcPr>
          <w:p>
            <w:pPr>
              <w:spacing w:after="0"/>
              <w:rPr>
                <w:sz w:val="19"/>
                <w:szCs w:val="19"/>
                <w:color w:val="auto"/>
              </w:rPr>
            </w:pPr>
          </w:p>
        </w:tc>
        <w:tc>
          <w:tcPr>
            <w:tcW w:w="20" w:type="dxa"/>
            <w:vAlign w:val="bottom"/>
            <w:tcBorders>
              <w:bottom w:val="single" w:sz="8" w:color="C6F4F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Product and service gross profit (GAAP)</w:t>
            </w:r>
          </w:p>
        </w:tc>
        <w:tc>
          <w:tcPr>
            <w:tcW w:w="140" w:type="dxa"/>
            <w:vAlign w:val="bottom"/>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10,970</w:t>
            </w:r>
          </w:p>
        </w:tc>
        <w:tc>
          <w:tcPr>
            <w:tcW w:w="1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20,049</w:t>
            </w:r>
          </w:p>
        </w:tc>
        <w:tc>
          <w:tcPr>
            <w:tcW w:w="16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35,269</w:t>
            </w:r>
          </w:p>
        </w:tc>
        <w:tc>
          <w:tcPr>
            <w:tcW w:w="16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65,085</w:t>
            </w:r>
          </w:p>
        </w:tc>
        <w:tc>
          <w:tcPr>
            <w:tcW w:w="16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Amortization of developed technology (a)</w:t>
            </w:r>
          </w:p>
        </w:tc>
        <w:tc>
          <w:tcPr>
            <w:tcW w:w="1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Depreciation and amortization (e)</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ind w:right="81"/>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Stock-based compensation expense (e)</w:t>
            </w:r>
          </w:p>
        </w:tc>
        <w:tc>
          <w:tcPr>
            <w:tcW w:w="14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38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Product and service gross profit (Non-GAAP)</w:t>
            </w:r>
          </w:p>
        </w:tc>
        <w:tc>
          <w:tcPr>
            <w:tcW w:w="1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14,200</w:t>
            </w:r>
          </w:p>
        </w:tc>
        <w:tc>
          <w:tcPr>
            <w:tcW w:w="16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300" w:type="dxa"/>
            <w:vAlign w:val="bottom"/>
            <w:tcBorders>
              <w:top w:val="single" w:sz="8" w:color="auto"/>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23,521</w:t>
            </w:r>
          </w:p>
        </w:tc>
        <w:tc>
          <w:tcPr>
            <w:tcW w:w="160" w:type="dxa"/>
            <w:vAlign w:val="bottom"/>
            <w:tcBorders>
              <w:top w:val="single" w:sz="8" w:color="C6F4F9"/>
              <w:bottom w:val="single" w:sz="8" w:color="C6F4F9"/>
            </w:tcBorders>
            <w:shd w:val="clear" w:color="auto" w:fill="C6F4F9"/>
          </w:tcPr>
          <w:p>
            <w:pPr>
              <w:spacing w:after="0"/>
              <w:rPr>
                <w:sz w:val="19"/>
                <w:szCs w:val="19"/>
                <w:color w:val="auto"/>
              </w:rPr>
            </w:pP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48,314</w:t>
            </w:r>
          </w:p>
        </w:tc>
        <w:tc>
          <w:tcPr>
            <w:tcW w:w="16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20" w:type="dxa"/>
            <w:vAlign w:val="bottom"/>
            <w:tcBorders>
              <w:top w:val="single" w:sz="8" w:color="C6F4F9"/>
              <w:bottom w:val="single" w:sz="8" w:color="C6F4F9"/>
            </w:tcBorders>
            <w:shd w:val="clear" w:color="auto" w:fill="C6F4F9"/>
          </w:tcPr>
          <w:p>
            <w:pPr>
              <w:spacing w:after="0"/>
              <w:rPr>
                <w:sz w:val="19"/>
                <w:szCs w:val="19"/>
                <w:color w:val="auto"/>
              </w:rPr>
            </w:pPr>
          </w:p>
        </w:tc>
        <w:tc>
          <w:tcPr>
            <w:tcW w:w="280" w:type="dxa"/>
            <w:vAlign w:val="bottom"/>
            <w:tcBorders>
              <w:top w:val="single" w:sz="8" w:color="auto"/>
              <w:bottom w:val="single" w:sz="8" w:color="auto"/>
            </w:tcBorders>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78,532</w:t>
            </w:r>
          </w:p>
        </w:tc>
        <w:tc>
          <w:tcPr>
            <w:tcW w:w="160" w:type="dxa"/>
            <w:vAlign w:val="bottom"/>
            <w:tcBorders>
              <w:top w:val="single" w:sz="8" w:color="C6F4F9"/>
              <w:bottom w:val="single" w:sz="8" w:color="C6F4F9"/>
            </w:tcBorders>
            <w:shd w:val="clear" w:color="auto" w:fill="C6F4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6F4F9"/>
          </w:tcPr>
          <w:p>
            <w:pPr>
              <w:spacing w:after="0"/>
              <w:rPr>
                <w:sz w:val="20"/>
                <w:szCs w:val="20"/>
                <w:color w:val="auto"/>
              </w:rPr>
            </w:pPr>
            <w:r>
              <w:rPr>
                <w:rFonts w:ascii="Arial" w:cs="Arial" w:eastAsia="Arial" w:hAnsi="Arial"/>
                <w:sz w:val="18"/>
                <w:szCs w:val="18"/>
                <w:color w:val="auto"/>
              </w:rPr>
              <w:t>Product and service margin percentage (GAAP)</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8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0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Product and service margin percentage (Non-GAAP)</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749"/>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12"/>
          </w:tcPr>
          <w:p>
            <w:pPr>
              <w:jc w:val="center"/>
              <w:ind w:left="135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center"/>
              <w:ind w:right="21"/>
              <w:spacing w:after="0"/>
              <w:rPr>
                <w:sz w:val="20"/>
                <w:szCs w:val="20"/>
                <w:color w:val="auto"/>
              </w:rPr>
            </w:pPr>
            <w:r>
              <w:rPr>
                <w:rFonts w:ascii="Arial" w:cs="Arial" w:eastAsia="Arial" w:hAnsi="Arial"/>
                <w:sz w:val="18"/>
                <w:szCs w:val="18"/>
                <w:b w:val="1"/>
                <w:bCs w:val="1"/>
                <w:color w:val="auto"/>
                <w:w w:val="90"/>
              </w:rPr>
              <w:t>Twelve Months Ended December</w:t>
            </w:r>
          </w:p>
        </w:tc>
      </w:tr>
      <w:tr>
        <w:trPr>
          <w:trHeight w:val="234"/>
        </w:trPr>
        <w:tc>
          <w:tcPr>
            <w:tcW w:w="5520" w:type="dxa"/>
            <w:vAlign w:val="bottom"/>
          </w:tcPr>
          <w:p>
            <w:pPr>
              <w:spacing w:after="0"/>
              <w:rPr>
                <w:sz w:val="20"/>
                <w:szCs w:val="20"/>
                <w:color w:val="auto"/>
              </w:rPr>
            </w:pPr>
          </w:p>
        </w:tc>
        <w:tc>
          <w:tcPr>
            <w:tcW w:w="29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Three Months Ended December 31,</w:t>
            </w:r>
          </w:p>
        </w:tc>
        <w:tc>
          <w:tcPr>
            <w:tcW w:w="100" w:type="dxa"/>
            <w:vAlign w:val="bottom"/>
          </w:tcPr>
          <w:p>
            <w:pPr>
              <w:spacing w:after="0"/>
              <w:rPr>
                <w:sz w:val="20"/>
                <w:szCs w:val="20"/>
                <w:color w:val="auto"/>
              </w:rPr>
            </w:pPr>
          </w:p>
        </w:tc>
        <w:tc>
          <w:tcPr>
            <w:tcW w:w="164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C6F4F9"/>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6F4F9"/>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6F4F9"/>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6F4F9"/>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r>
      <w:tr>
        <w:trPr>
          <w:trHeight w:val="209"/>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Operating expenses (GAAP)</w:t>
            </w:r>
          </w:p>
        </w:tc>
        <w:tc>
          <w:tcPr>
            <w:tcW w:w="140" w:type="dxa"/>
            <w:vAlign w:val="bottom"/>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32,279</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31,501</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153,256</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136,832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Stock-based compensation expense (f)</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(15,504)</w:t>
            </w:r>
          </w:p>
        </w:tc>
      </w:tr>
      <w:tr>
        <w:trPr>
          <w:trHeight w:val="216"/>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Depreciation and amortization (f)</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(2,720)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Impairment of intangible (c)</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Loss on disposal of property and equipment (f)</w:t>
            </w:r>
          </w:p>
        </w:tc>
        <w:tc>
          <w:tcPr>
            <w:tcW w:w="14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6F4F9"/>
          </w:tcPr>
          <w:p>
            <w:pPr>
              <w:spacing w:after="0"/>
              <w:rPr>
                <w:sz w:val="19"/>
                <w:szCs w:val="19"/>
                <w:color w:val="auto"/>
              </w:rPr>
            </w:pPr>
          </w:p>
        </w:tc>
        <w:tc>
          <w:tcPr>
            <w:tcW w:w="280" w:type="dxa"/>
            <w:vAlign w:val="bottom"/>
            <w:shd w:val="clear" w:color="auto" w:fill="C6F4F9"/>
          </w:tcPr>
          <w:p>
            <w:pPr>
              <w:spacing w:after="0"/>
              <w:rPr>
                <w:sz w:val="19"/>
                <w:szCs w:val="19"/>
                <w:color w:val="auto"/>
              </w:rPr>
            </w:pPr>
          </w:p>
        </w:tc>
        <w:tc>
          <w:tcPr>
            <w:tcW w:w="10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6F4F9"/>
          </w:tcPr>
          <w:p>
            <w:pPr>
              <w:spacing w:after="0"/>
              <w:rPr>
                <w:sz w:val="19"/>
                <w:szCs w:val="19"/>
                <w:color w:val="auto"/>
              </w:rPr>
            </w:pPr>
          </w:p>
        </w:tc>
        <w:tc>
          <w:tcPr>
            <w:tcW w:w="100" w:type="dxa"/>
            <w:vAlign w:val="bottom"/>
            <w:shd w:val="clear" w:color="auto" w:fill="C6F4F9"/>
          </w:tcPr>
          <w:p>
            <w:pPr>
              <w:spacing w:after="0"/>
              <w:rPr>
                <w:sz w:val="19"/>
                <w:szCs w:val="19"/>
                <w:color w:val="auto"/>
              </w:rPr>
            </w:pPr>
          </w:p>
        </w:tc>
        <w:tc>
          <w:tcPr>
            <w:tcW w:w="12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Operating expenses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118,596</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9800" w:type="dxa"/>
            <w:vAlign w:val="bottom"/>
            <w:gridSpan w:val="12"/>
          </w:tcPr>
          <w:p>
            <w:pPr>
              <w:jc w:val="center"/>
              <w:ind w:left="1370"/>
              <w:spacing w:after="0"/>
              <w:rPr>
                <w:sz w:val="20"/>
                <w:szCs w:val="20"/>
                <w:color w:val="auto"/>
              </w:rPr>
            </w:pPr>
            <w:r>
              <w:rPr>
                <w:rFonts w:ascii="Arial" w:cs="Arial" w:eastAsia="Arial" w:hAnsi="Arial"/>
                <w:sz w:val="18"/>
                <w:szCs w:val="18"/>
                <w:b w:val="1"/>
                <w:bCs w:val="1"/>
                <w:color w:val="auto"/>
              </w:rPr>
              <w:t>ITEMIZED RECONCILIATION BETWEEN GAAP AND NON-GAAP LOSS FROM OPERATIONS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Three Months Ended December</w:t>
            </w:r>
          </w:p>
        </w:tc>
        <w:tc>
          <w:tcPr>
            <w:tcW w:w="100" w:type="dxa"/>
            <w:vAlign w:val="bottom"/>
          </w:tcPr>
          <w:p>
            <w:pPr>
              <w:spacing w:after="0"/>
              <w:rPr>
                <w:sz w:val="24"/>
                <w:szCs w:val="24"/>
                <w:color w:val="auto"/>
              </w:rPr>
            </w:pPr>
          </w:p>
        </w:tc>
        <w:tc>
          <w:tcPr>
            <w:tcW w:w="2680" w:type="dxa"/>
            <w:vAlign w:val="bottom"/>
            <w:gridSpan w:val="6"/>
          </w:tcPr>
          <w:p>
            <w:pPr>
              <w:jc w:val="center"/>
              <w:ind w:right="21"/>
              <w:spacing w:after="0"/>
              <w:rPr>
                <w:sz w:val="20"/>
                <w:szCs w:val="20"/>
                <w:color w:val="auto"/>
              </w:rPr>
            </w:pPr>
            <w:r>
              <w:rPr>
                <w:rFonts w:ascii="Arial" w:cs="Arial" w:eastAsia="Arial" w:hAnsi="Arial"/>
                <w:sz w:val="18"/>
                <w:szCs w:val="18"/>
                <w:b w:val="1"/>
                <w:bCs w:val="1"/>
                <w:color w:val="auto"/>
                <w:w w:val="90"/>
              </w:rPr>
              <w:t>Twelve Months Ended December</w:t>
            </w:r>
          </w:p>
        </w:tc>
      </w:tr>
      <w:tr>
        <w:trPr>
          <w:trHeight w:val="234"/>
        </w:trPr>
        <w:tc>
          <w:tcPr>
            <w:tcW w:w="5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C6F4F9"/>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6F4F9"/>
            </w:tcBorders>
          </w:tcPr>
          <w:p>
            <w:pPr>
              <w:spacing w:after="0"/>
              <w:rPr>
                <w:sz w:val="19"/>
                <w:szCs w:val="19"/>
                <w:color w:val="auto"/>
              </w:rPr>
            </w:pPr>
          </w:p>
        </w:tc>
        <w:tc>
          <w:tcPr>
            <w:tcW w:w="120" w:type="dxa"/>
            <w:vAlign w:val="bottom"/>
            <w:tcBorders>
              <w:bottom w:val="single" w:sz="8" w:color="C6F4F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6F4F9"/>
            </w:tcBorders>
          </w:tcPr>
          <w:p>
            <w:pPr>
              <w:spacing w:after="0"/>
              <w:rPr>
                <w:sz w:val="19"/>
                <w:szCs w:val="19"/>
                <w:color w:val="auto"/>
              </w:rPr>
            </w:pPr>
          </w:p>
        </w:tc>
        <w:tc>
          <w:tcPr>
            <w:tcW w:w="100" w:type="dxa"/>
            <w:vAlign w:val="bottom"/>
            <w:tcBorders>
              <w:bottom w:val="single" w:sz="8" w:color="C6F4F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6F4F9"/>
            </w:tcBorders>
          </w:tcPr>
          <w:p>
            <w:pPr>
              <w:spacing w:after="0"/>
              <w:rPr>
                <w:sz w:val="19"/>
                <w:szCs w:val="19"/>
                <w:color w:val="auto"/>
              </w:rPr>
            </w:pPr>
          </w:p>
        </w:tc>
        <w:tc>
          <w:tcPr>
            <w:tcW w:w="100" w:type="dxa"/>
            <w:vAlign w:val="bottom"/>
            <w:tcBorders>
              <w:bottom w:val="single" w:sz="8" w:color="C6F4F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6F4F9"/>
            </w:tcBorders>
          </w:tcPr>
          <w:p>
            <w:pPr>
              <w:spacing w:after="0"/>
              <w:rPr>
                <w:sz w:val="19"/>
                <w:szCs w:val="19"/>
                <w:color w:val="auto"/>
              </w:rPr>
            </w:pPr>
          </w:p>
        </w:tc>
      </w:tr>
      <w:tr>
        <w:trPr>
          <w:trHeight w:val="209"/>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Loss from operations (GAAP)</w:t>
            </w:r>
          </w:p>
        </w:tc>
        <w:tc>
          <w:tcPr>
            <w:tcW w:w="140" w:type="dxa"/>
            <w:vAlign w:val="bottom"/>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(21,112)</w:t>
            </w:r>
          </w:p>
        </w:tc>
        <w:tc>
          <w:tcPr>
            <w:tcW w:w="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(116,205)</w:t>
            </w:r>
          </w:p>
        </w:tc>
        <w:tc>
          <w:tcPr>
            <w:tcW w:w="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(67,459)</w:t>
            </w:r>
          </w:p>
        </w:tc>
        <w:tc>
          <w:tcPr>
            <w:tcW w:w="100" w:type="dxa"/>
            <w:vAlign w:val="bottom"/>
            <w:shd w:val="clear" w:color="auto" w:fill="C6F4F9"/>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16,101</w:t>
            </w:r>
          </w:p>
        </w:tc>
      </w:tr>
      <w:tr>
        <w:trPr>
          <w:trHeight w:val="216"/>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Amortization of developed technology (a)</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06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11,528</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11,918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Depreciation and amortization (f)</w:t>
            </w:r>
          </w:p>
        </w:tc>
        <w:tc>
          <w:tcPr>
            <w:tcW w:w="14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3,653</w:t>
            </w:r>
          </w:p>
        </w:tc>
      </w:tr>
      <w:tr>
        <w:trPr>
          <w:trHeight w:val="216"/>
        </w:trPr>
        <w:tc>
          <w:tcPr>
            <w:tcW w:w="5520" w:type="dxa"/>
            <w:vAlign w:val="bottom"/>
            <w:shd w:val="clear" w:color="auto" w:fill="C6F4F9"/>
          </w:tcPr>
          <w:p>
            <w:pPr>
              <w:spacing w:after="0"/>
              <w:rPr>
                <w:sz w:val="20"/>
                <w:szCs w:val="20"/>
                <w:color w:val="auto"/>
              </w:rPr>
            </w:pPr>
            <w:r>
              <w:rPr>
                <w:rFonts w:ascii="Arial" w:cs="Arial" w:eastAsia="Arial" w:hAnsi="Arial"/>
                <w:sz w:val="18"/>
                <w:szCs w:val="18"/>
                <w:color w:val="auto"/>
              </w:rPr>
              <w:t>Impairment of intangible (c)</w:t>
            </w:r>
          </w:p>
        </w:tc>
        <w:tc>
          <w:tcPr>
            <w:tcW w:w="14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6F4F9"/>
          </w:tcPr>
          <w:p>
            <w:pPr>
              <w:spacing w:after="0"/>
              <w:rPr>
                <w:sz w:val="18"/>
                <w:szCs w:val="18"/>
                <w:color w:val="auto"/>
              </w:rPr>
            </w:pPr>
          </w:p>
        </w:tc>
        <w:tc>
          <w:tcPr>
            <w:tcW w:w="280" w:type="dxa"/>
            <w:vAlign w:val="bottom"/>
            <w:shd w:val="clear" w:color="auto" w:fill="C6F4F9"/>
          </w:tcPr>
          <w:p>
            <w:pPr>
              <w:spacing w:after="0"/>
              <w:rPr>
                <w:sz w:val="18"/>
                <w:szCs w:val="18"/>
                <w:color w:val="auto"/>
              </w:rPr>
            </w:pPr>
          </w:p>
        </w:tc>
        <w:tc>
          <w:tcPr>
            <w:tcW w:w="1160" w:type="dxa"/>
            <w:vAlign w:val="bottom"/>
            <w:gridSpan w:val="3"/>
            <w:shd w:val="clear" w:color="auto" w:fill="C6F4F9"/>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6F4F9"/>
          </w:tcPr>
          <w:p>
            <w:pPr>
              <w:spacing w:after="0"/>
              <w:rPr>
                <w:sz w:val="18"/>
                <w:szCs w:val="18"/>
                <w:color w:val="auto"/>
              </w:rPr>
            </w:pPr>
          </w:p>
        </w:tc>
        <w:tc>
          <w:tcPr>
            <w:tcW w:w="1240" w:type="dxa"/>
            <w:vAlign w:val="bottom"/>
            <w:gridSpan w:val="2"/>
            <w:shd w:val="clear" w:color="auto" w:fill="C6F4F9"/>
          </w:tcPr>
          <w:p>
            <w:pPr>
              <w:jc w:val="right"/>
              <w:ind w:right="41"/>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Loss on disposal of property and equipment (f)</w:t>
            </w:r>
          </w:p>
        </w:tc>
        <w:tc>
          <w:tcPr>
            <w:tcW w:w="14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r>
      <w:tr>
        <w:trPr>
          <w:trHeight w:val="223"/>
        </w:trPr>
        <w:tc>
          <w:tcPr>
            <w:tcW w:w="552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Loss from operations (Non-GAAP)</w:t>
            </w:r>
          </w:p>
        </w:tc>
        <w:tc>
          <w:tcPr>
            <w:tcW w:w="1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(15,712</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280" w:type="dxa"/>
            <w:vAlign w:val="bottom"/>
            <w:tcBorders>
              <w:top w:val="single" w:sz="8" w:color="auto"/>
              <w:bottom w:val="single" w:sz="8" w:color="auto"/>
            </w:tcBorders>
            <w:shd w:val="clear" w:color="auto" w:fill="C6F4F9"/>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10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(82,460</w:t>
            </w:r>
          </w:p>
        </w:tc>
        <w:tc>
          <w:tcPr>
            <w:tcW w:w="12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6F4F9"/>
              <w:bottom w:val="single" w:sz="8" w:color="C6F4F9"/>
            </w:tcBorders>
            <w:shd w:val="clear" w:color="auto" w:fill="C6F4F9"/>
          </w:tcPr>
          <w:p>
            <w:pPr>
              <w:spacing w:after="0"/>
              <w:rPr>
                <w:sz w:val="19"/>
                <w:szCs w:val="19"/>
                <w:color w:val="auto"/>
              </w:rPr>
            </w:pPr>
          </w:p>
        </w:tc>
        <w:tc>
          <w:tcPr>
            <w:tcW w:w="300" w:type="dxa"/>
            <w:vAlign w:val="bottom"/>
            <w:tcBorders>
              <w:top w:val="single" w:sz="8" w:color="auto"/>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(35,775</w:t>
            </w:r>
          </w:p>
        </w:tc>
        <w:tc>
          <w:tcPr>
            <w:tcW w:w="10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amortization of developed technology in connection with the DVS and InstruNor acquisitions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interest expense, primarily on convertible debt and the term loan</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impairment of intangible no longer used in our product lines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tax impact on the purchase of intangible assets in connection with the DVS acquisition</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 associated with cost of product and service revenue</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 associated with research and development, selling, general and administrative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2023-02-14T15:53:14Z</dcterms:created>
  <dcterms:modified xsi:type="dcterms:W3CDTF">2023-02-14T15:53:14Z</dcterms:modified>
</cp:coreProperties>
</file>