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VIKING GLOBAL</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660" w:type="dxa"/>
            <w:vAlign w:val="bottom"/>
            <w:tcBorders>
              <w:top w:val="single" w:sz="8" w:color="0000EE"/>
              <w:bottom w:val="single" w:sz="8" w:color="0000EE"/>
            </w:tcBorders>
          </w:tcPr>
          <w:p>
            <w:pPr>
              <w:spacing w:after="0" w:line="250" w:lineRule="exact"/>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INVESTORS LP</w:t>
              </w:r>
            </w:hyperlink>
          </w:p>
        </w:tc>
        <w:tc>
          <w:tcPr>
            <w:tcW w:w="220" w:type="dxa"/>
            <w:vAlign w:val="bottom"/>
            <w:tcBorders>
              <w:top w:val="single" w:sz="8" w:color="0000EE"/>
            </w:tcBorders>
          </w:tcPr>
          <w:p>
            <w:pPr>
              <w:spacing w:after="0"/>
              <w:rPr>
                <w:sz w:val="21"/>
                <w:szCs w:val="21"/>
                <w:color w:val="auto"/>
              </w:rPr>
            </w:pPr>
          </w:p>
        </w:tc>
        <w:tc>
          <w:tcPr>
            <w:tcW w:w="11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03/18/2024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STANDARD BIOTOOLS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LAB</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0"/>
          <w:szCs w:val="20"/>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31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600 WASHINGTON BLVD.</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FLOOR 11</w:t>
      </w:r>
    </w:p>
    <w:p>
      <w:pPr>
        <w:spacing w:after="0" w:line="32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STAMFORD CT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06901</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0"/>
          <w:szCs w:val="20"/>
          <w:color w:val="auto"/>
        </w:rPr>
      </w:pPr>
    </w:p>
    <w:p>
      <w:pPr>
        <w:ind w:left="451" w:right="32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55"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0" w:type="dxa"/>
            <w:vAlign w:val="bottom"/>
          </w:tcPr>
          <w:p>
            <w:pPr>
              <w:spacing w:after="0"/>
              <w:rPr>
                <w:sz w:val="24"/>
                <w:szCs w:val="24"/>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39,296,310</w:t>
            </w:r>
          </w:p>
        </w:tc>
        <w:tc>
          <w:tcPr>
            <w:tcW w:w="880" w:type="dxa"/>
            <w:vAlign w:val="bottom"/>
          </w:tcPr>
          <w:p>
            <w:pPr>
              <w:spacing w:after="0"/>
              <w:rPr>
                <w:sz w:val="24"/>
                <w:szCs w:val="24"/>
                <w:color w:val="auto"/>
              </w:rPr>
            </w:pPr>
          </w:p>
        </w:tc>
        <w:tc>
          <w:tcPr>
            <w:tcW w:w="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gridSpan w:val="4"/>
          </w:tcPr>
          <w:p>
            <w:pPr>
              <w:ind w:left="600"/>
              <w:spacing w:after="0" w:line="280" w:lineRule="exact"/>
              <w:rPr>
                <w:sz w:val="20"/>
                <w:szCs w:val="20"/>
                <w:color w:val="auto"/>
              </w:rPr>
            </w:pPr>
            <w:r>
              <w:rPr>
                <w:rFonts w:ascii="Times New Roman" w:cs="Times New Roman" w:eastAsia="Times New Roman" w:hAnsi="Times New Roman"/>
                <w:sz w:val="20"/>
                <w:szCs w:val="20"/>
                <w:color w:val="0000FF"/>
                <w:w w:val="98"/>
              </w:rPr>
              <w:t>See Explanation of Responses</w:t>
            </w:r>
            <w:r>
              <w:rPr>
                <w:rFonts w:ascii="Times New Roman" w:cs="Times New Roman" w:eastAsia="Times New Roman" w:hAnsi="Times New Roman"/>
                <w:sz w:val="25"/>
                <w:szCs w:val="25"/>
                <w:color w:val="008000"/>
                <w:w w:val="98"/>
                <w:vertAlign w:val="superscript"/>
              </w:rPr>
              <w:t>(1)(2)</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1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960" w:type="dxa"/>
            <w:vAlign w:val="bottom"/>
            <w:vMerge w:val="restart"/>
          </w:tcPr>
          <w:p>
            <w:pPr>
              <w:ind w:left="600"/>
              <w:spacing w:after="0"/>
              <w:rPr>
                <w:sz w:val="20"/>
                <w:szCs w:val="20"/>
                <w:color w:val="auto"/>
              </w:rPr>
            </w:pPr>
            <w:r>
              <w:rPr>
                <w:rFonts w:ascii="Times New Roman" w:cs="Times New Roman" w:eastAsia="Times New Roman" w:hAnsi="Times New Roman"/>
                <w:sz w:val="13"/>
                <w:szCs w:val="13"/>
                <w:color w:val="008000"/>
              </w:rPr>
              <w:t>(3)(5)</w:t>
            </w:r>
          </w:p>
        </w:tc>
        <w:tc>
          <w:tcPr>
            <w:tcW w:w="9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360" w:type="dxa"/>
            <w:vAlign w:val="bottom"/>
            <w:tcBorders>
              <w:bottom w:val="single" w:sz="8" w:color="2C2C2C"/>
            </w:tcBorders>
            <w:gridSpan w:val="3"/>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19,354,860</w:t>
            </w:r>
          </w:p>
        </w:tc>
        <w:tc>
          <w:tcPr>
            <w:tcW w:w="880" w:type="dxa"/>
            <w:vAlign w:val="bottom"/>
          </w:tcPr>
          <w:p>
            <w:pPr>
              <w:spacing w:after="0"/>
              <w:rPr>
                <w:sz w:val="24"/>
                <w:szCs w:val="24"/>
                <w:color w:val="auto"/>
              </w:rPr>
            </w:pPr>
          </w:p>
        </w:tc>
        <w:tc>
          <w:tcPr>
            <w:tcW w:w="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gridSpan w:val="4"/>
          </w:tcPr>
          <w:p>
            <w:pPr>
              <w:ind w:left="600"/>
              <w:spacing w:after="0" w:line="280" w:lineRule="exact"/>
              <w:rPr>
                <w:sz w:val="20"/>
                <w:szCs w:val="20"/>
                <w:color w:val="auto"/>
              </w:rPr>
            </w:pPr>
            <w:r>
              <w:rPr>
                <w:rFonts w:ascii="Times New Roman" w:cs="Times New Roman" w:eastAsia="Times New Roman" w:hAnsi="Times New Roman"/>
                <w:sz w:val="20"/>
                <w:szCs w:val="20"/>
                <w:color w:val="0000FF"/>
                <w:w w:val="98"/>
              </w:rPr>
              <w:t>See Explanation of Responses</w:t>
            </w:r>
            <w:r>
              <w:rPr>
                <w:rFonts w:ascii="Times New Roman" w:cs="Times New Roman" w:eastAsia="Times New Roman" w:hAnsi="Times New Roman"/>
                <w:sz w:val="25"/>
                <w:szCs w:val="25"/>
                <w:color w:val="008000"/>
                <w:w w:val="98"/>
                <w:vertAlign w:val="superscript"/>
              </w:rPr>
              <w:t>(1)(2)</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1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960" w:type="dxa"/>
            <w:vAlign w:val="bottom"/>
            <w:vMerge w:val="restart"/>
          </w:tcPr>
          <w:p>
            <w:pPr>
              <w:ind w:left="600"/>
              <w:spacing w:after="0"/>
              <w:rPr>
                <w:sz w:val="20"/>
                <w:szCs w:val="20"/>
                <w:color w:val="auto"/>
              </w:rPr>
            </w:pPr>
            <w:r>
              <w:rPr>
                <w:rFonts w:ascii="Times New Roman" w:cs="Times New Roman" w:eastAsia="Times New Roman" w:hAnsi="Times New Roman"/>
                <w:sz w:val="13"/>
                <w:szCs w:val="13"/>
                <w:color w:val="008000"/>
              </w:rPr>
              <w:t>(4)(5)</w:t>
            </w:r>
          </w:p>
        </w:tc>
        <w:tc>
          <w:tcPr>
            <w:tcW w:w="9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160" w:type="dxa"/>
            <w:vAlign w:val="bottom"/>
            <w:tcBorders>
              <w:bottom w:val="single" w:sz="8" w:color="2C2C2C"/>
            </w:tcBorders>
            <w:gridSpan w:val="4"/>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80" w:type="dxa"/>
            <w:vAlign w:val="bottom"/>
            <w:tcBorders>
              <w:top w:val="single" w:sz="8" w:color="2C2C2C"/>
            </w:tcBorders>
            <w:gridSpan w:val="10"/>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740" w:type="dxa"/>
            <w:vAlign w:val="bottom"/>
            <w:gridSpan w:val="11"/>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6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880" w:type="dxa"/>
            <w:vAlign w:val="bottom"/>
            <w:vMerge w:val="restart"/>
          </w:tcPr>
          <w:p>
            <w:pPr>
              <w:ind w:left="30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5"/>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VIKING GLOBAL INVESTORS LP</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600" w:type="dxa"/>
            <w:vAlign w:val="bottom"/>
            <w:tcBorders>
              <w:top w:val="single" w:sz="8" w:color="0000EE"/>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600 WASHINGTON BLVD.</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FLOOR 11</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STAMFORD</w:t>
            </w:r>
          </w:p>
        </w:tc>
        <w:tc>
          <w:tcPr>
            <w:tcW w:w="13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CT</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06901</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gridSpan w:val="2"/>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Times New Roman" w:cs="Times New Roman" w:eastAsia="Times New Roman" w:hAnsi="Times New Roman"/>
          <w:sz w:val="24"/>
          <w:szCs w:val="24"/>
          <w:u w:val="single" w:color="auto"/>
          <w:color w:val="0000EE"/>
        </w:rPr>
      </w:pPr>
      <w:hyperlink r:id="rId12">
        <w:r>
          <w:rPr>
            <w:rFonts w:ascii="Times New Roman" w:cs="Times New Roman" w:eastAsia="Times New Roman" w:hAnsi="Times New Roman"/>
            <w:sz w:val="24"/>
            <w:szCs w:val="24"/>
            <w:u w:val="single" w:color="auto"/>
            <w:color w:val="0000EE"/>
          </w:rPr>
          <w:t>Viking Global Opportunities Parent GP</w:t>
        </w:r>
      </w:hyperlink>
    </w:p>
    <w:p>
      <w:pPr>
        <w:spacing w:after="0" w:line="1" w:lineRule="exact"/>
        <w:rPr>
          <w:sz w:val="20"/>
          <w:szCs w:val="20"/>
          <w:color w:val="auto"/>
        </w:rPr>
      </w:pPr>
    </w:p>
    <w:p>
      <w:pPr>
        <w:ind w:left="140"/>
        <w:spacing w:after="0"/>
        <w:rPr>
          <w:rFonts w:ascii="Times New Roman" w:cs="Times New Roman" w:eastAsia="Times New Roman" w:hAnsi="Times New Roman"/>
          <w:sz w:val="24"/>
          <w:szCs w:val="24"/>
          <w:u w:val="single" w:color="auto"/>
          <w:color w:val="0000EE"/>
        </w:rPr>
      </w:pPr>
      <w:hyperlink r:id="rId12">
        <w:r>
          <w:rPr>
            <w:rFonts w:ascii="Times New Roman" w:cs="Times New Roman" w:eastAsia="Times New Roman" w:hAnsi="Times New Roman"/>
            <w:sz w:val="24"/>
            <w:szCs w:val="24"/>
            <w:u w:val="single" w:color="auto"/>
            <w:color w:val="0000EE"/>
          </w:rPr>
          <w:t>LLC</w:t>
        </w:r>
      </w:hyperlink>
    </w:p>
    <w:p>
      <w:pPr>
        <w:spacing w:after="0" w:line="34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600 WASHINGTON BLVD.</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FLOOR 11</w:t>
      </w:r>
    </w:p>
    <w:p>
      <w:pPr>
        <w:sectPr>
          <w:pgSz w:w="11900" w:h="16838" w:orient="portrait"/>
          <w:cols w:equalWidth="0" w:num="1">
            <w:col w:w="10940"/>
          </w:cols>
          <w:pgMar w:left="480" w:top="230" w:right="479" w:bottom="0" w:gutter="0" w:footer="0" w:header="0"/>
          <w:type w:val="continuous"/>
        </w:sectPr>
      </w:pPr>
    </w:p>
    <w:p>
      <w:pPr>
        <w:spacing w:after="0" w:line="32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100" w:type="dxa"/>
        <w:tblCellMar>
          <w:top w:w="0" w:type="dxa"/>
          <w:left w:w="0" w:type="dxa"/>
          <w:bottom w:w="0" w:type="dxa"/>
          <w:right w:w="0" w:type="dxa"/>
        </w:tblCellMar>
      </w:tblPr>
      <w:tr>
        <w:trPr>
          <w:trHeight w:val="254"/>
        </w:trPr>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STAMFORD</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CT</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06901</w:t>
            </w:r>
          </w:p>
        </w:tc>
      </w:tr>
      <w:tr>
        <w:trPr>
          <w:trHeight w:val="177"/>
        </w:trPr>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-496570</wp:posOffset>
            </wp:positionV>
            <wp:extent cx="2798445" cy="1052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Viking Global Opportunities GP LLC</w:t>
        </w:r>
      </w:hyperlink>
    </w:p>
    <w:p>
      <w:pPr>
        <w:spacing w:after="0" w:line="34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600 WASHINGTON BLVD.</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FLOOR 11</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STAMFORD</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CT</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06901</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Viking Global Opportunities Portfolio GP</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LLC</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300" w:type="dxa"/>
            <w:vAlign w:val="bottom"/>
          </w:tcPr>
          <w:p>
            <w:pPr>
              <w:ind w:left="180"/>
              <w:spacing w:after="0"/>
              <w:rPr>
                <w:sz w:val="20"/>
                <w:szCs w:val="20"/>
                <w:color w:val="auto"/>
              </w:rPr>
            </w:pPr>
            <w:r>
              <w:rPr>
                <w:rFonts w:ascii="Arial" w:cs="Arial" w:eastAsia="Arial" w:hAnsi="Arial"/>
                <w:sz w:val="15"/>
                <w:szCs w:val="15"/>
                <w:color w:val="auto"/>
              </w:rPr>
              <w:t>(First)</w:t>
            </w:r>
          </w:p>
        </w:tc>
        <w:tc>
          <w:tcPr>
            <w:tcW w:w="1600" w:type="dxa"/>
            <w:vAlign w:val="bottom"/>
          </w:tcPr>
          <w:p>
            <w:pPr>
              <w:ind w:left="2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600 WASHINGTON BLVD.</w:t>
            </w:r>
          </w:p>
        </w:tc>
        <w:tc>
          <w:tcPr>
            <w:tcW w:w="160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FLOOR 11</w:t>
            </w: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r>
      <w:tr>
        <w:trPr>
          <w:trHeight w:val="303"/>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STAMFORD</w:t>
            </w:r>
          </w:p>
        </w:tc>
        <w:tc>
          <w:tcPr>
            <w:tcW w:w="13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CT</w:t>
            </w:r>
          </w:p>
        </w:tc>
        <w:tc>
          <w:tcPr>
            <w:tcW w:w="160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06901</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300" w:type="dxa"/>
            <w:vAlign w:val="bottom"/>
          </w:tcPr>
          <w:p>
            <w:pPr>
              <w:ind w:left="180"/>
              <w:spacing w:after="0"/>
              <w:rPr>
                <w:sz w:val="20"/>
                <w:szCs w:val="20"/>
                <w:color w:val="auto"/>
              </w:rPr>
            </w:pPr>
            <w:r>
              <w:rPr>
                <w:rFonts w:ascii="Arial" w:cs="Arial" w:eastAsia="Arial" w:hAnsi="Arial"/>
                <w:sz w:val="15"/>
                <w:szCs w:val="15"/>
                <w:color w:val="auto"/>
              </w:rPr>
              <w:t>(State)</w:t>
            </w:r>
          </w:p>
        </w:tc>
        <w:tc>
          <w:tcPr>
            <w:tcW w:w="1600" w:type="dxa"/>
            <w:vAlign w:val="bottom"/>
          </w:tcPr>
          <w:p>
            <w:pPr>
              <w:ind w:left="2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Viking Global Opportunities Illiquid</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Investments Sub-Master LP</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300" w:type="dxa"/>
            <w:vAlign w:val="bottom"/>
          </w:tcPr>
          <w:p>
            <w:pPr>
              <w:ind w:left="180"/>
              <w:spacing w:after="0"/>
              <w:rPr>
                <w:sz w:val="20"/>
                <w:szCs w:val="20"/>
                <w:color w:val="auto"/>
              </w:rPr>
            </w:pPr>
            <w:r>
              <w:rPr>
                <w:rFonts w:ascii="Arial" w:cs="Arial" w:eastAsia="Arial" w:hAnsi="Arial"/>
                <w:sz w:val="15"/>
                <w:szCs w:val="15"/>
                <w:color w:val="auto"/>
              </w:rPr>
              <w:t>(First)</w:t>
            </w:r>
          </w:p>
        </w:tc>
        <w:tc>
          <w:tcPr>
            <w:tcW w:w="1600" w:type="dxa"/>
            <w:vAlign w:val="bottom"/>
          </w:tcPr>
          <w:p>
            <w:pPr>
              <w:ind w:left="2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600 WASHINGTON BLVD.</w:t>
            </w:r>
          </w:p>
        </w:tc>
        <w:tc>
          <w:tcPr>
            <w:tcW w:w="160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FLOOR 11</w:t>
            </w: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r>
      <w:tr>
        <w:trPr>
          <w:trHeight w:val="303"/>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STAMFORD</w:t>
            </w:r>
          </w:p>
        </w:tc>
        <w:tc>
          <w:tcPr>
            <w:tcW w:w="13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CT</w:t>
            </w:r>
          </w:p>
        </w:tc>
        <w:tc>
          <w:tcPr>
            <w:tcW w:w="160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06901</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300" w:type="dxa"/>
            <w:vAlign w:val="bottom"/>
          </w:tcPr>
          <w:p>
            <w:pPr>
              <w:ind w:left="180"/>
              <w:spacing w:after="0"/>
              <w:rPr>
                <w:sz w:val="20"/>
                <w:szCs w:val="20"/>
                <w:color w:val="auto"/>
              </w:rPr>
            </w:pPr>
            <w:r>
              <w:rPr>
                <w:rFonts w:ascii="Arial" w:cs="Arial" w:eastAsia="Arial" w:hAnsi="Arial"/>
                <w:sz w:val="15"/>
                <w:szCs w:val="15"/>
                <w:color w:val="auto"/>
              </w:rPr>
              <w:t>(State)</w:t>
            </w:r>
          </w:p>
        </w:tc>
        <w:tc>
          <w:tcPr>
            <w:tcW w:w="1600" w:type="dxa"/>
            <w:vAlign w:val="bottom"/>
          </w:tcPr>
          <w:p>
            <w:pPr>
              <w:ind w:left="2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7">
        <w:r>
          <w:rPr>
            <w:rFonts w:ascii="Times New Roman" w:cs="Times New Roman" w:eastAsia="Times New Roman" w:hAnsi="Times New Roman"/>
            <w:sz w:val="24"/>
            <w:szCs w:val="24"/>
            <w:u w:val="single" w:color="auto"/>
            <w:color w:val="0000EE"/>
          </w:rPr>
          <w:t>HALVORSEN OLE ANDREAS</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Arial" w:cs="Arial" w:eastAsia="Arial" w:hAnsi="Arial"/>
                <w:sz w:val="15"/>
                <w:szCs w:val="15"/>
                <w:color w:val="auto"/>
              </w:rPr>
              <w:t>(Last)</w:t>
            </w:r>
          </w:p>
        </w:tc>
        <w:tc>
          <w:tcPr>
            <w:tcW w:w="1200" w:type="dxa"/>
            <w:vAlign w:val="bottom"/>
          </w:tcPr>
          <w:p>
            <w:pPr>
              <w:ind w:left="80"/>
              <w:spacing w:after="0"/>
              <w:rPr>
                <w:sz w:val="20"/>
                <w:szCs w:val="20"/>
                <w:color w:val="auto"/>
              </w:rPr>
            </w:pPr>
            <w:r>
              <w:rPr>
                <w:rFonts w:ascii="Arial" w:cs="Arial" w:eastAsia="Arial" w:hAnsi="Arial"/>
                <w:sz w:val="15"/>
                <w:szCs w:val="15"/>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600 WASHINGTON BLVD.</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FLOOR 11</w:t>
            </w: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42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STAMFORD</w:t>
            </w:r>
          </w:p>
        </w:tc>
        <w:tc>
          <w:tcPr>
            <w:tcW w:w="12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CT</w:t>
            </w:r>
          </w:p>
        </w:tc>
        <w:tc>
          <w:tcPr>
            <w:tcW w:w="160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06901</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5"/>
                <w:szCs w:val="15"/>
                <w:color w:val="auto"/>
              </w:rPr>
              <w:t>(City)</w:t>
            </w:r>
          </w:p>
        </w:tc>
        <w:tc>
          <w:tcPr>
            <w:tcW w:w="1200" w:type="dxa"/>
            <w:vAlign w:val="bottom"/>
          </w:tcPr>
          <w:p>
            <w:pPr>
              <w:ind w:left="80"/>
              <w:spacing w:after="0"/>
              <w:rPr>
                <w:sz w:val="20"/>
                <w:szCs w:val="20"/>
                <w:color w:val="auto"/>
              </w:rPr>
            </w:pPr>
            <w:r>
              <w:rPr>
                <w:rFonts w:ascii="Arial" w:cs="Arial" w:eastAsia="Arial" w:hAnsi="Arial"/>
                <w:sz w:val="15"/>
                <w:szCs w:val="15"/>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2"/>
          </w:tcPr>
          <w:p>
            <w:pPr>
              <w:spacing w:after="0" w:line="255" w:lineRule="exact"/>
              <w:rPr>
                <w:rFonts w:ascii="Times New Roman" w:cs="Times New Roman" w:eastAsia="Times New Roman" w:hAnsi="Times New Roman"/>
                <w:sz w:val="24"/>
                <w:szCs w:val="24"/>
                <w:color w:val="0000EE"/>
              </w:rPr>
            </w:pPr>
            <w:hyperlink r:id="rId18">
              <w:r>
                <w:rPr>
                  <w:rFonts w:ascii="Times New Roman" w:cs="Times New Roman" w:eastAsia="Times New Roman" w:hAnsi="Times New Roman"/>
                  <w:sz w:val="24"/>
                  <w:szCs w:val="24"/>
                  <w:color w:val="0000EE"/>
                </w:rPr>
                <w:t>Ott David C.</w:t>
              </w:r>
            </w:hyperlink>
          </w:p>
        </w:tc>
        <w:tc>
          <w:tcPr>
            <w:tcW w:w="1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5"/>
                <w:szCs w:val="15"/>
                <w:color w:val="auto"/>
              </w:rPr>
              <w:t>(Last)</w:t>
            </w:r>
          </w:p>
        </w:tc>
        <w:tc>
          <w:tcPr>
            <w:tcW w:w="1200" w:type="dxa"/>
            <w:vAlign w:val="bottom"/>
          </w:tcPr>
          <w:p>
            <w:pPr>
              <w:ind w:left="80"/>
              <w:spacing w:after="0"/>
              <w:rPr>
                <w:sz w:val="20"/>
                <w:szCs w:val="20"/>
                <w:color w:val="auto"/>
              </w:rPr>
            </w:pPr>
            <w:r>
              <w:rPr>
                <w:rFonts w:ascii="Arial" w:cs="Arial" w:eastAsia="Arial" w:hAnsi="Arial"/>
                <w:sz w:val="15"/>
                <w:szCs w:val="15"/>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600 WASHINGTON BLVD.</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FLOOR 11</w:t>
      </w:r>
    </w:p>
    <w:p>
      <w:pPr>
        <w:sectPr>
          <w:pgSz w:w="11900" w:h="16838" w:orient="portrait"/>
          <w:cols w:equalWidth="0" w:num="1">
            <w:col w:w="9959"/>
          </w:cols>
          <w:pgMar w:left="500" w:top="124" w:right="1440" w:bottom="0" w:gutter="0" w:footer="0" w:header="0"/>
        </w:sectPr>
      </w:pPr>
    </w:p>
    <w:p>
      <w:pPr>
        <w:spacing w:after="0" w:line="326"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9959"/>
          </w:cols>
          <w:pgMar w:left="500" w:top="124"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54"/>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STAMFORD</w:t>
            </w: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0000FF"/>
              </w:rPr>
              <w:t>CT</w:t>
            </w:r>
          </w:p>
        </w:tc>
        <w:tc>
          <w:tcPr>
            <w:tcW w:w="160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06901</w:t>
            </w:r>
          </w:p>
        </w:tc>
        <w:tc>
          <w:tcPr>
            <w:tcW w:w="120" w:type="dxa"/>
            <w:vAlign w:val="bottom"/>
          </w:tcPr>
          <w:p>
            <w:pPr>
              <w:spacing w:after="0"/>
              <w:rPr>
                <w:sz w:val="22"/>
                <w:szCs w:val="22"/>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30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2"/>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00" w:type="dxa"/>
            <w:vAlign w:val="bottom"/>
            <w:gridSpan w:val="3"/>
          </w:tcPr>
          <w:p>
            <w:pPr>
              <w:spacing w:after="0" w:line="255" w:lineRule="exact"/>
              <w:rPr>
                <w:rFonts w:ascii="Times New Roman" w:cs="Times New Roman" w:eastAsia="Times New Roman" w:hAnsi="Times New Roman"/>
                <w:sz w:val="24"/>
                <w:szCs w:val="24"/>
                <w:color w:val="0000EE"/>
              </w:rPr>
            </w:pPr>
            <w:hyperlink r:id="rId19">
              <w:r>
                <w:rPr>
                  <w:rFonts w:ascii="Times New Roman" w:cs="Times New Roman" w:eastAsia="Times New Roman" w:hAnsi="Times New Roman"/>
                  <w:sz w:val="24"/>
                  <w:szCs w:val="24"/>
                  <w:color w:val="0000EE"/>
                </w:rPr>
                <w:t>Shabet Rose Sharon</w:t>
              </w:r>
            </w:hyperlink>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720" w:type="dxa"/>
            <w:vAlign w:val="bottom"/>
            <w:tcBorders>
              <w:top w:val="single" w:sz="8" w:color="0000EE"/>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30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600 WASHINGTON BLVD.</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FLOOR 11</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STAMFORD</w:t>
            </w: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0000FF"/>
              </w:rPr>
              <w:t>CT</w:t>
            </w:r>
          </w:p>
        </w:tc>
        <w:tc>
          <w:tcPr>
            <w:tcW w:w="160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06901</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30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-2507615</wp:posOffset>
            </wp:positionV>
            <wp:extent cx="2798445" cy="259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extLst>
                    </a:blip>
                    <a:srcRect/>
                    <a:stretch>
                      <a:fillRect/>
                    </a:stretch>
                  </pic:blipFill>
                  <pic:spPr bwMode="auto">
                    <a:xfrm>
                      <a:off x="0" y="0"/>
                      <a:ext cx="2798445" cy="2595245"/>
                    </a:xfrm>
                    <a:prstGeom prst="rect">
                      <a:avLst/>
                    </a:prstGeom>
                    <a:noFill/>
                  </pic:spPr>
                </pic:pic>
              </a:graphicData>
            </a:graphic>
          </wp:anchor>
        </w:drawing>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120" w:firstLine="5"/>
        <w:spacing w:after="0" w:line="236"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Andreas Halvorsen, David C. Ott and Rose S. Shabet are Executive Committee members of certain management entities, including Viking Global Partners LLC, the general partner of Viking Global Investors LP ("VGI"), and Viking Global Opportunities Parent GP LLC ("Opportunities Parent"), the sole member of Viking Global Opportunities GP LLC ("Opportunities GP"), the sole member of Viking Global Opportunities Portfolio GP LLC ("Opportunities Portfolio GP"), the general partner of Viking Global Opportunities Illiquid Investments Sub-Master LP ("Opportunities Fund"). Opportunities Parent is also the sole member of Viking Global Opportunities Drawdown GP LLC ("VGOD GP"), the sole member of Viking Global Opportunities Drawdown Portfolio GP LLC ("VGOD Portfolio GP"), the general partner of Viking Global Opportunities Drawdown (Aggregator) LP ("VGOD").</w:t>
      </w:r>
    </w:p>
    <w:p>
      <w:pPr>
        <w:spacing w:after="0" w:line="32" w:lineRule="exact"/>
        <w:rPr>
          <w:rFonts w:ascii="Times New Roman" w:cs="Times New Roman" w:eastAsia="Times New Roman" w:hAnsi="Times New Roman"/>
          <w:sz w:val="15"/>
          <w:szCs w:val="15"/>
          <w:color w:val="008000"/>
        </w:rPr>
      </w:pPr>
    </w:p>
    <w:p>
      <w:pPr>
        <w:ind w:left="20" w:right="600" w:firstLine="5"/>
        <w:spacing w:after="0" w:line="244"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VGI provides managerial services to various investment funds and vehicles, including Opportunities Fund and VGOD. VGI, Opportunities Parent, Opportunities GP, Opportunities Portfolio GP, Opportunities Fund, Mr. Halvorsen, Mr. Ott and Ms. Shabet are, collectively, the "Reporting Persons". Each of VGI, Opportunities Parent, Mr. Halvorsen, Mr. Ott and Ms. Shabet may be deemed to beneficially own all of the securities reported on this form.</w:t>
      </w:r>
    </w:p>
    <w:p>
      <w:pPr>
        <w:spacing w:after="0" w:line="29" w:lineRule="exact"/>
        <w:rPr>
          <w:rFonts w:ascii="Times New Roman" w:cs="Times New Roman" w:eastAsia="Times New Roman" w:hAnsi="Times New Roman"/>
          <w:sz w:val="15"/>
          <w:szCs w:val="15"/>
          <w:color w:val="008000"/>
        </w:rPr>
      </w:pPr>
    </w:p>
    <w:p>
      <w:pPr>
        <w:ind w:left="20" w:firstLine="5"/>
        <w:spacing w:after="0" w:line="244"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held directly by Opportunities Fund. Because of the relationship between Opportunities Portfolio GP, Opportunities GP, Opportunities Parent and Opportunities Fund, each of Opportunities Portfolio GP, Opportunities GP and Opportunities Parent may be deemed to beneficially own the securities held directly by Opportunities Fund.</w:t>
      </w:r>
    </w:p>
    <w:p>
      <w:pPr>
        <w:spacing w:after="0" w:line="29" w:lineRule="exact"/>
        <w:rPr>
          <w:rFonts w:ascii="Times New Roman" w:cs="Times New Roman" w:eastAsia="Times New Roman" w:hAnsi="Times New Roman"/>
          <w:sz w:val="15"/>
          <w:szCs w:val="15"/>
          <w:color w:val="008000"/>
        </w:rPr>
      </w:pPr>
    </w:p>
    <w:p>
      <w:pPr>
        <w:ind w:left="20" w:right="24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held directly by VGOD. Because of the relationship between VGOD Portfolio GP, VGOD GP, Opportunities Parent and VGOD, each of VGOD Portfolio GP, VGOD GP and Opportunities Parent may be deemed to beneficially own the securities held directly by VGOD.</w:t>
      </w:r>
    </w:p>
    <w:p>
      <w:pPr>
        <w:spacing w:after="0" w:line="17" w:lineRule="exact"/>
        <w:rPr>
          <w:rFonts w:ascii="Times New Roman" w:cs="Times New Roman" w:eastAsia="Times New Roman" w:hAnsi="Times New Roman"/>
          <w:sz w:val="15"/>
          <w:szCs w:val="15"/>
          <w:color w:val="008000"/>
        </w:rPr>
      </w:pPr>
    </w:p>
    <w:p>
      <w:pPr>
        <w:jc w:val="both"/>
        <w:ind w:left="20" w:right="80" w:firstLine="5"/>
        <w:spacing w:after="0" w:line="244"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Persons disclaim beneficial ownership of these securities except to the extent of their pecuniary interest therein, and the inclusion of these securities in this report shall not be deemed an admission of beneficial ownership of the reported securities for purposes of Section 16 of the Securities Exchange Act of 1934, as amended (the "Exchange Act"), or for any other purpose.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20" w:right="100" w:firstLine="5"/>
        <w:spacing w:after="0" w:line="237" w:lineRule="auto"/>
        <w:tabs>
          <w:tab w:leader="none" w:pos="233"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Persons are jointly filing this Form 3 pursuant to Rule 16a-3(j) under the Exchange Act. (7) Scott M. Hendler is signing on behalf of Mr. Halvorsen, Mr. Ott and Ms. Shabet, each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authorization and designation letters dated February 9, 2021, which were filed with the Securities and Exchange Commission on June 7, 2021.</w:t>
      </w:r>
    </w:p>
    <w:p>
      <w:pPr>
        <w:sectPr>
          <w:pgSz w:w="11900" w:h="16838" w:orient="portrait"/>
          <w:cols w:equalWidth="0" w:num="1">
            <w:col w:w="10860"/>
          </w:cols>
          <w:pgMar w:left="500" w:top="124" w:right="539" w:bottom="1440" w:gutter="0" w:footer="0" w:header="0"/>
        </w:sectPr>
      </w:pPr>
    </w:p>
    <w:p>
      <w:pPr>
        <w:spacing w:after="0" w:line="6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Scott M.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045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100457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signing on behalf of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4554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114554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Andreas Halvorsen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7254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272540"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Scott M.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0457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00457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signing on behalf of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2778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32778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C. Ott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62293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62293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Scott M.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0457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0457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signing on behalf of 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7317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27317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S. Shabet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78803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8803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26" w:lineRule="exact"/>
        <w:rPr>
          <w:sz w:val="20"/>
          <w:szCs w:val="20"/>
          <w:color w:val="auto"/>
        </w:rPr>
      </w:pPr>
    </w:p>
    <w:p>
      <w:pPr>
        <w:sectPr>
          <w:pgSz w:w="11900" w:h="16838" w:orient="portrait"/>
          <w:cols w:equalWidth="0" w:num="2">
            <w:col w:w="8640" w:space="100"/>
            <w:col w:w="2120"/>
          </w:cols>
          <w:pgMar w:left="500" w:top="124" w:right="539" w:bottom="1440" w:gutter="0" w:footer="0" w:header="0"/>
          <w:type w:val="continuous"/>
        </w:sect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180" w:firstLine="5"/>
        <w:spacing w:after="0" w:line="335" w:lineRule="auto"/>
        <w:tabs>
          <w:tab w:leader="none" w:pos="17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righ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4"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6"/>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10" Type="http://schemas.openxmlformats.org/officeDocument/2006/relationships/hyperlink" Target="http://www.sec.gov/cgi-bin/browse-edgar?action=getcompany&amp;CIK=0001103804" TargetMode="External"/><Relationship Id="rId11" Type="http://schemas.openxmlformats.org/officeDocument/2006/relationships/hyperlink" Target="http://www.sec.gov/cgi-bin/browse-edgar?action=getcompany&amp;CIK=0001162194" TargetMode="External"/><Relationship Id="rId12" Type="http://schemas.openxmlformats.org/officeDocument/2006/relationships/hyperlink" Target="http://www.sec.gov/cgi-bin/browse-edgar?action=getcompany&amp;CIK=0001886738" TargetMode="External"/><Relationship Id="rId14" Type="http://schemas.openxmlformats.org/officeDocument/2006/relationships/hyperlink" Target="http://www.sec.gov/cgi-bin/browse-edgar?action=getcompany&amp;CIK=0001629476" TargetMode="External"/><Relationship Id="rId15" Type="http://schemas.openxmlformats.org/officeDocument/2006/relationships/hyperlink" Target="http://www.sec.gov/cgi-bin/browse-edgar?action=getcompany&amp;CIK=0001629472" TargetMode="External"/><Relationship Id="rId16" Type="http://schemas.openxmlformats.org/officeDocument/2006/relationships/hyperlink" Target="http://www.sec.gov/cgi-bin/browse-edgar?action=getcompany&amp;CIK=0001629482" TargetMode="External"/><Relationship Id="rId17" Type="http://schemas.openxmlformats.org/officeDocument/2006/relationships/hyperlink" Target="http://www.sec.gov/cgi-bin/browse-edgar?action=getcompany&amp;CIK=0001133006" TargetMode="External"/><Relationship Id="rId18" Type="http://schemas.openxmlformats.org/officeDocument/2006/relationships/hyperlink" Target="http://www.sec.gov/cgi-bin/browse-edgar?action=getcompany&amp;CIK=0001621842" TargetMode="External"/><Relationship Id="rId19" Type="http://schemas.openxmlformats.org/officeDocument/2006/relationships/hyperlink" Target="http://www.sec.gov/cgi-bin/browse-edgar?action=getcompany&amp;CIK=00017113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2024-03-20T17:07:59Z</dcterms:created>
  <dcterms:modified xsi:type="dcterms:W3CDTF">2024-03-20T17:07:59Z</dcterms:modified>
</cp:coreProperties>
</file>