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tabs>
          <w:tab w:leader="none" w:pos="4940" w:val="left"/>
          <w:tab w:leader="none" w:pos="82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14</w:t>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019"/>
        <w:spacing w:after="0"/>
        <w:rPr>
          <w:sz w:val="20"/>
          <w:szCs w:val="20"/>
          <w:color w:val="auto"/>
        </w:rPr>
      </w:pPr>
      <w:r>
        <w:rPr>
          <w:rFonts w:ascii="Courier New" w:cs="Courier New" w:eastAsia="Courier New" w:hAnsi="Courier New"/>
          <w:sz w:val="18"/>
          <w:szCs w:val="18"/>
          <w:color w:val="auto"/>
        </w:rPr>
        <w:t>UNITED STATES</w:t>
      </w:r>
    </w:p>
    <w:p>
      <w:pPr>
        <w:spacing w:after="0" w:line="58" w:lineRule="exact"/>
        <w:rPr>
          <w:sz w:val="24"/>
          <w:szCs w:val="24"/>
          <w:color w:val="auto"/>
        </w:rPr>
      </w:pPr>
    </w:p>
    <w:p>
      <w:pPr>
        <w:jc w:val="center"/>
        <w:ind w:right="8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jc w:val="center"/>
        <w:ind w:right="959"/>
        <w:spacing w:after="0"/>
        <w:rPr>
          <w:sz w:val="20"/>
          <w:szCs w:val="20"/>
          <w:color w:val="auto"/>
        </w:rPr>
      </w:pPr>
      <w:r>
        <w:rPr>
          <w:rFonts w:ascii="Courier New" w:cs="Courier New" w:eastAsia="Courier New" w:hAnsi="Courier New"/>
          <w:sz w:val="18"/>
          <w:szCs w:val="18"/>
          <w:color w:val="auto"/>
        </w:rPr>
        <w:t>Washington, D.C. 20549</w:t>
      </w:r>
    </w:p>
    <w:p>
      <w:pPr>
        <w:spacing w:after="0" w:line="25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96" w:lineRule="exact"/>
        <w:rPr>
          <w:sz w:val="24"/>
          <w:szCs w:val="24"/>
          <w:color w:val="auto"/>
        </w:rPr>
      </w:pPr>
    </w:p>
    <w:p>
      <w:pPr>
        <w:jc w:val="center"/>
        <w:ind w:right="11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58" w:lineRule="exact"/>
        <w:rPr>
          <w:sz w:val="24"/>
          <w:szCs w:val="24"/>
          <w:color w:val="auto"/>
        </w:rPr>
      </w:pPr>
    </w:p>
    <w:p>
      <w:pPr>
        <w:jc w:val="center"/>
        <w:ind w:right="1319"/>
        <w:spacing w:after="0"/>
        <w:rPr>
          <w:sz w:val="20"/>
          <w:szCs w:val="20"/>
          <w:color w:val="auto"/>
        </w:rPr>
      </w:pPr>
      <w:r>
        <w:rPr>
          <w:rFonts w:ascii="Courier New" w:cs="Courier New" w:eastAsia="Courier New" w:hAnsi="Courier New"/>
          <w:sz w:val="18"/>
          <w:szCs w:val="18"/>
          <w:color w:val="auto"/>
        </w:rPr>
        <w:t>(Amendment No. 2)*</w:t>
      </w:r>
    </w:p>
    <w:p>
      <w:pPr>
        <w:spacing w:after="0" w:line="304" w:lineRule="exact"/>
        <w:rPr>
          <w:sz w:val="24"/>
          <w:szCs w:val="24"/>
          <w:color w:val="auto"/>
        </w:rPr>
      </w:pPr>
    </w:p>
    <w:p>
      <w:pPr>
        <w:jc w:val="center"/>
        <w:ind w:right="1299"/>
        <w:spacing w:after="0"/>
        <w:rPr>
          <w:sz w:val="20"/>
          <w:szCs w:val="20"/>
          <w:color w:val="auto"/>
        </w:rPr>
      </w:pPr>
      <w:r>
        <w:rPr>
          <w:rFonts w:ascii="Courier New" w:cs="Courier New" w:eastAsia="Courier New" w:hAnsi="Courier New"/>
          <w:sz w:val="18"/>
          <w:szCs w:val="18"/>
          <w:color w:val="auto"/>
        </w:rPr>
        <w:t>FLUIDIGM CORPORATION</w:t>
      </w:r>
    </w:p>
    <w:p>
      <w:pPr>
        <w:spacing w:after="0" w:line="44" w:lineRule="exact"/>
        <w:rPr>
          <w:sz w:val="24"/>
          <w:szCs w:val="24"/>
          <w:color w:val="auto"/>
        </w:rPr>
      </w:pPr>
    </w:p>
    <w:p>
      <w:pPr>
        <w:jc w:val="center"/>
        <w:ind w:right="131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26" w:lineRule="exact"/>
        <w:rPr>
          <w:sz w:val="24"/>
          <w:szCs w:val="24"/>
          <w:color w:val="auto"/>
        </w:rPr>
      </w:pPr>
    </w:p>
    <w:p>
      <w:pPr>
        <w:jc w:val="center"/>
        <w:ind w:right="1199"/>
        <w:spacing w:after="0"/>
        <w:rPr>
          <w:sz w:val="20"/>
          <w:szCs w:val="20"/>
          <w:color w:val="auto"/>
        </w:rPr>
      </w:pPr>
      <w:r>
        <w:rPr>
          <w:rFonts w:ascii="Courier New" w:cs="Courier New" w:eastAsia="Courier New" w:hAnsi="Courier New"/>
          <w:sz w:val="18"/>
          <w:szCs w:val="18"/>
          <w:color w:val="auto"/>
        </w:rPr>
        <w:t>Common Stock, $0.001 Par Value per Share</w:t>
      </w:r>
    </w:p>
    <w:p>
      <w:pPr>
        <w:spacing w:after="0" w:line="44"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(Title of Class of Securities)</w:t>
      </w:r>
    </w:p>
    <w:p>
      <w:pPr>
        <w:spacing w:after="0" w:line="291"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34385P108</w:t>
      </w:r>
    </w:p>
    <w:p>
      <w:pPr>
        <w:spacing w:after="0" w:line="58" w:lineRule="exact"/>
        <w:rPr>
          <w:sz w:val="24"/>
          <w:szCs w:val="24"/>
          <w:color w:val="auto"/>
        </w:rPr>
      </w:pPr>
    </w:p>
    <w:p>
      <w:pPr>
        <w:jc w:val="center"/>
        <w:ind w:right="1339"/>
        <w:spacing w:after="0"/>
        <w:rPr>
          <w:sz w:val="20"/>
          <w:szCs w:val="20"/>
          <w:color w:val="auto"/>
        </w:rPr>
      </w:pPr>
      <w:r>
        <w:rPr>
          <w:rFonts w:ascii="Courier New" w:cs="Courier New" w:eastAsia="Courier New" w:hAnsi="Courier New"/>
          <w:sz w:val="18"/>
          <w:szCs w:val="18"/>
          <w:color w:val="auto"/>
        </w:rPr>
        <w:t>(CUSIP Number)</w:t>
      </w:r>
    </w:p>
    <w:p>
      <w:pPr>
        <w:spacing w:after="0" w:line="358" w:lineRule="exact"/>
        <w:rPr>
          <w:sz w:val="24"/>
          <w:szCs w:val="24"/>
          <w:color w:val="auto"/>
        </w:rPr>
      </w:pPr>
    </w:p>
    <w:p>
      <w:pPr>
        <w:jc w:val="center"/>
        <w:ind w:right="1319"/>
        <w:spacing w:after="0"/>
        <w:rPr>
          <w:sz w:val="20"/>
          <w:szCs w:val="20"/>
          <w:color w:val="auto"/>
        </w:rPr>
      </w:pPr>
      <w:r>
        <w:rPr>
          <w:rFonts w:ascii="Courier New" w:cs="Courier New" w:eastAsia="Courier New" w:hAnsi="Courier New"/>
          <w:sz w:val="18"/>
          <w:szCs w:val="18"/>
          <w:color w:val="auto"/>
        </w:rPr>
        <w:t>December 31, 2015</w:t>
      </w:r>
    </w:p>
    <w:p>
      <w:pPr>
        <w:spacing w:after="0" w:line="107" w:lineRule="exact"/>
        <w:rPr>
          <w:sz w:val="24"/>
          <w:szCs w:val="24"/>
          <w:color w:val="auto"/>
        </w:rPr>
      </w:pPr>
    </w:p>
    <w:p>
      <w:pPr>
        <w:jc w:val="center"/>
        <w:ind w:right="111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 to designate the rule pursuant to which this Schedule is filed:</w:t>
      </w:r>
    </w:p>
    <w:p>
      <w:pPr>
        <w:spacing w:after="0" w:line="294" w:lineRule="exact"/>
        <w:rPr>
          <w:sz w:val="24"/>
          <w:szCs w:val="24"/>
          <w:color w:val="auto"/>
        </w:rPr>
      </w:pPr>
    </w:p>
    <w:p>
      <w:pPr>
        <w:jc w:val="both"/>
        <w:ind w:right="8259" w:firstLine="8"/>
        <w:spacing w:after="0" w:line="263" w:lineRule="exact"/>
        <w:tabs>
          <w:tab w:leader="none" w:pos="422"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1(c)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1(d)</w:t>
      </w:r>
    </w:p>
    <w:p>
      <w:pPr>
        <w:spacing w:after="0" w:line="62" w:lineRule="exact"/>
        <w:rPr>
          <w:sz w:val="24"/>
          <w:szCs w:val="24"/>
          <w:color w:val="auto"/>
        </w:rPr>
      </w:pPr>
    </w:p>
    <w:p>
      <w:pPr>
        <w:ind w:right="639"/>
        <w:spacing w:after="0" w:line="30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 w:lineRule="exact"/>
        <w:rPr>
          <w:sz w:val="24"/>
          <w:szCs w:val="24"/>
          <w:color w:val="auto"/>
        </w:rPr>
      </w:pPr>
    </w:p>
    <w:p>
      <w:pPr>
        <w:jc w:val="both"/>
        <w:ind w:right="839"/>
        <w:spacing w:after="0" w:line="30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227330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019"/>
          </w:cols>
          <w:pgMar w:left="440" w:top="714" w:right="1440" w:bottom="1440" w:gutter="0" w:footer="0" w:header="0"/>
        </w:sectPr>
      </w:pPr>
    </w:p>
    <w:bookmarkStart w:id="1" w:name="page2"/>
    <w:bookmarkEnd w:id="1"/>
    <w:p>
      <w:pPr>
        <w:ind w:left="292"/>
        <w:spacing w:after="0"/>
        <w:tabs>
          <w:tab w:leader="none" w:pos="5132" w:val="left"/>
          <w:tab w:leader="none" w:pos="8392"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14</w:t>
      </w:r>
    </w:p>
    <w:p>
      <w:pPr>
        <w:spacing w:after="0" w:line="377" w:lineRule="exact"/>
        <w:rPr>
          <w:sz w:val="20"/>
          <w:szCs w:val="20"/>
          <w:color w:val="auto"/>
        </w:rPr>
      </w:pPr>
    </w:p>
    <w:p>
      <w:pPr>
        <w:ind w:left="1092" w:right="6239" w:hanging="592"/>
        <w:spacing w:after="0" w:line="412" w:lineRule="auto"/>
        <w:tabs>
          <w:tab w:leader="none" w:pos="1124"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Franklin Resources, Inc.</w:t>
      </w:r>
    </w:p>
    <w:p>
      <w:pPr>
        <w:ind w:left="1132" w:hanging="632"/>
        <w:spacing w:after="0"/>
        <w:tabs>
          <w:tab w:leader="none" w:pos="11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1092"/>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512" w:hanging="412"/>
        <w:spacing w:after="0"/>
        <w:tabs>
          <w:tab w:leader="none" w:pos="1512"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01" w:lineRule="exact"/>
        <w:rPr>
          <w:rFonts w:ascii="Courier New" w:cs="Courier New" w:eastAsia="Courier New" w:hAnsi="Courier New"/>
          <w:sz w:val="18"/>
          <w:szCs w:val="18"/>
          <w:color w:val="auto"/>
        </w:rPr>
      </w:pPr>
    </w:p>
    <w:p>
      <w:pPr>
        <w:ind w:left="1132" w:hanging="632"/>
        <w:spacing w:after="0"/>
        <w:tabs>
          <w:tab w:leader="none" w:pos="11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1" w:lineRule="exact"/>
        <w:rPr>
          <w:rFonts w:ascii="Courier New" w:cs="Courier New" w:eastAsia="Courier New" w:hAnsi="Courier New"/>
          <w:sz w:val="18"/>
          <w:szCs w:val="18"/>
          <w:color w:val="auto"/>
        </w:rPr>
      </w:pPr>
    </w:p>
    <w:p>
      <w:pPr>
        <w:ind w:left="1092" w:right="5279" w:hanging="592"/>
        <w:spacing w:after="0" w:line="453" w:lineRule="auto"/>
        <w:tabs>
          <w:tab w:leader="none" w:pos="11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492"/>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28" w:lineRule="exact"/>
        <w:rPr>
          <w:sz w:val="20"/>
          <w:szCs w:val="20"/>
          <w:color w:val="auto"/>
        </w:rPr>
      </w:pPr>
    </w:p>
    <w:p>
      <w:pPr>
        <w:ind w:left="1092" w:right="7279" w:hanging="592"/>
        <w:spacing w:after="0" w:line="420" w:lineRule="auto"/>
        <w:tabs>
          <w:tab w:leader="none" w:pos="1124"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spacing w:after="0" w:line="1" w:lineRule="exact"/>
        <w:rPr>
          <w:rFonts w:ascii="Courier New" w:cs="Courier New" w:eastAsia="Courier New" w:hAnsi="Courier New"/>
          <w:sz w:val="17"/>
          <w:szCs w:val="17"/>
          <w:color w:val="auto"/>
        </w:rPr>
      </w:pPr>
    </w:p>
    <w:p>
      <w:pPr>
        <w:ind w:left="1092" w:right="7079" w:hanging="592"/>
        <w:spacing w:after="0" w:line="397" w:lineRule="auto"/>
        <w:tabs>
          <w:tab w:leader="none" w:pos="11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1092" w:right="6759" w:hanging="592"/>
        <w:spacing w:after="0" w:line="397" w:lineRule="auto"/>
        <w:tabs>
          <w:tab w:leader="none" w:pos="11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092" w:right="6539" w:hanging="592"/>
        <w:spacing w:after="0" w:line="397" w:lineRule="auto"/>
        <w:tabs>
          <w:tab w:leader="none" w:pos="11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1092" w:right="2759" w:hanging="592"/>
        <w:spacing w:after="0" w:line="330" w:lineRule="auto"/>
        <w:tabs>
          <w:tab w:leader="none" w:pos="11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AGGREGATE AMOUNT BENEFICIALLY OWNED BY EACH REPORTING PERSON 2,359,225 </w:t>
      </w:r>
      <w:hyperlink w:anchor="page2">
        <w:r>
          <w:rPr>
            <w:rFonts w:ascii="Courier New" w:cs="Courier New" w:eastAsia="Courier New" w:hAnsi="Courier New"/>
            <w:sz w:val="30"/>
            <w:szCs w:val="30"/>
            <w:u w:val="single" w:color="auto"/>
            <w:color w:val="0000EE"/>
            <w:vertAlign w:val="superscript"/>
          </w:rPr>
          <w:t>[1]</w:t>
        </w:r>
      </w:hyperlink>
    </w:p>
    <w:p>
      <w:pPr>
        <w:ind w:left="1132" w:hanging="632"/>
        <w:spacing w:after="0"/>
        <w:tabs>
          <w:tab w:leader="none" w:pos="11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331" w:lineRule="exact"/>
        <w:rPr>
          <w:sz w:val="20"/>
          <w:szCs w:val="20"/>
          <w:color w:val="auto"/>
        </w:rPr>
      </w:pPr>
    </w:p>
    <w:p>
      <w:pPr>
        <w:ind w:left="1092" w:right="3919" w:hanging="592"/>
        <w:spacing w:after="0" w:line="389" w:lineRule="auto"/>
        <w:tabs>
          <w:tab w:leader="none" w:pos="112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8.1%</w:t>
      </w:r>
    </w:p>
    <w:p>
      <w:pPr>
        <w:ind w:left="1132" w:hanging="632"/>
        <w:spacing w:after="0"/>
        <w:tabs>
          <w:tab w:leader="none" w:pos="11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1092"/>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242252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2525" cy="34290"/>
                    </a:xfrm>
                    <a:prstGeom prst="rect">
                      <a:avLst/>
                    </a:prstGeom>
                    <a:noFill/>
                  </pic:spPr>
                </pic:pic>
              </a:graphicData>
            </a:graphic>
          </wp:anchor>
        </w:drawing>
      </w:r>
    </w:p>
    <w:p>
      <w:pPr>
        <w:spacing w:after="0" w:line="316" w:lineRule="exact"/>
        <w:rPr>
          <w:sz w:val="20"/>
          <w:szCs w:val="20"/>
          <w:color w:val="auto"/>
        </w:rPr>
      </w:pPr>
    </w:p>
    <w:p>
      <w:pPr>
        <w:ind w:left="252" w:right="999" w:hanging="252"/>
        <w:spacing w:after="0" w:line="260" w:lineRule="exact"/>
        <w:tabs>
          <w:tab w:leader="none" w:pos="252" w:val="left"/>
        </w:tabs>
        <w:numPr>
          <w:ilvl w:val="0"/>
          <w:numId w:val="7"/>
        </w:numPr>
        <w:rPr>
          <w:rFonts w:ascii="Arial" w:cs="Arial" w:eastAsia="Arial" w:hAnsi="Arial"/>
          <w:sz w:val="33"/>
          <w:szCs w:val="33"/>
          <w:u w:val="single" w:color="auto"/>
          <w:color w:val="0000EE"/>
          <w:vertAlign w:val="superscript"/>
        </w:rPr>
      </w:pPr>
      <w:r>
        <w:rPr>
          <w:rFonts w:ascii="Courier New" w:cs="Courier New" w:eastAsia="Courier New" w:hAnsi="Courier New"/>
          <w:sz w:val="17"/>
          <w:szCs w:val="17"/>
          <w:color w:val="auto"/>
        </w:rPr>
        <w:t>Includes 275,674 shares of common stock issuable on conversion of debt securities (as computed under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3(d)(1)(i)).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410210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1"/>
          </w:cols>
          <w:pgMar w:left="248" w:top="889" w:right="1440" w:bottom="1440" w:gutter="0" w:footer="0" w:header="0"/>
        </w:sectPr>
      </w:pPr>
    </w:p>
    <w:bookmarkStart w:id="2" w:name="page3"/>
    <w:bookmarkEnd w:id="2"/>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14</w:t>
      </w:r>
    </w:p>
    <w:p>
      <w:pPr>
        <w:sectPr>
          <w:pgSz w:w="11900" w:h="16838" w:orient="portrait"/>
          <w:cols w:equalWidth="0" w:num="1">
            <w:col w:w="9919"/>
          </w:cols>
          <w:pgMar w:left="540" w:top="876" w:right="1440" w:bottom="1440" w:gutter="0" w:footer="0" w:header="0"/>
        </w:sectPr>
      </w:pPr>
    </w:p>
    <w:p>
      <w:pPr>
        <w:spacing w:after="0" w:line="363" w:lineRule="exact"/>
        <w:rPr>
          <w:sz w:val="20"/>
          <w:szCs w:val="20"/>
          <w:color w:val="auto"/>
        </w:rPr>
      </w:pPr>
    </w:p>
    <w:p>
      <w:pPr>
        <w:ind w:left="800" w:right="6239" w:hanging="592"/>
        <w:spacing w:after="0" w:line="420" w:lineRule="auto"/>
        <w:tabs>
          <w:tab w:leader="none" w:pos="832"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Charles B. Johnson</w:t>
      </w:r>
    </w:p>
    <w:p>
      <w:pPr>
        <w:spacing w:after="0" w:line="1" w:lineRule="exact"/>
        <w:rPr>
          <w:rFonts w:ascii="Courier New" w:cs="Courier New" w:eastAsia="Courier New" w:hAnsi="Courier New"/>
          <w:sz w:val="17"/>
          <w:szCs w:val="17"/>
          <w:color w:val="auto"/>
        </w:rPr>
      </w:pPr>
    </w:p>
    <w:p>
      <w:pPr>
        <w:ind w:left="840" w:hanging="632"/>
        <w:spacing w:after="0"/>
        <w:tabs>
          <w:tab w:leader="none" w:pos="8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01"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1" w:lineRule="exact"/>
        <w:rPr>
          <w:rFonts w:ascii="Courier New" w:cs="Courier New" w:eastAsia="Courier New" w:hAnsi="Courier New"/>
          <w:sz w:val="18"/>
          <w:szCs w:val="18"/>
          <w:color w:val="auto"/>
        </w:rPr>
      </w:pPr>
    </w:p>
    <w:p>
      <w:pPr>
        <w:ind w:left="800" w:right="5279" w:hanging="592"/>
        <w:spacing w:after="0" w:line="460"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53" w:lineRule="exact"/>
        <w:rPr>
          <w:sz w:val="20"/>
          <w:szCs w:val="20"/>
          <w:color w:val="auto"/>
        </w:rPr>
      </w:pPr>
    </w:p>
    <w:p>
      <w:pPr>
        <w:ind w:left="800" w:right="7279" w:hanging="592"/>
        <w:spacing w:after="0" w:line="412" w:lineRule="auto"/>
        <w:tabs>
          <w:tab w:leader="none" w:pos="83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800" w:right="7079" w:hanging="592"/>
        <w:spacing w:after="0" w:line="389" w:lineRule="auto"/>
        <w:tabs>
          <w:tab w:leader="none" w:pos="8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759" w:hanging="592"/>
        <w:spacing w:after="0" w:line="389" w:lineRule="auto"/>
        <w:tabs>
          <w:tab w:leader="none" w:pos="8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539" w:hanging="592"/>
        <w:spacing w:after="0" w:line="389" w:lineRule="auto"/>
        <w:tabs>
          <w:tab w:leader="none" w:pos="8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759" w:hanging="592"/>
        <w:spacing w:after="0" w:line="389" w:lineRule="auto"/>
        <w:tabs>
          <w:tab w:leader="none" w:pos="8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2,359,225</w:t>
      </w:r>
    </w:p>
    <w:p>
      <w:pPr>
        <w:ind w:left="840" w:hanging="632"/>
        <w:spacing w:after="0"/>
        <w:tabs>
          <w:tab w:leader="none" w:pos="8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02" w:lineRule="exact"/>
        <w:rPr>
          <w:sz w:val="20"/>
          <w:szCs w:val="20"/>
          <w:color w:val="auto"/>
        </w:rPr>
      </w:pPr>
    </w:p>
    <w:p>
      <w:pPr>
        <w:ind w:left="800" w:right="3919" w:hanging="592"/>
        <w:spacing w:after="0" w:line="389" w:lineRule="auto"/>
        <w:tabs>
          <w:tab w:leader="none" w:pos="8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8.1%</w:t>
      </w:r>
    </w:p>
    <w:p>
      <w:pPr>
        <w:ind w:left="840" w:hanging="632"/>
        <w:spacing w:after="0"/>
        <w:tabs>
          <w:tab w:leader="none" w:pos="8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327025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6" w:right="1440" w:bottom="1440" w:gutter="0" w:footer="0" w:header="0"/>
          <w:type w:val="continuous"/>
        </w:sectPr>
      </w:pPr>
    </w:p>
    <w:bookmarkStart w:id="3" w:name="page4"/>
    <w:bookmarkEnd w:id="3"/>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14</w:t>
      </w:r>
    </w:p>
    <w:p>
      <w:pPr>
        <w:sectPr>
          <w:pgSz w:w="11900" w:h="16838" w:orient="portrait"/>
          <w:cols w:equalWidth="0" w:num="1">
            <w:col w:w="9919"/>
          </w:cols>
          <w:pgMar w:left="540" w:top="876" w:right="1440" w:bottom="1440" w:gutter="0" w:footer="0" w:header="0"/>
        </w:sectPr>
      </w:pPr>
    </w:p>
    <w:p>
      <w:pPr>
        <w:spacing w:after="0" w:line="363" w:lineRule="exact"/>
        <w:rPr>
          <w:sz w:val="20"/>
          <w:szCs w:val="20"/>
          <w:color w:val="auto"/>
        </w:rPr>
      </w:pPr>
    </w:p>
    <w:p>
      <w:pPr>
        <w:ind w:left="800" w:right="6239" w:hanging="592"/>
        <w:spacing w:after="0" w:line="420" w:lineRule="auto"/>
        <w:tabs>
          <w:tab w:leader="none" w:pos="832"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Rupert H. Johnson, Jr.</w:t>
      </w:r>
    </w:p>
    <w:p>
      <w:pPr>
        <w:spacing w:after="0" w:line="1" w:lineRule="exact"/>
        <w:rPr>
          <w:rFonts w:ascii="Courier New" w:cs="Courier New" w:eastAsia="Courier New" w:hAnsi="Courier New"/>
          <w:sz w:val="17"/>
          <w:szCs w:val="17"/>
          <w:color w:val="auto"/>
        </w:rPr>
      </w:pPr>
    </w:p>
    <w:p>
      <w:pPr>
        <w:ind w:left="840" w:hanging="632"/>
        <w:spacing w:after="0"/>
        <w:tabs>
          <w:tab w:leader="none" w:pos="8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01"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1" w:lineRule="exact"/>
        <w:rPr>
          <w:rFonts w:ascii="Courier New" w:cs="Courier New" w:eastAsia="Courier New" w:hAnsi="Courier New"/>
          <w:sz w:val="18"/>
          <w:szCs w:val="18"/>
          <w:color w:val="auto"/>
        </w:rPr>
      </w:pPr>
    </w:p>
    <w:p>
      <w:pPr>
        <w:ind w:left="800" w:right="5279" w:hanging="592"/>
        <w:spacing w:after="0" w:line="460"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53" w:lineRule="exact"/>
        <w:rPr>
          <w:sz w:val="20"/>
          <w:szCs w:val="20"/>
          <w:color w:val="auto"/>
        </w:rPr>
      </w:pPr>
    </w:p>
    <w:p>
      <w:pPr>
        <w:ind w:left="800" w:right="7279" w:hanging="592"/>
        <w:spacing w:after="0" w:line="412" w:lineRule="auto"/>
        <w:tabs>
          <w:tab w:leader="none" w:pos="832"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800" w:right="7079" w:hanging="592"/>
        <w:spacing w:after="0" w:line="389" w:lineRule="auto"/>
        <w:tabs>
          <w:tab w:leader="none" w:pos="8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759" w:hanging="592"/>
        <w:spacing w:after="0" w:line="389" w:lineRule="auto"/>
        <w:tabs>
          <w:tab w:leader="none" w:pos="8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539" w:hanging="592"/>
        <w:spacing w:after="0" w:line="389" w:lineRule="auto"/>
        <w:tabs>
          <w:tab w:leader="none" w:pos="8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759" w:hanging="592"/>
        <w:spacing w:after="0" w:line="389" w:lineRule="auto"/>
        <w:tabs>
          <w:tab w:leader="none" w:pos="8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2,359,225</w:t>
      </w:r>
    </w:p>
    <w:p>
      <w:pPr>
        <w:ind w:left="840" w:hanging="632"/>
        <w:spacing w:after="0"/>
        <w:tabs>
          <w:tab w:leader="none" w:pos="8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02" w:lineRule="exact"/>
        <w:rPr>
          <w:sz w:val="20"/>
          <w:szCs w:val="20"/>
          <w:color w:val="auto"/>
        </w:rPr>
      </w:pPr>
    </w:p>
    <w:p>
      <w:pPr>
        <w:ind w:left="800" w:right="3919" w:hanging="592"/>
        <w:spacing w:after="0" w:line="389" w:lineRule="auto"/>
        <w:tabs>
          <w:tab w:leader="none" w:pos="83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8.1%</w:t>
      </w:r>
    </w:p>
    <w:p>
      <w:pPr>
        <w:ind w:left="840" w:hanging="632"/>
        <w:spacing w:after="0"/>
        <w:tabs>
          <w:tab w:leader="none" w:pos="8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327025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6" w:right="1440" w:bottom="1440" w:gutter="0" w:footer="0" w:header="0"/>
          <w:type w:val="continuous"/>
        </w:sectPr>
      </w:pPr>
    </w:p>
    <w:bookmarkStart w:id="4" w:name="page5"/>
    <w:bookmarkEnd w:id="4"/>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14</w:t>
      </w:r>
    </w:p>
    <w:p>
      <w:pPr>
        <w:sectPr>
          <w:pgSz w:w="11900" w:h="16838" w:orient="portrait"/>
          <w:cols w:equalWidth="0" w:num="1">
            <w:col w:w="9919"/>
          </w:cols>
          <w:pgMar w:left="540" w:top="876" w:right="1440" w:bottom="1440" w:gutter="0" w:footer="0" w:header="0"/>
        </w:sectPr>
      </w:pPr>
    </w:p>
    <w:p>
      <w:pPr>
        <w:spacing w:after="0" w:line="363" w:lineRule="exact"/>
        <w:rPr>
          <w:sz w:val="20"/>
          <w:szCs w:val="20"/>
          <w:color w:val="auto"/>
        </w:rPr>
      </w:pPr>
    </w:p>
    <w:p>
      <w:pPr>
        <w:ind w:left="800" w:right="6239" w:hanging="592"/>
        <w:spacing w:after="0" w:line="412" w:lineRule="auto"/>
        <w:tabs>
          <w:tab w:leader="none" w:pos="83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Franklin Advisers, Inc.</w:t>
      </w:r>
    </w:p>
    <w:p>
      <w:pPr>
        <w:ind w:left="840" w:hanging="632"/>
        <w:spacing w:after="0"/>
        <w:tabs>
          <w:tab w:leader="none" w:pos="8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01"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1" w:lineRule="exact"/>
        <w:rPr>
          <w:rFonts w:ascii="Courier New" w:cs="Courier New" w:eastAsia="Courier New" w:hAnsi="Courier New"/>
          <w:sz w:val="18"/>
          <w:szCs w:val="18"/>
          <w:color w:val="auto"/>
        </w:rPr>
      </w:pPr>
    </w:p>
    <w:p>
      <w:pPr>
        <w:ind w:left="800" w:right="5279" w:hanging="592"/>
        <w:spacing w:after="0" w:line="453" w:lineRule="auto"/>
        <w:tabs>
          <w:tab w:leader="none" w:pos="8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53" w:lineRule="exact"/>
        <w:rPr>
          <w:sz w:val="20"/>
          <w:szCs w:val="20"/>
          <w:color w:val="auto"/>
        </w:rPr>
      </w:pPr>
    </w:p>
    <w:p>
      <w:pPr>
        <w:ind w:left="800" w:right="7279" w:hanging="592"/>
        <w:spacing w:after="0" w:line="397" w:lineRule="auto"/>
        <w:tabs>
          <w:tab w:leader="none" w:pos="8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2,343,025</w:t>
      </w:r>
    </w:p>
    <w:p>
      <w:pPr>
        <w:ind w:left="800" w:right="7079" w:hanging="592"/>
        <w:spacing w:after="0" w:line="389" w:lineRule="auto"/>
        <w:tabs>
          <w:tab w:leader="none" w:pos="8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800" w:right="6759" w:hanging="592"/>
        <w:spacing w:after="0" w:line="397" w:lineRule="auto"/>
        <w:tabs>
          <w:tab w:leader="none" w:pos="8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2,343,025</w:t>
      </w:r>
    </w:p>
    <w:p>
      <w:pPr>
        <w:ind w:left="800" w:right="6539" w:hanging="592"/>
        <w:spacing w:after="0" w:line="389" w:lineRule="auto"/>
        <w:tabs>
          <w:tab w:leader="none" w:pos="8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ind w:left="800" w:right="2759" w:hanging="592"/>
        <w:spacing w:after="0" w:line="389" w:lineRule="auto"/>
        <w:tabs>
          <w:tab w:leader="none" w:pos="8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2,343,025</w:t>
      </w:r>
    </w:p>
    <w:p>
      <w:pPr>
        <w:ind w:left="840" w:hanging="632"/>
        <w:spacing w:after="0"/>
        <w:tabs>
          <w:tab w:leader="none" w:pos="8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02" w:lineRule="exact"/>
        <w:rPr>
          <w:sz w:val="20"/>
          <w:szCs w:val="20"/>
          <w:color w:val="auto"/>
        </w:rPr>
      </w:pPr>
    </w:p>
    <w:p>
      <w:pPr>
        <w:ind w:left="800" w:right="3919" w:hanging="592"/>
        <w:spacing w:after="0" w:line="389" w:lineRule="auto"/>
        <w:tabs>
          <w:tab w:leader="none" w:pos="8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8.1%</w:t>
      </w:r>
    </w:p>
    <w:p>
      <w:pPr>
        <w:ind w:left="840" w:hanging="632"/>
        <w:spacing w:after="0"/>
        <w:tabs>
          <w:tab w:leader="none" w:pos="8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327025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6" w:right="1440" w:bottom="1440" w:gutter="0" w:footer="0" w:header="0"/>
          <w:type w:val="continuous"/>
        </w:sectPr>
      </w:pPr>
    </w:p>
    <w:bookmarkStart w:id="5" w:name="page6"/>
    <w:bookmarkEnd w:id="5"/>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6 of 14</w:t>
      </w:r>
    </w:p>
    <w:p>
      <w:pPr>
        <w:sectPr>
          <w:pgSz w:w="11900" w:h="16838" w:orient="portrait"/>
          <w:cols w:equalWidth="0" w:num="1">
            <w:col w:w="9919"/>
          </w:cols>
          <w:pgMar w:left="540" w:top="876" w:right="1440" w:bottom="1440" w:gutter="0" w:footer="0" w:header="0"/>
        </w:sectPr>
      </w:pPr>
    </w:p>
    <w:p>
      <w:pPr>
        <w:spacing w:after="0" w:line="36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134" w:lineRule="exact"/>
        <w:rPr>
          <w:sz w:val="20"/>
          <w:szCs w:val="20"/>
          <w:color w:val="auto"/>
        </w:rPr>
      </w:pPr>
    </w:p>
    <w:p>
      <w:pPr>
        <w:ind w:left="840" w:hanging="632"/>
        <w:spacing w:after="0"/>
        <w:tabs>
          <w:tab w:leader="none" w:pos="8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120" w:lineRule="exact"/>
        <w:rPr>
          <w:rFonts w:ascii="Courier New" w:cs="Courier New" w:eastAsia="Courier New" w:hAnsi="Courier New"/>
          <w:sz w:val="18"/>
          <w:szCs w:val="18"/>
          <w:color w:val="auto"/>
        </w:rPr>
      </w:pPr>
    </w:p>
    <w:p>
      <w:pPr>
        <w:ind w:left="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FLUIDIGM CORPORATION</w:t>
      </w:r>
    </w:p>
    <w:p>
      <w:pPr>
        <w:spacing w:after="0" w:line="133"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2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7000 Shoreline Court, Suite 100</w:t>
      </w:r>
    </w:p>
    <w:p>
      <w:pPr>
        <w:spacing w:after="0" w:line="4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South San Francisco, CA 94080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134" w:lineRule="exact"/>
        <w:rPr>
          <w:sz w:val="20"/>
          <w:szCs w:val="20"/>
          <w:color w:val="auto"/>
        </w:rPr>
      </w:pPr>
    </w:p>
    <w:p>
      <w:pPr>
        <w:ind w:left="840" w:hanging="632"/>
        <w:spacing w:after="0"/>
        <w:tabs>
          <w:tab w:leader="none" w:pos="8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85" w:lineRule="exact"/>
        <w:rPr>
          <w:sz w:val="20"/>
          <w:szCs w:val="20"/>
          <w:color w:val="auto"/>
        </w:rPr>
      </w:pPr>
    </w:p>
    <w:p>
      <w:pPr>
        <w:ind w:left="800"/>
        <w:spacing w:after="0"/>
        <w:tabs>
          <w:tab w:leader="none" w:pos="1520" w:val="left"/>
        </w:tabs>
        <w:rPr>
          <w:sz w:val="20"/>
          <w:szCs w:val="20"/>
          <w:color w:val="auto"/>
        </w:rPr>
      </w:pPr>
      <w:r>
        <w:rPr>
          <w:rFonts w:ascii="Courier New" w:cs="Courier New" w:eastAsia="Courier New" w:hAnsi="Courier New"/>
          <w:sz w:val="18"/>
          <w:szCs w:val="18"/>
          <w:color w:val="auto"/>
        </w:rPr>
        <w:t>(i):</w:t>
        <w:tab/>
        <w:t>Franklin Resources, Inc.</w:t>
      </w:r>
    </w:p>
    <w:p>
      <w:pPr>
        <w:spacing w:after="0" w:line="169" w:lineRule="exact"/>
        <w:rPr>
          <w:sz w:val="20"/>
          <w:szCs w:val="20"/>
          <w:color w:val="auto"/>
        </w:rPr>
      </w:pPr>
    </w:p>
    <w:p>
      <w:pPr>
        <w:ind w:left="800"/>
        <w:spacing w:after="0"/>
        <w:tabs>
          <w:tab w:leader="none" w:pos="152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107" w:lineRule="exact"/>
        <w:rPr>
          <w:sz w:val="20"/>
          <w:szCs w:val="20"/>
          <w:color w:val="auto"/>
        </w:rPr>
      </w:pPr>
    </w:p>
    <w:p>
      <w:pPr>
        <w:ind w:left="800"/>
        <w:spacing w:after="0"/>
        <w:tabs>
          <w:tab w:leader="none" w:pos="152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7"/>
          <w:szCs w:val="17"/>
          <w:color w:val="auto"/>
        </w:rPr>
        <w:t>Franklin Advisers, Inc.</w:t>
      </w:r>
    </w:p>
    <w:p>
      <w:pPr>
        <w:spacing w:after="0" w:line="336" w:lineRule="exact"/>
        <w:rPr>
          <w:sz w:val="20"/>
          <w:szCs w:val="20"/>
          <w:color w:val="auto"/>
        </w:rPr>
      </w:pPr>
    </w:p>
    <w:p>
      <w:pPr>
        <w:ind w:left="840" w:hanging="632"/>
        <w:spacing w:after="0"/>
        <w:tabs>
          <w:tab w:leader="none" w:pos="8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14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44"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12"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PGothic" w:cs="MS PGothic" w:eastAsia="MS PGothic" w:hAnsi="MS PGothic"/>
          <w:sz w:val="18"/>
          <w:szCs w:val="18"/>
          <w:color w:val="auto"/>
        </w:rPr>
        <w:t>‑</w:t>
      </w:r>
      <w:r>
        <w:rPr>
          <w:rFonts w:ascii="Courier New" w:cs="Courier New" w:eastAsia="Courier New" w:hAnsi="Courier New"/>
          <w:sz w:val="18"/>
          <w:szCs w:val="18"/>
          <w:color w:val="auto"/>
        </w:rPr>
        <w:t>1906</w:t>
      </w:r>
    </w:p>
    <w:p>
      <w:pPr>
        <w:spacing w:after="0" w:line="61"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Franklin Parkway</w:t>
      </w:r>
    </w:p>
    <w:p>
      <w:pPr>
        <w:spacing w:after="0" w:line="53" w:lineRule="exact"/>
        <w:rPr>
          <w:sz w:val="20"/>
          <w:szCs w:val="20"/>
          <w:color w:val="auto"/>
        </w:rPr>
      </w:pPr>
    </w:p>
    <w:p>
      <w:pPr>
        <w:ind w:left="1400"/>
        <w:spacing w:after="0" w:line="204" w:lineRule="exact"/>
        <w:tabs>
          <w:tab w:leader="none" w:pos="2960" w:val="left"/>
        </w:tabs>
        <w:rPr>
          <w:sz w:val="20"/>
          <w:szCs w:val="20"/>
          <w:color w:val="auto"/>
        </w:rPr>
      </w:pPr>
      <w:r>
        <w:rPr>
          <w:rFonts w:ascii="Courier New" w:cs="Courier New" w:eastAsia="Courier New" w:hAnsi="Courier New"/>
          <w:sz w:val="18"/>
          <w:szCs w:val="18"/>
          <w:color w:val="auto"/>
        </w:rPr>
        <w:t>San Mateo, CA</w:t>
      </w:r>
      <w:r>
        <w:rPr>
          <w:sz w:val="20"/>
          <w:szCs w:val="20"/>
          <w:color w:val="auto"/>
        </w:rPr>
        <w:tab/>
      </w:r>
      <w:r>
        <w:rPr>
          <w:rFonts w:ascii="Courier New" w:cs="Courier New" w:eastAsia="Courier New" w:hAnsi="Courier New"/>
          <w:sz w:val="17"/>
          <w:szCs w:val="17"/>
          <w:color w:val="auto"/>
        </w:rPr>
        <w:t>94403</w:t>
      </w:r>
      <w:r>
        <w:rPr>
          <w:rFonts w:ascii="MS PGothic" w:cs="MS PGothic" w:eastAsia="MS PGothic" w:hAnsi="MS PGothic"/>
          <w:sz w:val="17"/>
          <w:szCs w:val="17"/>
          <w:color w:val="auto"/>
        </w:rPr>
        <w:t>‑</w:t>
      </w:r>
      <w:r>
        <w:rPr>
          <w:rFonts w:ascii="Courier New" w:cs="Courier New" w:eastAsia="Courier New" w:hAnsi="Courier New"/>
          <w:sz w:val="17"/>
          <w:szCs w:val="17"/>
          <w:color w:val="auto"/>
        </w:rPr>
        <w:t>1906</w:t>
      </w:r>
    </w:p>
    <w:p>
      <w:pPr>
        <w:spacing w:after="0" w:line="129" w:lineRule="exact"/>
        <w:rPr>
          <w:sz w:val="20"/>
          <w:szCs w:val="20"/>
          <w:color w:val="auto"/>
        </w:rPr>
      </w:pPr>
    </w:p>
    <w:p>
      <w:pPr>
        <w:ind w:left="840" w:hanging="632"/>
        <w:spacing w:after="0"/>
        <w:tabs>
          <w:tab w:leader="none" w:pos="8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47" w:lineRule="exact"/>
        <w:rPr>
          <w:sz w:val="20"/>
          <w:szCs w:val="20"/>
          <w:color w:val="auto"/>
        </w:rPr>
      </w:pPr>
    </w:p>
    <w:p>
      <w:pPr>
        <w:ind w:left="800"/>
        <w:spacing w:after="0"/>
        <w:tabs>
          <w:tab w:leader="none" w:pos="17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134" w:lineRule="exact"/>
        <w:rPr>
          <w:sz w:val="20"/>
          <w:szCs w:val="20"/>
          <w:color w:val="auto"/>
        </w:rPr>
      </w:pPr>
    </w:p>
    <w:p>
      <w:pPr>
        <w:ind w:left="800" w:right="7099" w:firstLine="8"/>
        <w:spacing w:after="0" w:line="454" w:lineRule="auto"/>
        <w:tabs>
          <w:tab w:leader="none" w:pos="1327"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 (iii): USA (iv): California</w:t>
      </w:r>
    </w:p>
    <w:p>
      <w:pPr>
        <w:ind w:left="840" w:hanging="632"/>
        <w:spacing w:after="0"/>
        <w:tabs>
          <w:tab w:leader="none" w:pos="8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12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Common Stock, $0.001 Par Value per Share</w:t>
      </w:r>
    </w:p>
    <w:p>
      <w:pPr>
        <w:spacing w:after="0" w:line="242" w:lineRule="exact"/>
        <w:rPr>
          <w:sz w:val="20"/>
          <w:szCs w:val="20"/>
          <w:color w:val="auto"/>
        </w:rPr>
      </w:pPr>
    </w:p>
    <w:p>
      <w:pPr>
        <w:ind w:left="800" w:right="7819" w:hanging="592"/>
        <w:spacing w:after="0" w:line="542" w:lineRule="auto"/>
        <w:tabs>
          <w:tab w:leader="none" w:pos="832"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CUSIP Number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92710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6" w:right="1440" w:bottom="1440" w:gutter="0" w:footer="0" w:header="0"/>
          <w:type w:val="continuous"/>
        </w:sectPr>
      </w:pPr>
    </w:p>
    <w:bookmarkStart w:id="6" w:name="page7"/>
    <w:bookmarkEnd w:id="6"/>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14</w:t>
      </w:r>
    </w:p>
    <w:p>
      <w:pPr>
        <w:sectPr>
          <w:pgSz w:w="11900" w:h="16838" w:orient="portrait"/>
          <w:cols w:equalWidth="0" w:num="1">
            <w:col w:w="9919"/>
          </w:cols>
          <w:pgMar w:left="540" w:top="903" w:right="1440" w:bottom="1440" w:gutter="0" w:footer="0" w:header="0"/>
        </w:sectPr>
      </w:pPr>
    </w:p>
    <w:p>
      <w:pPr>
        <w:spacing w:after="0" w:line="350" w:lineRule="exact"/>
        <w:rPr>
          <w:sz w:val="20"/>
          <w:szCs w:val="20"/>
          <w:color w:val="auto"/>
        </w:rPr>
      </w:pPr>
    </w:p>
    <w:p>
      <w:pPr>
        <w:ind w:left="900" w:right="919" w:hanging="799"/>
        <w:spacing w:after="0" w:line="259"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 or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2(b) or (c), check whether the person filing is a:</w:t>
      </w:r>
    </w:p>
    <w:p>
      <w:pPr>
        <w:spacing w:after="0" w:line="1" w:lineRule="exact"/>
        <w:rPr>
          <w:sz w:val="20"/>
          <w:szCs w:val="20"/>
          <w:color w:val="auto"/>
        </w:rPr>
      </w:pPr>
    </w:p>
    <w:p>
      <w:pPr>
        <w:ind w:left="1220" w:hanging="412"/>
        <w:spacing w:after="0"/>
        <w:tabs>
          <w:tab w:leader="none" w:pos="12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Broker or dealer registered under section 15 of the Act (15 U.S.C. 78o).</w:t>
      </w:r>
    </w:p>
    <w:p>
      <w:pPr>
        <w:spacing w:after="0" w:line="113" w:lineRule="exact"/>
        <w:rPr>
          <w:rFonts w:ascii="Courier New" w:cs="Courier New" w:eastAsia="Courier New" w:hAnsi="Courier New"/>
          <w:sz w:val="17"/>
          <w:szCs w:val="17"/>
          <w:color w:val="auto"/>
        </w:rPr>
      </w:pPr>
    </w:p>
    <w:p>
      <w:pPr>
        <w:ind w:left="1220" w:hanging="412"/>
        <w:spacing w:after="0"/>
        <w:tabs>
          <w:tab w:leader="none" w:pos="1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33" w:lineRule="exact"/>
        <w:rPr>
          <w:rFonts w:ascii="Courier New" w:cs="Courier New" w:eastAsia="Courier New" w:hAnsi="Courier New"/>
          <w:sz w:val="18"/>
          <w:szCs w:val="18"/>
          <w:color w:val="auto"/>
        </w:rPr>
      </w:pPr>
    </w:p>
    <w:p>
      <w:pPr>
        <w:ind w:left="1600" w:right="899" w:hanging="792"/>
        <w:spacing w:after="0" w:line="333" w:lineRule="auto"/>
        <w:tabs>
          <w:tab w:leader="none" w:pos="12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 w:lineRule="exact"/>
        <w:rPr>
          <w:rFonts w:ascii="Courier New" w:cs="Courier New" w:eastAsia="Courier New" w:hAnsi="Courier New"/>
          <w:sz w:val="18"/>
          <w:szCs w:val="18"/>
          <w:color w:val="auto"/>
        </w:rPr>
      </w:pPr>
    </w:p>
    <w:p>
      <w:pPr>
        <w:ind w:left="1600" w:right="779" w:hanging="792"/>
        <w:spacing w:after="0" w:line="267" w:lineRule="exact"/>
        <w:tabs>
          <w:tab w:leader="none" w:pos="12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8).</w:t>
      </w:r>
    </w:p>
    <w:p>
      <w:pPr>
        <w:spacing w:after="0" w:line="7" w:lineRule="exact"/>
        <w:rPr>
          <w:rFonts w:ascii="Courier New" w:cs="Courier New" w:eastAsia="Courier New" w:hAnsi="Courier New"/>
          <w:sz w:val="18"/>
          <w:szCs w:val="18"/>
          <w:color w:val="auto"/>
        </w:rPr>
      </w:pPr>
    </w:p>
    <w:p>
      <w:pPr>
        <w:ind w:left="1220" w:hanging="412"/>
        <w:spacing w:after="0" w:line="209" w:lineRule="exact"/>
        <w:tabs>
          <w:tab w:leader="none" w:pos="1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1(b)(1)(ii)(E);</w:t>
      </w:r>
    </w:p>
    <w:p>
      <w:pPr>
        <w:spacing w:after="0" w:line="155"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41"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1(b)(1)(ii)(F);</w:t>
      </w:r>
    </w:p>
    <w:p>
      <w:pPr>
        <w:spacing w:after="0" w:line="114" w:lineRule="exact"/>
        <w:rPr>
          <w:sz w:val="20"/>
          <w:szCs w:val="20"/>
          <w:color w:val="auto"/>
        </w:rPr>
      </w:pPr>
    </w:p>
    <w:p>
      <w:pPr>
        <w:ind w:left="1600" w:right="1839" w:hanging="792"/>
        <w:spacing w:after="0" w:line="267" w:lineRule="exact"/>
        <w:tabs>
          <w:tab w:leader="none" w:pos="12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1(b)(1)(ii)(G);</w:t>
      </w:r>
    </w:p>
    <w:p>
      <w:pPr>
        <w:spacing w:after="0" w:line="34" w:lineRule="exact"/>
        <w:rPr>
          <w:rFonts w:ascii="Courier New" w:cs="Courier New" w:eastAsia="Courier New" w:hAnsi="Courier New"/>
          <w:sz w:val="18"/>
          <w:szCs w:val="18"/>
          <w:color w:val="auto"/>
        </w:rPr>
      </w:pPr>
    </w:p>
    <w:p>
      <w:pPr>
        <w:ind w:left="1600" w:right="679" w:hanging="792"/>
        <w:spacing w:after="0" w:line="333" w:lineRule="auto"/>
        <w:tabs>
          <w:tab w:leader="none" w:pos="12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1600" w:right="719" w:hanging="792"/>
        <w:spacing w:after="0" w:line="255" w:lineRule="exact"/>
        <w:tabs>
          <w:tab w:leader="none" w:pos="12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3);</w:t>
      </w:r>
    </w:p>
    <w:p>
      <w:pPr>
        <w:spacing w:after="0" w:line="6" w:lineRule="exact"/>
        <w:rPr>
          <w:rFonts w:ascii="Courier New" w:cs="Courier New" w:eastAsia="Courier New" w:hAnsi="Courier New"/>
          <w:sz w:val="18"/>
          <w:szCs w:val="18"/>
          <w:color w:val="auto"/>
        </w:rPr>
      </w:pPr>
    </w:p>
    <w:p>
      <w:pPr>
        <w:ind w:left="1220" w:hanging="412"/>
        <w:spacing w:after="0" w:line="209" w:lineRule="exact"/>
        <w:tabs>
          <w:tab w:leader="none" w:pos="1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1(b)(ii)(J);</w:t>
      </w:r>
    </w:p>
    <w:p>
      <w:pPr>
        <w:spacing w:after="0" w:line="155"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107" w:lineRule="exact"/>
        <w:rPr>
          <w:sz w:val="20"/>
          <w:szCs w:val="20"/>
          <w:color w:val="auto"/>
        </w:rPr>
      </w:pPr>
    </w:p>
    <w:p>
      <w:pPr>
        <w:ind w:left="800"/>
        <w:spacing w:after="0" w:line="198" w:lineRule="exact"/>
        <w:rPr>
          <w:sz w:val="20"/>
          <w:szCs w:val="20"/>
          <w:color w:val="auto"/>
        </w:rPr>
      </w:pPr>
      <w:r>
        <w:rPr>
          <w:rFonts w:ascii="Courier New" w:cs="Courier New" w:eastAsia="Courier New" w:hAnsi="Courier New"/>
          <w:sz w:val="17"/>
          <w:szCs w:val="17"/>
          <w:color w:val="auto"/>
        </w:rPr>
        <w:t>If filing as a non</w:t>
      </w:r>
      <w:r>
        <w:rPr>
          <w:rFonts w:ascii="MS PGothic" w:cs="MS PGothic" w:eastAsia="MS PGothic" w:hAnsi="MS PGothic"/>
          <w:sz w:val="17"/>
          <w:szCs w:val="17"/>
          <w:color w:val="auto"/>
        </w:rPr>
        <w:t>‑</w:t>
      </w:r>
      <w:r>
        <w:rPr>
          <w:rFonts w:ascii="Courier New" w:cs="Courier New" w:eastAsia="Courier New" w:hAnsi="Courier New"/>
          <w:sz w:val="17"/>
          <w:szCs w:val="17"/>
          <w:color w:val="auto"/>
        </w:rPr>
        <w:t>U.S. institution in accordance with §240.13d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1(b)(1)(ii) (J).</w:t>
      </w:r>
    </w:p>
    <w:p>
      <w:pPr>
        <w:spacing w:after="0" w:line="9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129"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7"/>
          <w:szCs w:val="17"/>
          <w:color w:val="auto"/>
        </w:rPr>
        <w:t>Ownership</w:t>
      </w:r>
    </w:p>
    <w:p>
      <w:pPr>
        <w:spacing w:after="0" w:line="120" w:lineRule="exact"/>
        <w:rPr>
          <w:sz w:val="20"/>
          <w:szCs w:val="20"/>
          <w:color w:val="auto"/>
        </w:rPr>
      </w:pPr>
    </w:p>
    <w:p>
      <w:pPr>
        <w:ind w:left="200" w:right="639"/>
        <w:spacing w:after="0" w:line="236" w:lineRule="exact"/>
        <w:rPr>
          <w:sz w:val="20"/>
          <w:szCs w:val="20"/>
          <w:color w:val="auto"/>
        </w:rPr>
      </w:pPr>
      <w:r>
        <w:rPr>
          <w:rFonts w:ascii="Courier New" w:cs="Courier New" w:eastAsia="Courier New" w:hAnsi="Courier New"/>
          <w:sz w:val="17"/>
          <w:szCs w:val="17"/>
          <w:color w:val="auto"/>
        </w:rPr>
        <w:t>The securities reported herein are beneficially owned by one or more open</w:t>
      </w:r>
      <w:r>
        <w:rPr>
          <w:rFonts w:ascii="MS PGothic" w:cs="MS PGothic" w:eastAsia="MS PGothic" w:hAnsi="MS PGothic"/>
          <w:sz w:val="17"/>
          <w:szCs w:val="17"/>
          <w:color w:val="auto"/>
        </w:rPr>
        <w:t>‑</w:t>
      </w:r>
      <w:r>
        <w:rPr>
          <w:rFonts w:ascii="Courier New" w:cs="Courier New" w:eastAsia="Courier New" w:hAnsi="Courier New"/>
          <w:sz w:val="17"/>
          <w:szCs w:val="17"/>
          <w:color w:val="auto"/>
        </w:rPr>
        <w:t xml:space="preserve"> or closed</w:t>
      </w:r>
      <w:r>
        <w:rPr>
          <w:rFonts w:ascii="MS PGothic" w:cs="MS PGothic" w:eastAsia="MS PGothic" w:hAnsi="MS PGothic"/>
          <w:sz w:val="17"/>
          <w:szCs w:val="17"/>
          <w:color w:val="auto"/>
        </w:rPr>
        <w:t>‑</w:t>
      </w:r>
      <w:r>
        <w:rPr>
          <w:rFonts w:ascii="Courier New" w:cs="Courier New" w:eastAsia="Courier New" w:hAnsi="Courier New"/>
          <w:sz w:val="17"/>
          <w:szCs w:val="17"/>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w:t>
      </w:r>
      <w:r>
        <w:rPr>
          <w:rFonts w:ascii="MS PGothic" w:cs="MS PGothic" w:eastAsia="MS PGothic" w:hAnsi="MS PGothic"/>
          <w:sz w:val="17"/>
          <w:szCs w:val="17"/>
          <w:color w:val="auto"/>
        </w:rPr>
        <w:t>‑</w:t>
      </w:r>
      <w:r>
        <w:rPr>
          <w:rFonts w:ascii="Courier New" w:cs="Courier New" w:eastAsia="Courier New" w:hAnsi="Courier New"/>
          <w:sz w:val="17"/>
          <w:szCs w:val="17"/>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3 under the Act, the Investment Management Subsidiaries listed in this Item 4 may be deemed to be the beneficial owners of the securities reported in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337820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3" w:right="1440" w:bottom="1440" w:gutter="0" w:footer="0" w:header="0"/>
          <w:type w:val="continuous"/>
        </w:sectPr>
      </w:pPr>
    </w:p>
    <w:bookmarkStart w:id="7" w:name="page8"/>
    <w:bookmarkEnd w:id="7"/>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8 of 14</w:t>
      </w:r>
    </w:p>
    <w:p>
      <w:pPr>
        <w:sectPr>
          <w:pgSz w:w="11900" w:h="16838" w:orient="portrait"/>
          <w:cols w:equalWidth="0" w:num="1">
            <w:col w:w="9919"/>
          </w:cols>
          <w:pgMar w:left="540" w:top="876" w:right="1440" w:bottom="1440" w:gutter="0" w:footer="0" w:header="0"/>
        </w:sectPr>
      </w:pPr>
    </w:p>
    <w:p>
      <w:pPr>
        <w:spacing w:after="0" w:line="147" w:lineRule="exact"/>
        <w:rPr>
          <w:sz w:val="20"/>
          <w:szCs w:val="20"/>
          <w:color w:val="auto"/>
        </w:rPr>
      </w:pPr>
    </w:p>
    <w:p>
      <w:pPr>
        <w:ind w:left="200" w:right="639"/>
        <w:spacing w:after="0" w:line="235"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PGothic" w:cs="MS PGothic" w:eastAsia="MS PGothic" w:hAnsi="MS P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management clients. Consequently, FMA and FRI affiliates report the securities over which they hold investment and voting power separately from each other for purposes of Section 13 of the Act.</w:t>
      </w:r>
    </w:p>
    <w:p>
      <w:pPr>
        <w:spacing w:after="0" w:line="50" w:lineRule="exact"/>
        <w:rPr>
          <w:sz w:val="20"/>
          <w:szCs w:val="20"/>
          <w:color w:val="auto"/>
        </w:rPr>
      </w:pPr>
    </w:p>
    <w:p>
      <w:pPr>
        <w:ind w:left="200" w:right="639"/>
        <w:spacing w:after="0" w:line="236"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55" w:lineRule="exact"/>
        <w:rPr>
          <w:sz w:val="20"/>
          <w:szCs w:val="20"/>
          <w:color w:val="auto"/>
        </w:rPr>
      </w:pPr>
    </w:p>
    <w:p>
      <w:pPr>
        <w:ind w:left="200" w:right="639"/>
        <w:spacing w:after="0" w:line="242"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37" w:lineRule="exact"/>
        <w:rPr>
          <w:sz w:val="20"/>
          <w:szCs w:val="20"/>
          <w:color w:val="auto"/>
        </w:rPr>
      </w:pPr>
    </w:p>
    <w:p>
      <w:pPr>
        <w:ind w:left="1400" w:right="5739" w:hanging="592"/>
        <w:spacing w:after="0" w:line="389" w:lineRule="auto"/>
        <w:tabs>
          <w:tab w:leader="none" w:pos="14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2,359,225</w:t>
      </w:r>
    </w:p>
    <w:p>
      <w:pPr>
        <w:ind w:left="1440" w:hanging="632"/>
        <w:spacing w:after="0"/>
        <w:tabs>
          <w:tab w:leader="none" w:pos="14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120"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8.1%</w:t>
      </w:r>
    </w:p>
    <w:p>
      <w:pPr>
        <w:spacing w:after="0" w:line="134" w:lineRule="exact"/>
        <w:rPr>
          <w:sz w:val="20"/>
          <w:szCs w:val="20"/>
          <w:color w:val="auto"/>
        </w:rPr>
      </w:pPr>
    </w:p>
    <w:p>
      <w:pPr>
        <w:ind w:left="1440" w:hanging="632"/>
        <w:spacing w:after="0"/>
        <w:tabs>
          <w:tab w:leader="none" w:pos="14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133" w:lineRule="exact"/>
        <w:rPr>
          <w:rFonts w:ascii="Courier New" w:cs="Courier New" w:eastAsia="Courier New" w:hAnsi="Courier New"/>
          <w:sz w:val="18"/>
          <w:szCs w:val="18"/>
          <w:color w:val="auto"/>
        </w:rPr>
      </w:pPr>
    </w:p>
    <w:p>
      <w:pPr>
        <w:ind w:left="1740" w:hanging="532"/>
        <w:spacing w:after="0"/>
        <w:tabs>
          <w:tab w:leader="none" w:pos="17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134" w:lineRule="exact"/>
        <w:rPr>
          <w:sz w:val="20"/>
          <w:szCs w:val="20"/>
          <w:color w:val="auto"/>
        </w:rPr>
      </w:pPr>
    </w:p>
    <w:tbl>
      <w:tblPr>
        <w:tblLayout w:type="fixed"/>
        <w:tblInd w:w="1700" w:type="dxa"/>
        <w:tblCellMar>
          <w:top w:w="0" w:type="dxa"/>
          <w:left w:w="0" w:type="dxa"/>
          <w:bottom w:w="0" w:type="dxa"/>
          <w:right w:w="0" w:type="dxa"/>
        </w:tblCellMar>
      </w:tblPr>
      <w:tr>
        <w:trPr>
          <w:trHeight w:val="304"/>
        </w:trPr>
        <w:tc>
          <w:tcPr>
            <w:tcW w:w="522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522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522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522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2,343,025</w:t>
            </w:r>
          </w:p>
        </w:tc>
      </w:tr>
      <w:tr>
        <w:trPr>
          <w:trHeight w:val="311"/>
        </w:trPr>
        <w:tc>
          <w:tcPr>
            <w:tcW w:w="5220" w:type="dxa"/>
            <w:vAlign w:val="bottom"/>
          </w:tcPr>
          <w:p>
            <w:pPr>
              <w:spacing w:after="0"/>
              <w:rPr>
                <w:sz w:val="20"/>
                <w:szCs w:val="20"/>
                <w:color w:val="auto"/>
              </w:rPr>
            </w:pPr>
            <w:r>
              <w:rPr>
                <w:rFonts w:ascii="Courier New" w:cs="Courier New" w:eastAsia="Courier New" w:hAnsi="Courier New"/>
                <w:sz w:val="18"/>
                <w:szCs w:val="18"/>
                <w:color w:val="auto"/>
              </w:rPr>
              <w:t>Fiduciary Trust Company International:</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16,200</w:t>
            </w:r>
          </w:p>
        </w:tc>
      </w:tr>
    </w:tbl>
    <w:p>
      <w:pPr>
        <w:spacing w:after="0" w:line="20" w:lineRule="exact"/>
        <w:rPr>
          <w:sz w:val="20"/>
          <w:szCs w:val="20"/>
          <w:color w:val="auto"/>
        </w:rPr>
      </w:pPr>
    </w:p>
    <w:p>
      <w:pPr>
        <w:ind w:left="1700" w:right="3759" w:hanging="592"/>
        <w:spacing w:after="0" w:line="515" w:lineRule="auto"/>
        <w:tabs>
          <w:tab w:leader="none" w:pos="17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175260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6" w:right="1440" w:bottom="1440" w:gutter="0" w:footer="0" w:header="0"/>
          <w:type w:val="continuous"/>
        </w:sectPr>
      </w:pPr>
    </w:p>
    <w:bookmarkStart w:id="8" w:name="page9"/>
    <w:bookmarkEnd w:id="8"/>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9 of 14</w:t>
      </w:r>
    </w:p>
    <w:p>
      <w:pPr>
        <w:sectPr>
          <w:pgSz w:w="11900" w:h="16838" w:orient="portrait"/>
          <w:cols w:equalWidth="0" w:num="1">
            <w:col w:w="9919"/>
          </w:cols>
          <w:pgMar w:left="540" w:top="876" w:right="1440" w:bottom="1440" w:gutter="0" w:footer="0" w:header="0"/>
        </w:sectPr>
      </w:pPr>
    </w:p>
    <w:p>
      <w:pPr>
        <w:spacing w:after="0" w:line="255" w:lineRule="exact"/>
        <w:rPr>
          <w:sz w:val="20"/>
          <w:szCs w:val="20"/>
          <w:color w:val="auto"/>
        </w:rPr>
      </w:pPr>
    </w:p>
    <w:p>
      <w:pPr>
        <w:ind w:left="1740" w:hanging="732"/>
        <w:spacing w:after="0"/>
        <w:tabs>
          <w:tab w:leader="none" w:pos="1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34" w:lineRule="exact"/>
        <w:rPr>
          <w:sz w:val="20"/>
          <w:szCs w:val="20"/>
          <w:color w:val="auto"/>
        </w:rPr>
      </w:pPr>
    </w:p>
    <w:tbl>
      <w:tblPr>
        <w:tblLayout w:type="fixed"/>
        <w:tblInd w:w="1700" w:type="dxa"/>
        <w:tblCellMar>
          <w:top w:w="0" w:type="dxa"/>
          <w:left w:w="0" w:type="dxa"/>
          <w:bottom w:w="0" w:type="dxa"/>
          <w:right w:w="0" w:type="dxa"/>
        </w:tblCellMar>
      </w:tblPr>
      <w:tr>
        <w:trPr>
          <w:trHeight w:val="304"/>
        </w:trPr>
        <w:tc>
          <w:tcPr>
            <w:tcW w:w="522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522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522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522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2,343,025</w:t>
            </w:r>
          </w:p>
        </w:tc>
      </w:tr>
      <w:tr>
        <w:trPr>
          <w:trHeight w:val="324"/>
        </w:trPr>
        <w:tc>
          <w:tcPr>
            <w:tcW w:w="5220" w:type="dxa"/>
            <w:vAlign w:val="bottom"/>
          </w:tcPr>
          <w:p>
            <w:pPr>
              <w:spacing w:after="0"/>
              <w:rPr>
                <w:sz w:val="20"/>
                <w:szCs w:val="20"/>
                <w:color w:val="auto"/>
              </w:rPr>
            </w:pPr>
            <w:r>
              <w:rPr>
                <w:rFonts w:ascii="Courier New" w:cs="Courier New" w:eastAsia="Courier New" w:hAnsi="Courier New"/>
                <w:sz w:val="18"/>
                <w:szCs w:val="18"/>
                <w:color w:val="auto"/>
              </w:rPr>
              <w:t>Fiduciary Trust Company International:</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16,200</w:t>
            </w:r>
          </w:p>
        </w:tc>
      </w:tr>
    </w:tbl>
    <w:p>
      <w:pPr>
        <w:spacing w:after="0" w:line="74" w:lineRule="exact"/>
        <w:rPr>
          <w:sz w:val="20"/>
          <w:szCs w:val="20"/>
          <w:color w:val="auto"/>
        </w:rPr>
      </w:pPr>
    </w:p>
    <w:p>
      <w:pPr>
        <w:ind w:left="1700" w:right="2319" w:hanging="642"/>
        <w:spacing w:after="0" w:line="468" w:lineRule="auto"/>
        <w:tabs>
          <w:tab w:leader="none" w:pos="178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7"/>
          <w:szCs w:val="17"/>
          <w:color w:val="auto"/>
        </w:rPr>
        <w:t>Ownership of Five Percent or Less of a Class</w:t>
      </w:r>
    </w:p>
    <w:p>
      <w:pPr>
        <w:spacing w:after="0" w:line="161" w:lineRule="exact"/>
        <w:rPr>
          <w:sz w:val="20"/>
          <w:szCs w:val="20"/>
          <w:color w:val="auto"/>
        </w:rPr>
      </w:pPr>
    </w:p>
    <w:p>
      <w:pPr>
        <w:ind w:left="1100" w:right="1119"/>
        <w:spacing w:after="0" w:line="331" w:lineRule="auto"/>
        <w:rPr>
          <w:sz w:val="20"/>
          <w:szCs w:val="20"/>
          <w:color w:val="auto"/>
        </w:rPr>
      </w:pPr>
      <w:r>
        <w:rPr>
          <w:rFonts w:ascii="Courier New" w:cs="Courier New" w:eastAsia="Courier New" w:hAnsi="Courier New"/>
          <w:sz w:val="17"/>
          <w:szCs w:val="17"/>
          <w:color w:val="auto"/>
        </w:rPr>
        <w:t>If this statement is being filed to report the fact that as of the date hereof the reporting person has ceased to be the beneficial owner of more than five percent of the class of securities, check the following [ ].</w:t>
      </w: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134" w:lineRule="exact"/>
        <w:rPr>
          <w:sz w:val="20"/>
          <w:szCs w:val="20"/>
          <w:color w:val="auto"/>
        </w:rPr>
      </w:pPr>
    </w:p>
    <w:p>
      <w:pPr>
        <w:ind w:left="1100" w:right="699"/>
        <w:spacing w:after="0" w:line="29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13" w:lineRule="exact"/>
        <w:rPr>
          <w:sz w:val="20"/>
          <w:szCs w:val="20"/>
          <w:color w:val="auto"/>
        </w:rPr>
      </w:pPr>
    </w:p>
    <w:p>
      <w:pPr>
        <w:ind w:left="1100" w:right="1379" w:hanging="899"/>
        <w:spacing w:after="0" w:line="403"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4"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42"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7"/>
          <w:szCs w:val="17"/>
          <w:color w:val="auto"/>
        </w:rPr>
        <w:t>Identification and Classification of Members of the Group</w:t>
      </w:r>
    </w:p>
    <w:p>
      <w:pPr>
        <w:spacing w:after="0" w:line="24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42"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4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327025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6" w:right="1440" w:bottom="1440" w:gutter="0" w:footer="0" w:header="0"/>
          <w:type w:val="continuous"/>
        </w:sectPr>
      </w:pPr>
    </w:p>
    <w:bookmarkStart w:id="9" w:name="page10"/>
    <w:bookmarkEnd w:id="9"/>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919"/>
          </w:cols>
          <w:pgMar w:left="540" w:top="889" w:right="1440" w:bottom="1440" w:gutter="0" w:footer="0" w:header="0"/>
        </w:sectPr>
      </w:pPr>
    </w:p>
    <w:p>
      <w:pPr>
        <w:spacing w:after="0" w:line="161" w:lineRule="exact"/>
        <w:rPr>
          <w:sz w:val="20"/>
          <w:szCs w:val="20"/>
          <w:color w:val="auto"/>
        </w:rPr>
      </w:pPr>
    </w:p>
    <w:p>
      <w:pPr>
        <w:ind w:left="200"/>
        <w:spacing w:after="0"/>
        <w:tabs>
          <w:tab w:leader="none" w:pos="12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7"/>
          <w:szCs w:val="17"/>
          <w:color w:val="auto"/>
        </w:rPr>
        <w:t>Certification</w:t>
      </w:r>
    </w:p>
    <w:p>
      <w:pPr>
        <w:spacing w:after="0" w:line="134" w:lineRule="exact"/>
        <w:rPr>
          <w:sz w:val="20"/>
          <w:szCs w:val="20"/>
          <w:color w:val="auto"/>
        </w:rPr>
      </w:pPr>
    </w:p>
    <w:p>
      <w:pPr>
        <w:ind w:left="200" w:right="759"/>
        <w:spacing w:after="0" w:line="29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0" w:lineRule="exact"/>
        <w:rPr>
          <w:sz w:val="20"/>
          <w:szCs w:val="20"/>
          <w:color w:val="auto"/>
        </w:rPr>
      </w:pPr>
    </w:p>
    <w:p>
      <w:pPr>
        <w:ind w:left="200" w:right="959"/>
        <w:spacing w:after="0" w:line="424" w:lineRule="auto"/>
        <w:rPr>
          <w:sz w:val="20"/>
          <w:szCs w:val="20"/>
          <w:color w:val="auto"/>
        </w:rPr>
      </w:pPr>
      <w:r>
        <w:rPr>
          <w:rFonts w:ascii="Courier New" w:cs="Courier New" w:eastAsia="Courier New" w:hAnsi="Courier New"/>
          <w:sz w:val="17"/>
          <w:szCs w:val="17"/>
          <w:color w:val="auto"/>
        </w:rPr>
        <w:t>This report shall not be construed as an admission by the persons filing the report that they are the beneficial owner of any securities covered by this report.</w:t>
      </w:r>
    </w:p>
    <w:p>
      <w:pPr>
        <w:spacing w:after="0" w:line="10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58"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6" w:lineRule="exact"/>
        <w:rPr>
          <w:sz w:val="20"/>
          <w:szCs w:val="20"/>
          <w:color w:val="auto"/>
        </w:rPr>
      </w:pPr>
    </w:p>
    <w:p>
      <w:pPr>
        <w:ind w:left="1100" w:right="1119"/>
        <w:spacing w:after="0" w:line="385" w:lineRule="auto"/>
        <w:rPr>
          <w:sz w:val="20"/>
          <w:szCs w:val="20"/>
          <w:color w:val="auto"/>
        </w:rPr>
      </w:pPr>
      <w:r>
        <w:rPr>
          <w:rFonts w:ascii="Courier New" w:cs="Courier New" w:eastAsia="Courier New" w:hAnsi="Courier New"/>
          <w:sz w:val="17"/>
          <w:szCs w:val="17"/>
          <w:color w:val="auto"/>
        </w:rPr>
        <w:t>Exhibit B Limited Powers of Attorney for Section 13 Reporting Obligations Exhibit C Item 7 Identification and Classification of Subsidiaries</w:t>
      </w:r>
    </w:p>
    <w:p>
      <w:pPr>
        <w:spacing w:after="0" w:line="2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200" w:right="959"/>
        <w:spacing w:after="0" w:line="38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3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February 2, 2016</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spacing w:after="0"/>
        <w:tabs>
          <w:tab w:leader="none" w:pos="9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/s/MARIA GRAY</w:t>
      </w:r>
    </w:p>
    <w:p>
      <w:pPr>
        <w:spacing w:after="0" w:line="54" w:lineRule="exact"/>
        <w:rPr>
          <w:sz w:val="20"/>
          <w:szCs w:val="20"/>
          <w:color w:val="auto"/>
        </w:rPr>
      </w:pPr>
    </w:p>
    <w:p>
      <w:pPr>
        <w:ind w:left="8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Maria Gray</w:t>
      </w:r>
    </w:p>
    <w:p>
      <w:pPr>
        <w:spacing w:after="0" w:line="2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Vice President and Secretary of Franklin Resources, Inc.</w:t>
      </w:r>
    </w:p>
    <w:p>
      <w:pPr>
        <w:spacing w:after="0" w:line="345" w:lineRule="exact"/>
        <w:rPr>
          <w:sz w:val="20"/>
          <w:szCs w:val="20"/>
          <w:color w:val="auto"/>
        </w:rPr>
      </w:pPr>
    </w:p>
    <w:p>
      <w:pPr>
        <w:ind w:left="860" w:right="919"/>
        <w:spacing w:after="0" w:line="281"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115" w:lineRule="exact"/>
        <w:rPr>
          <w:sz w:val="20"/>
          <w:szCs w:val="20"/>
          <w:color w:val="auto"/>
        </w:rPr>
      </w:pPr>
    </w:p>
    <w:p>
      <w:pPr>
        <w:ind w:left="860" w:right="1439"/>
        <w:spacing w:after="0" w:line="281"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128" w:lineRule="exact"/>
        <w:rPr>
          <w:sz w:val="20"/>
          <w:szCs w:val="20"/>
          <w:color w:val="auto"/>
        </w:rPr>
      </w:pPr>
    </w:p>
    <w:p>
      <w:pPr>
        <w:ind w:left="980"/>
        <w:spacing w:after="0"/>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644525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89" w:right="1440" w:bottom="1440" w:gutter="0" w:footer="0" w:header="0"/>
          <w:type w:val="continuous"/>
        </w:sectPr>
      </w:pPr>
    </w:p>
    <w:bookmarkStart w:id="10" w:name="page11"/>
    <w:bookmarkEnd w:id="10"/>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919"/>
          </w:cols>
          <w:pgMar w:left="540" w:top="876" w:right="1440" w:bottom="1440" w:gutter="0" w:footer="0" w:header="0"/>
        </w:sectPr>
      </w:pP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161" w:lineRule="exact"/>
        <w:rPr>
          <w:sz w:val="20"/>
          <w:szCs w:val="20"/>
          <w:color w:val="auto"/>
        </w:rPr>
      </w:pPr>
    </w:p>
    <w:p>
      <w:pPr>
        <w:ind w:left="200" w:right="959"/>
        <w:spacing w:after="0" w:line="250" w:lineRule="exact"/>
        <w:rPr>
          <w:sz w:val="20"/>
          <w:szCs w:val="20"/>
          <w:color w:val="auto"/>
        </w:rPr>
      </w:pPr>
      <w:r>
        <w:rPr>
          <w:rFonts w:ascii="Courier New" w:cs="Courier New" w:eastAsia="Courier New" w:hAnsi="Courier New"/>
          <w:sz w:val="18"/>
          <w:szCs w:val="18"/>
          <w:color w:val="auto"/>
        </w:rPr>
        <w:t>In accordance with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February 2, 2016.</w:t>
      </w:r>
    </w:p>
    <w:p>
      <w:pPr>
        <w:spacing w:after="0" w:line="14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spacing w:after="0"/>
        <w:tabs>
          <w:tab w:leader="none" w:pos="9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/s/MARIA GRAY</w:t>
      </w:r>
    </w:p>
    <w:p>
      <w:pPr>
        <w:spacing w:after="0" w:line="54" w:lineRule="exact"/>
        <w:rPr>
          <w:sz w:val="20"/>
          <w:szCs w:val="20"/>
          <w:color w:val="auto"/>
        </w:rPr>
      </w:pPr>
    </w:p>
    <w:p>
      <w:pPr>
        <w:ind w:left="8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Maria Gray</w:t>
      </w:r>
    </w:p>
    <w:p>
      <w:pPr>
        <w:spacing w:after="0" w:line="2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Vice President and Secretary of Franklin Resources, Inc.</w:t>
      </w:r>
    </w:p>
    <w:p>
      <w:pPr>
        <w:spacing w:after="0" w:line="345" w:lineRule="exact"/>
        <w:rPr>
          <w:sz w:val="20"/>
          <w:szCs w:val="20"/>
          <w:color w:val="auto"/>
        </w:rPr>
      </w:pPr>
    </w:p>
    <w:p>
      <w:pPr>
        <w:ind w:left="860" w:right="919"/>
        <w:spacing w:after="0" w:line="281"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115" w:lineRule="exact"/>
        <w:rPr>
          <w:sz w:val="20"/>
          <w:szCs w:val="20"/>
          <w:color w:val="auto"/>
        </w:rPr>
      </w:pPr>
    </w:p>
    <w:p>
      <w:pPr>
        <w:ind w:left="860" w:right="1439"/>
        <w:spacing w:after="0" w:line="281"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128" w:lineRule="exact"/>
        <w:rPr>
          <w:sz w:val="20"/>
          <w:szCs w:val="20"/>
          <w:color w:val="auto"/>
        </w:rPr>
      </w:pPr>
    </w:p>
    <w:p>
      <w:pPr>
        <w:ind w:left="980"/>
        <w:spacing w:after="0"/>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2462530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6" w:right="1440" w:bottom="1440" w:gutter="0" w:footer="0" w:header="0"/>
          <w:type w:val="continuous"/>
        </w:sectPr>
      </w:pPr>
    </w:p>
    <w:bookmarkStart w:id="11" w:name="page12"/>
    <w:bookmarkEnd w:id="11"/>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ectPr>
          <w:pgSz w:w="11900" w:h="16838" w:orient="portrait"/>
          <w:cols w:equalWidth="0" w:num="1">
            <w:col w:w="9919"/>
          </w:cols>
          <w:pgMar w:left="540" w:top="903" w:right="1440" w:bottom="1440" w:gutter="0" w:footer="0" w:header="0"/>
        </w:sectPr>
      </w:pPr>
    </w:p>
    <w:p>
      <w:pPr>
        <w:spacing w:after="0" w:line="17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B</w:t>
      </w:r>
    </w:p>
    <w:p>
      <w:pPr>
        <w:spacing w:after="0" w:line="242" w:lineRule="exact"/>
        <w:rPr>
          <w:sz w:val="20"/>
          <w:szCs w:val="20"/>
          <w:color w:val="auto"/>
        </w:rPr>
      </w:pPr>
    </w:p>
    <w:p>
      <w:pPr>
        <w:jc w:val="center"/>
        <w:ind w:right="759"/>
        <w:spacing w:after="0"/>
        <w:rPr>
          <w:sz w:val="20"/>
          <w:szCs w:val="20"/>
          <w:color w:val="auto"/>
        </w:rPr>
      </w:pPr>
      <w:r>
        <w:rPr>
          <w:rFonts w:ascii="Courier New" w:cs="Courier New" w:eastAsia="Courier New" w:hAnsi="Courier New"/>
          <w:sz w:val="18"/>
          <w:szCs w:val="18"/>
          <w:color w:val="auto"/>
        </w:rPr>
        <w:t>LIMITED POWER OF ATTORNEY</w:t>
      </w:r>
    </w:p>
    <w:p>
      <w:pPr>
        <w:spacing w:after="0" w:line="58"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10" w:lineRule="exact"/>
        <w:rPr>
          <w:sz w:val="20"/>
          <w:szCs w:val="20"/>
          <w:color w:val="auto"/>
        </w:rPr>
      </w:pPr>
    </w:p>
    <w:p>
      <w:pPr>
        <w:ind w:left="200" w:right="639" w:firstLine="1200"/>
        <w:spacing w:after="0" w:line="245"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with full power and authority as hereinafter described on behalf of and in the name, place and stead of the undersigned to:</w:t>
      </w:r>
    </w:p>
    <w:p>
      <w:pPr>
        <w:spacing w:after="0" w:line="143" w:lineRule="exact"/>
        <w:rPr>
          <w:sz w:val="20"/>
          <w:szCs w:val="20"/>
          <w:color w:val="auto"/>
        </w:rPr>
      </w:pPr>
    </w:p>
    <w:p>
      <w:pPr>
        <w:ind w:left="200" w:right="639" w:firstLine="8"/>
        <w:spacing w:after="0" w:line="289" w:lineRule="auto"/>
        <w:tabs>
          <w:tab w:leader="none" w:pos="14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04" w:lineRule="exact"/>
        <w:rPr>
          <w:rFonts w:ascii="Courier New" w:cs="Courier New" w:eastAsia="Courier New" w:hAnsi="Courier New"/>
          <w:sz w:val="18"/>
          <w:szCs w:val="18"/>
          <w:color w:val="auto"/>
        </w:rPr>
      </w:pPr>
    </w:p>
    <w:p>
      <w:pPr>
        <w:ind w:left="1480" w:hanging="1272"/>
        <w:spacing w:after="0"/>
        <w:tabs>
          <w:tab w:leader="none" w:pos="14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41" w:lineRule="exact"/>
        <w:rPr>
          <w:sz w:val="20"/>
          <w:szCs w:val="20"/>
          <w:color w:val="auto"/>
        </w:rPr>
      </w:pPr>
    </w:p>
    <w:p>
      <w:pPr>
        <w:ind w:left="200" w:right="1039"/>
        <w:spacing w:after="0" w:line="259"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143"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42" w:lineRule="exact"/>
        <w:rPr>
          <w:sz w:val="20"/>
          <w:szCs w:val="20"/>
          <w:color w:val="auto"/>
        </w:rPr>
      </w:pPr>
    </w:p>
    <w:p>
      <w:pPr>
        <w:ind w:left="200" w:right="639" w:firstLine="8"/>
        <w:spacing w:after="0" w:line="240" w:lineRule="exact"/>
        <w:tabs>
          <w:tab w:leader="none" w:pos="14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jc w:val="both"/>
        <w:ind w:left="200" w:right="719" w:firstLine="8"/>
        <w:spacing w:after="0" w:line="230" w:lineRule="exact"/>
        <w:tabs>
          <w:tab w:leader="none" w:pos="14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ind w:left="1480" w:hanging="1272"/>
        <w:spacing w:after="0" w:line="209" w:lineRule="exact"/>
        <w:tabs>
          <w:tab w:leader="none" w:pos="14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w:t>
      </w:r>
    </w:p>
    <w:p>
      <w:pPr>
        <w:spacing w:after="0" w:line="20" w:lineRule="exact"/>
        <w:rPr>
          <w:rFonts w:ascii="Courier New" w:cs="Courier New" w:eastAsia="Courier New" w:hAnsi="Courier New"/>
          <w:sz w:val="18"/>
          <w:szCs w:val="18"/>
          <w:color w:val="auto"/>
        </w:rPr>
      </w:pPr>
    </w:p>
    <w:p>
      <w:pPr>
        <w:jc w:val="both"/>
        <w:ind w:left="200" w:right="639"/>
        <w:spacing w:after="0" w:line="2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any liability for the undersigned’s responsibility to comply with the requirements of the Exchange Act or (ii) any liability of the undersigned for any failure to comply with such requirements; and</w:t>
      </w:r>
    </w:p>
    <w:p>
      <w:pPr>
        <w:ind w:left="200" w:right="859" w:firstLine="8"/>
        <w:spacing w:after="0" w:line="270" w:lineRule="auto"/>
        <w:tabs>
          <w:tab w:leader="none" w:pos="14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ind w:left="200" w:right="759" w:firstLine="1200"/>
        <w:spacing w:after="0" w:line="230"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2" w:lineRule="exact"/>
        <w:rPr>
          <w:rFonts w:ascii="Courier New" w:cs="Courier New" w:eastAsia="Courier New" w:hAnsi="Courier New"/>
          <w:sz w:val="18"/>
          <w:szCs w:val="18"/>
          <w:color w:val="auto"/>
        </w:rPr>
      </w:pPr>
    </w:p>
    <w:p>
      <w:pPr>
        <w:ind w:left="200" w:right="719" w:firstLine="1200"/>
        <w:spacing w:after="0" w:line="244"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r>
              <w:rPr>
                <w:rFonts w:ascii="Courier New" w:cs="Courier New" w:eastAsia="Courier New" w:hAnsi="Courier New"/>
                <w:sz w:val="18"/>
                <w:szCs w:val="18"/>
                <w:color w:val="auto"/>
              </w:rPr>
              <w:t>IN WITNESS WHEREOF,</w:t>
            </w:r>
          </w:p>
        </w:tc>
        <w:tc>
          <w:tcPr>
            <w:tcW w:w="4800" w:type="dxa"/>
            <w:vAlign w:val="bottom"/>
            <w:gridSpan w:val="5"/>
          </w:tcPr>
          <w:p>
            <w:pPr>
              <w:jc w:val="right"/>
              <w:ind w:right="60"/>
              <w:spacing w:after="0"/>
              <w:rPr>
                <w:sz w:val="20"/>
                <w:szCs w:val="20"/>
                <w:color w:val="auto"/>
              </w:rPr>
            </w:pPr>
            <w:r>
              <w:rPr>
                <w:rFonts w:ascii="Courier New" w:cs="Courier New" w:eastAsia="Courier New" w:hAnsi="Courier New"/>
                <w:sz w:val="18"/>
                <w:szCs w:val="18"/>
                <w:color w:val="auto"/>
                <w:w w:val="97"/>
              </w:rPr>
              <w:t>the undersigned has caused this Limited Power</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of Attorney to be</w:t>
            </w:r>
          </w:p>
        </w:tc>
      </w:tr>
      <w:tr>
        <w:trPr>
          <w:trHeight w:val="195"/>
        </w:trPr>
        <w:tc>
          <w:tcPr>
            <w:tcW w:w="2120" w:type="dxa"/>
            <w:vAlign w:val="bottom"/>
          </w:tcPr>
          <w:p>
            <w:pPr>
              <w:spacing w:after="0" w:line="196" w:lineRule="exact"/>
              <w:rPr>
                <w:sz w:val="20"/>
                <w:szCs w:val="20"/>
                <w:color w:val="auto"/>
              </w:rPr>
            </w:pPr>
            <w:r>
              <w:rPr>
                <w:rFonts w:ascii="Courier New" w:cs="Courier New" w:eastAsia="Courier New" w:hAnsi="Courier New"/>
                <w:sz w:val="18"/>
                <w:szCs w:val="18"/>
                <w:color w:val="auto"/>
              </w:rPr>
              <w:t>executed as of this</w:t>
            </w:r>
          </w:p>
        </w:tc>
        <w:tc>
          <w:tcPr>
            <w:tcW w:w="1580" w:type="dxa"/>
            <w:vAlign w:val="bottom"/>
          </w:tcPr>
          <w:p>
            <w:pPr>
              <w:ind w:left="520"/>
              <w:spacing w:after="0" w:line="196" w:lineRule="exact"/>
              <w:rPr>
                <w:sz w:val="20"/>
                <w:szCs w:val="20"/>
                <w:color w:val="auto"/>
              </w:rPr>
            </w:pPr>
            <w:r>
              <w:rPr>
                <w:rFonts w:ascii="Courier New" w:cs="Courier New" w:eastAsia="Courier New" w:hAnsi="Courier New"/>
                <w:sz w:val="18"/>
                <w:szCs w:val="18"/>
                <w:color w:val="auto"/>
              </w:rPr>
              <w:t>30th</w:t>
            </w:r>
          </w:p>
        </w:tc>
        <w:tc>
          <w:tcPr>
            <w:tcW w:w="740" w:type="dxa"/>
            <w:vAlign w:val="bottom"/>
          </w:tcPr>
          <w:p>
            <w:pPr>
              <w:spacing w:after="0" w:line="196" w:lineRule="exact"/>
              <w:rPr>
                <w:sz w:val="20"/>
                <w:szCs w:val="20"/>
                <w:color w:val="auto"/>
              </w:rPr>
            </w:pPr>
            <w:r>
              <w:rPr>
                <w:rFonts w:ascii="Courier New" w:cs="Courier New" w:eastAsia="Courier New" w:hAnsi="Courier New"/>
                <w:sz w:val="18"/>
                <w:szCs w:val="18"/>
                <w:color w:val="auto"/>
              </w:rPr>
              <w:t>day of</w:t>
            </w:r>
          </w:p>
        </w:tc>
        <w:tc>
          <w:tcPr>
            <w:tcW w:w="1900" w:type="dxa"/>
            <w:vAlign w:val="bottom"/>
          </w:tcPr>
          <w:p>
            <w:pPr>
              <w:ind w:left="940"/>
              <w:spacing w:after="0" w:line="196" w:lineRule="exact"/>
              <w:rPr>
                <w:sz w:val="20"/>
                <w:szCs w:val="20"/>
                <w:color w:val="auto"/>
              </w:rPr>
            </w:pPr>
            <w:r>
              <w:rPr>
                <w:rFonts w:ascii="Courier New" w:cs="Courier New" w:eastAsia="Courier New" w:hAnsi="Courier New"/>
                <w:sz w:val="18"/>
                <w:szCs w:val="18"/>
                <w:color w:val="auto"/>
              </w:rPr>
              <w:t>April</w:t>
            </w:r>
          </w:p>
        </w:tc>
        <w:tc>
          <w:tcPr>
            <w:tcW w:w="580" w:type="dxa"/>
            <w:vAlign w:val="bottom"/>
            <w:gridSpan w:val="2"/>
          </w:tcPr>
          <w:p>
            <w:pPr>
              <w:jc w:val="right"/>
              <w:ind w:right="60"/>
              <w:spacing w:after="0" w:line="196"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ind w:left="40"/>
              <w:spacing w:after="0" w:line="196" w:lineRule="exact"/>
              <w:rPr>
                <w:sz w:val="20"/>
                <w:szCs w:val="20"/>
                <w:color w:val="auto"/>
              </w:rPr>
            </w:pPr>
            <w:r>
              <w:rPr>
                <w:rFonts w:ascii="Courier New" w:cs="Courier New" w:eastAsia="Courier New" w:hAnsi="Courier New"/>
                <w:sz w:val="18"/>
                <w:szCs w:val="18"/>
                <w:color w:val="auto"/>
              </w:rPr>
              <w:t>2007</w:t>
            </w:r>
          </w:p>
        </w:tc>
      </w:tr>
      <w:tr>
        <w:trPr>
          <w:trHeight w:val="20"/>
        </w:trPr>
        <w:tc>
          <w:tcPr>
            <w:tcW w:w="2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37"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58"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Signature</w:t>
      </w:r>
    </w:p>
    <w:p>
      <w:pPr>
        <w:spacing w:after="0" w:line="102"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44" w:lineRule="exact"/>
        <w:rPr>
          <w:sz w:val="20"/>
          <w:szCs w:val="20"/>
          <w:color w:val="auto"/>
        </w:rPr>
      </w:pPr>
    </w:p>
    <w:p>
      <w:pPr>
        <w:ind w:left="634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298450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3" w:right="1440" w:bottom="1440" w:gutter="0" w:footer="0" w:header="0"/>
          <w:type w:val="continuous"/>
        </w:sectPr>
      </w:pPr>
    </w:p>
    <w:bookmarkStart w:id="12" w:name="page13"/>
    <w:bookmarkEnd w:id="1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ectPr>
          <w:pgSz w:w="11900" w:h="16838" w:orient="portrait"/>
          <w:cols w:equalWidth="0" w:num="1">
            <w:col w:w="9919"/>
          </w:cols>
          <w:pgMar w:left="540" w:top="876" w:right="1440" w:bottom="1440" w:gutter="0" w:footer="0" w:header="0"/>
        </w:sectPr>
      </w:pPr>
    </w:p>
    <w:p>
      <w:pPr>
        <w:spacing w:after="0" w:line="147" w:lineRule="exact"/>
        <w:rPr>
          <w:sz w:val="20"/>
          <w:szCs w:val="20"/>
          <w:color w:val="auto"/>
        </w:rPr>
      </w:pPr>
    </w:p>
    <w:p>
      <w:pPr>
        <w:jc w:val="center"/>
        <w:ind w:right="859"/>
        <w:spacing w:after="0"/>
        <w:rPr>
          <w:sz w:val="20"/>
          <w:szCs w:val="20"/>
          <w:color w:val="auto"/>
        </w:rPr>
      </w:pPr>
      <w:r>
        <w:rPr>
          <w:rFonts w:ascii="Courier New" w:cs="Courier New" w:eastAsia="Courier New" w:hAnsi="Courier New"/>
          <w:sz w:val="18"/>
          <w:szCs w:val="18"/>
          <w:color w:val="auto"/>
        </w:rPr>
        <w:t>LIMITED POWER OF ATTORNEY</w:t>
      </w:r>
    </w:p>
    <w:p>
      <w:pPr>
        <w:spacing w:after="0" w:line="58" w:lineRule="exact"/>
        <w:rPr>
          <w:sz w:val="20"/>
          <w:szCs w:val="20"/>
          <w:color w:val="auto"/>
        </w:rPr>
      </w:pPr>
    </w:p>
    <w:p>
      <w:pPr>
        <w:jc w:val="center"/>
        <w:ind w:right="979"/>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10" w:lineRule="exact"/>
        <w:rPr>
          <w:sz w:val="20"/>
          <w:szCs w:val="20"/>
          <w:color w:val="auto"/>
        </w:rPr>
      </w:pPr>
    </w:p>
    <w:p>
      <w:pPr>
        <w:ind w:left="200" w:right="859" w:firstLine="1200"/>
        <w:spacing w:after="0" w:line="245"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with full power and authority as hereinafter described on behalf of and in the name, place and stead of the undersigned to:</w:t>
      </w:r>
    </w:p>
    <w:p>
      <w:pPr>
        <w:spacing w:after="0" w:line="143" w:lineRule="exact"/>
        <w:rPr>
          <w:sz w:val="20"/>
          <w:szCs w:val="20"/>
          <w:color w:val="auto"/>
        </w:rPr>
      </w:pPr>
    </w:p>
    <w:p>
      <w:pPr>
        <w:ind w:left="200" w:right="859" w:firstLine="8"/>
        <w:spacing w:after="0" w:line="289" w:lineRule="auto"/>
        <w:tabs>
          <w:tab w:leader="none" w:pos="146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04" w:lineRule="exact"/>
        <w:rPr>
          <w:rFonts w:ascii="Courier New" w:cs="Courier New" w:eastAsia="Courier New" w:hAnsi="Courier New"/>
          <w:sz w:val="18"/>
          <w:szCs w:val="18"/>
          <w:color w:val="auto"/>
        </w:rPr>
      </w:pPr>
    </w:p>
    <w:p>
      <w:pPr>
        <w:ind w:left="1480" w:hanging="1272"/>
        <w:spacing w:after="0"/>
        <w:tabs>
          <w:tab w:leader="none" w:pos="14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41" w:lineRule="exact"/>
        <w:rPr>
          <w:sz w:val="20"/>
          <w:szCs w:val="20"/>
          <w:color w:val="auto"/>
        </w:rPr>
      </w:pPr>
    </w:p>
    <w:p>
      <w:pPr>
        <w:ind w:left="200" w:right="1039"/>
        <w:spacing w:after="0" w:line="259"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143"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42" w:lineRule="exact"/>
        <w:rPr>
          <w:sz w:val="20"/>
          <w:szCs w:val="20"/>
          <w:color w:val="auto"/>
        </w:rPr>
      </w:pPr>
    </w:p>
    <w:p>
      <w:pPr>
        <w:ind w:left="200" w:right="1179" w:firstLine="8"/>
        <w:spacing w:after="0" w:line="240" w:lineRule="exact"/>
        <w:tabs>
          <w:tab w:leader="none" w:pos="146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ind w:left="200" w:right="939" w:firstLine="8"/>
        <w:spacing w:after="0" w:line="230" w:lineRule="exact"/>
        <w:tabs>
          <w:tab w:leader="none" w:pos="146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ind w:left="200" w:right="1179" w:firstLine="8"/>
        <w:spacing w:after="0" w:line="230" w:lineRule="exact"/>
        <w:tabs>
          <w:tab w:leader="none" w:pos="146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2" w:lineRule="exact"/>
        <w:rPr>
          <w:rFonts w:ascii="Courier New" w:cs="Courier New" w:eastAsia="Courier New" w:hAnsi="Courier New"/>
          <w:sz w:val="18"/>
          <w:szCs w:val="18"/>
          <w:color w:val="auto"/>
        </w:rPr>
      </w:pPr>
    </w:p>
    <w:p>
      <w:pPr>
        <w:ind w:left="200" w:right="859" w:firstLine="8"/>
        <w:spacing w:after="0" w:line="270" w:lineRule="auto"/>
        <w:tabs>
          <w:tab w:leader="none" w:pos="146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ind w:left="200" w:right="759" w:firstLine="1200"/>
        <w:spacing w:after="0" w:line="230"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2" w:lineRule="exact"/>
        <w:rPr>
          <w:rFonts w:ascii="Courier New" w:cs="Courier New" w:eastAsia="Courier New" w:hAnsi="Courier New"/>
          <w:sz w:val="18"/>
          <w:szCs w:val="18"/>
          <w:color w:val="auto"/>
        </w:rPr>
      </w:pPr>
    </w:p>
    <w:p>
      <w:pPr>
        <w:ind w:left="200" w:right="1339" w:firstLine="1200"/>
        <w:spacing w:after="0" w:line="244"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Courier New" w:cs="Courier New" w:eastAsia="Courier New" w:hAnsi="Courier New"/>
                <w:sz w:val="18"/>
                <w:szCs w:val="18"/>
                <w:color w:val="auto"/>
                <w:w w:val="97"/>
              </w:rPr>
              <w:t>IN WITNESS WHEREOF,</w:t>
            </w:r>
          </w:p>
        </w:tc>
        <w:tc>
          <w:tcPr>
            <w:tcW w:w="520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the undersigned has caused this Limited Power of</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w w:val="96"/>
              </w:rPr>
              <w:t>Attorney to be</w:t>
            </w:r>
          </w:p>
        </w:tc>
      </w:tr>
      <w:tr>
        <w:trPr>
          <w:trHeight w:val="195"/>
        </w:trPr>
        <w:tc>
          <w:tcPr>
            <w:tcW w:w="2020" w:type="dxa"/>
            <w:vAlign w:val="bottom"/>
          </w:tcPr>
          <w:p>
            <w:pPr>
              <w:spacing w:after="0" w:line="196" w:lineRule="exact"/>
              <w:rPr>
                <w:sz w:val="20"/>
                <w:szCs w:val="20"/>
                <w:color w:val="auto"/>
              </w:rPr>
            </w:pPr>
            <w:r>
              <w:rPr>
                <w:rFonts w:ascii="Courier New" w:cs="Courier New" w:eastAsia="Courier New" w:hAnsi="Courier New"/>
                <w:sz w:val="18"/>
                <w:szCs w:val="18"/>
                <w:color w:val="auto"/>
                <w:w w:val="97"/>
              </w:rPr>
              <w:t>executed as of this</w:t>
            </w:r>
          </w:p>
        </w:tc>
        <w:tc>
          <w:tcPr>
            <w:tcW w:w="2300" w:type="dxa"/>
            <w:vAlign w:val="bottom"/>
            <w:tcBorders>
              <w:bottom w:val="single" w:sz="8" w:color="auto"/>
            </w:tcBorders>
          </w:tcPr>
          <w:p>
            <w:pPr>
              <w:ind w:left="940"/>
              <w:spacing w:after="0" w:line="196" w:lineRule="exact"/>
              <w:rPr>
                <w:sz w:val="20"/>
                <w:szCs w:val="20"/>
                <w:color w:val="auto"/>
              </w:rPr>
            </w:pPr>
            <w:r>
              <w:rPr>
                <w:rFonts w:ascii="Courier New" w:cs="Courier New" w:eastAsia="Courier New" w:hAnsi="Courier New"/>
                <w:sz w:val="18"/>
                <w:szCs w:val="18"/>
                <w:color w:val="auto"/>
              </w:rPr>
              <w:t>25th</w:t>
            </w:r>
          </w:p>
        </w:tc>
        <w:tc>
          <w:tcPr>
            <w:tcW w:w="740" w:type="dxa"/>
            <w:vAlign w:val="bottom"/>
          </w:tcPr>
          <w:p>
            <w:pPr>
              <w:spacing w:after="0" w:line="196" w:lineRule="exact"/>
              <w:rPr>
                <w:sz w:val="20"/>
                <w:szCs w:val="20"/>
                <w:color w:val="auto"/>
              </w:rPr>
            </w:pPr>
            <w:r>
              <w:rPr>
                <w:rFonts w:ascii="Courier New" w:cs="Courier New" w:eastAsia="Courier New" w:hAnsi="Courier New"/>
                <w:sz w:val="18"/>
                <w:szCs w:val="18"/>
                <w:color w:val="auto"/>
              </w:rPr>
              <w:t>day of</w:t>
            </w:r>
          </w:p>
        </w:tc>
        <w:tc>
          <w:tcPr>
            <w:tcW w:w="2000" w:type="dxa"/>
            <w:vAlign w:val="bottom"/>
            <w:tcBorders>
              <w:bottom w:val="single" w:sz="8" w:color="auto"/>
            </w:tcBorders>
          </w:tcPr>
          <w:p>
            <w:pPr>
              <w:ind w:left="540"/>
              <w:spacing w:after="0" w:line="196" w:lineRule="exact"/>
              <w:rPr>
                <w:sz w:val="20"/>
                <w:szCs w:val="20"/>
                <w:color w:val="auto"/>
              </w:rPr>
            </w:pPr>
            <w:r>
              <w:rPr>
                <w:rFonts w:ascii="Courier New" w:cs="Courier New" w:eastAsia="Courier New" w:hAnsi="Courier New"/>
                <w:sz w:val="18"/>
                <w:szCs w:val="18"/>
                <w:color w:val="auto"/>
              </w:rPr>
              <w:t>April</w:t>
            </w:r>
          </w:p>
        </w:tc>
        <w:tc>
          <w:tcPr>
            <w:tcW w:w="160" w:type="dxa"/>
            <w:vAlign w:val="bottom"/>
          </w:tcPr>
          <w:p>
            <w:pPr>
              <w:jc w:val="right"/>
              <w:spacing w:after="0" w:line="196" w:lineRule="exact"/>
              <w:rPr>
                <w:sz w:val="20"/>
                <w:szCs w:val="20"/>
                <w:color w:val="auto"/>
              </w:rPr>
            </w:pPr>
            <w:r>
              <w:rPr>
                <w:rFonts w:ascii="Courier New" w:cs="Courier New" w:eastAsia="Courier New" w:hAnsi="Courier New"/>
                <w:sz w:val="18"/>
                <w:szCs w:val="18"/>
                <w:color w:val="auto"/>
                <w:w w:val="92"/>
              </w:rPr>
              <w:t>,</w:t>
            </w:r>
          </w:p>
        </w:tc>
        <w:tc>
          <w:tcPr>
            <w:tcW w:w="1540" w:type="dxa"/>
            <w:vAlign w:val="bottom"/>
          </w:tcPr>
          <w:p>
            <w:pPr>
              <w:ind w:left="60"/>
              <w:spacing w:after="0" w:line="196" w:lineRule="exact"/>
              <w:rPr>
                <w:sz w:val="20"/>
                <w:szCs w:val="20"/>
                <w:color w:val="auto"/>
              </w:rPr>
            </w:pPr>
            <w:r>
              <w:rPr>
                <w:rFonts w:ascii="Courier New" w:cs="Courier New" w:eastAsia="Courier New" w:hAnsi="Courier New"/>
                <w:sz w:val="18"/>
                <w:szCs w:val="18"/>
                <w:color w:val="auto"/>
              </w:rPr>
              <w:t>2007</w:t>
            </w:r>
          </w:p>
        </w:tc>
      </w:tr>
    </w:tbl>
    <w:p>
      <w:pPr>
        <w:spacing w:after="0" w:line="237"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58"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Signature</w:t>
      </w:r>
    </w:p>
    <w:p>
      <w:pPr>
        <w:spacing w:after="0" w:line="10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58"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384175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6"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304"/>
        </w:trPr>
        <w:tc>
          <w:tcPr>
            <w:tcW w:w="4500" w:type="dxa"/>
            <w:vAlign w:val="bottom"/>
          </w:tcPr>
          <w:p>
            <w:pPr>
              <w:spacing w:after="0"/>
              <w:rPr>
                <w:sz w:val="20"/>
                <w:szCs w:val="20"/>
                <w:color w:val="auto"/>
              </w:rPr>
            </w:pPr>
            <w:r>
              <w:rPr>
                <w:rFonts w:ascii="Courier New" w:cs="Courier New" w:eastAsia="Courier New" w:hAnsi="Courier New"/>
                <w:sz w:val="18"/>
                <w:szCs w:val="18"/>
                <w:color w:val="auto"/>
              </w:rPr>
              <w:t>CUSIP NO. 34385P108</w:t>
            </w:r>
          </w:p>
        </w:tc>
        <w:tc>
          <w:tcPr>
            <w:tcW w:w="136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3640" w:type="dxa"/>
            <w:vAlign w:val="bottom"/>
          </w:tcPr>
          <w:p>
            <w:pPr>
              <w:ind w:left="2260"/>
              <w:spacing w:after="0"/>
              <w:rPr>
                <w:sz w:val="20"/>
                <w:szCs w:val="20"/>
                <w:color w:val="auto"/>
              </w:rPr>
            </w:pPr>
            <w:r>
              <w:rPr>
                <w:rFonts w:ascii="Courier New" w:cs="Courier New" w:eastAsia="Courier New" w:hAnsi="Courier New"/>
                <w:sz w:val="18"/>
                <w:szCs w:val="18"/>
                <w:color w:val="auto"/>
                <w:w w:val="96"/>
              </w:rPr>
              <w:t>Page 14 of 14</w:t>
            </w:r>
          </w:p>
        </w:tc>
      </w:tr>
      <w:tr>
        <w:trPr>
          <w:trHeight w:val="351"/>
        </w:trPr>
        <w:tc>
          <w:tcPr>
            <w:tcW w:w="4500" w:type="dxa"/>
            <w:vAlign w:val="bottom"/>
          </w:tcPr>
          <w:p>
            <w:pPr>
              <w:ind w:left="200"/>
              <w:spacing w:after="0"/>
              <w:rPr>
                <w:sz w:val="20"/>
                <w:szCs w:val="20"/>
                <w:color w:val="auto"/>
              </w:rPr>
            </w:pPr>
            <w:r>
              <w:rPr>
                <w:rFonts w:ascii="Courier New" w:cs="Courier New" w:eastAsia="Courier New" w:hAnsi="Courier New"/>
                <w:sz w:val="18"/>
                <w:szCs w:val="18"/>
                <w:color w:val="auto"/>
              </w:rPr>
              <w:t>EXHIBIT C</w:t>
            </w:r>
          </w:p>
        </w:tc>
        <w:tc>
          <w:tcPr>
            <w:tcW w:w="13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19"/>
        </w:trPr>
        <w:tc>
          <w:tcPr>
            <w:tcW w:w="4500" w:type="dxa"/>
            <w:vAlign w:val="bottom"/>
          </w:tcPr>
          <w:p>
            <w:pPr>
              <w:ind w:left="200"/>
              <w:spacing w:after="0"/>
              <w:rPr>
                <w:sz w:val="20"/>
                <w:szCs w:val="20"/>
                <w:color w:val="auto"/>
              </w:rPr>
            </w:pPr>
            <w:r>
              <w:rPr>
                <w:rFonts w:ascii="Courier New" w:cs="Courier New" w:eastAsia="Courier New" w:hAnsi="Courier New"/>
                <w:sz w:val="18"/>
                <w:szCs w:val="18"/>
                <w:color w:val="auto"/>
              </w:rPr>
              <w:t>Franklin Advisers, Inc.</w:t>
            </w:r>
          </w:p>
        </w:tc>
        <w:tc>
          <w:tcPr>
            <w:tcW w:w="1360" w:type="dxa"/>
            <w:vAlign w:val="bottom"/>
          </w:tcPr>
          <w:p>
            <w:pPr>
              <w:spacing w:after="0"/>
              <w:rPr>
                <w:sz w:val="24"/>
                <w:szCs w:val="24"/>
                <w:color w:val="auto"/>
              </w:rPr>
            </w:pPr>
          </w:p>
        </w:tc>
        <w:tc>
          <w:tcPr>
            <w:tcW w:w="3640" w:type="dxa"/>
            <w:vAlign w:val="bottom"/>
          </w:tcPr>
          <w:p>
            <w:pPr>
              <w:ind w:left="660"/>
              <w:spacing w:after="0"/>
              <w:rPr>
                <w:sz w:val="20"/>
                <w:szCs w:val="20"/>
                <w:color w:val="auto"/>
              </w:rPr>
            </w:pPr>
            <w:r>
              <w:rPr>
                <w:rFonts w:ascii="Courier New" w:cs="Courier New" w:eastAsia="Courier New" w:hAnsi="Courier New"/>
                <w:sz w:val="18"/>
                <w:szCs w:val="18"/>
                <w:color w:val="auto"/>
              </w:rPr>
              <w:t>Item 3 Classification: 3(e)</w:t>
            </w:r>
          </w:p>
        </w:tc>
      </w:tr>
      <w:tr>
        <w:trPr>
          <w:trHeight w:val="432"/>
        </w:trPr>
        <w:tc>
          <w:tcPr>
            <w:tcW w:w="4500" w:type="dxa"/>
            <w:vAlign w:val="bottom"/>
          </w:tcPr>
          <w:p>
            <w:pPr>
              <w:ind w:left="240"/>
              <w:spacing w:after="0"/>
              <w:rPr>
                <w:sz w:val="20"/>
                <w:szCs w:val="20"/>
                <w:color w:val="auto"/>
              </w:rPr>
            </w:pPr>
            <w:r>
              <w:rPr>
                <w:rFonts w:ascii="Courier New" w:cs="Courier New" w:eastAsia="Courier New" w:hAnsi="Courier New"/>
                <w:sz w:val="18"/>
                <w:szCs w:val="18"/>
                <w:color w:val="auto"/>
              </w:rPr>
              <w:t>Fiduciary Trust Company International</w:t>
            </w:r>
          </w:p>
        </w:tc>
        <w:tc>
          <w:tcPr>
            <w:tcW w:w="1360" w:type="dxa"/>
            <w:vAlign w:val="bottom"/>
          </w:tcPr>
          <w:p>
            <w:pPr>
              <w:spacing w:after="0"/>
              <w:rPr>
                <w:sz w:val="24"/>
                <w:szCs w:val="24"/>
                <w:color w:val="auto"/>
              </w:rPr>
            </w:pPr>
          </w:p>
        </w:tc>
        <w:tc>
          <w:tcPr>
            <w:tcW w:w="3640" w:type="dxa"/>
            <w:vAlign w:val="bottom"/>
          </w:tcPr>
          <w:p>
            <w:pPr>
              <w:ind w:left="700"/>
              <w:spacing w:after="0"/>
              <w:rPr>
                <w:sz w:val="20"/>
                <w:szCs w:val="20"/>
                <w:color w:val="auto"/>
              </w:rPr>
            </w:pPr>
            <w:r>
              <w:rPr>
                <w:rFonts w:ascii="Courier New" w:cs="Courier New" w:eastAsia="Courier New" w:hAnsi="Courier New"/>
                <w:sz w:val="18"/>
                <w:szCs w:val="18"/>
                <w:color w:val="auto"/>
              </w:rPr>
              <w:t>Item 3 Classification: 3(b)</w:t>
            </w:r>
          </w:p>
        </w:tc>
      </w:tr>
    </w:tbl>
    <w:p>
      <w:pPr>
        <w:spacing w:after="0" w:line="1" w:lineRule="exact"/>
        <w:rPr>
          <w:sz w:val="20"/>
          <w:szCs w:val="20"/>
          <w:color w:val="auto"/>
        </w:rPr>
      </w:pPr>
    </w:p>
    <w:sectPr>
      <w:pgSz w:w="11900" w:h="16838" w:orient="portrait"/>
      <w:cols w:equalWidth="0" w:num="1">
        <w:col w:w="9919"/>
      </w:cols>
      <w:pgMar w:left="540" w:top="6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upperLetter"/>
      <w:start w:val="24"/>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1"/>
    </w:lvl>
    <w:lvl w:ilvl="1">
      <w:lvlJc w:val="left"/>
      <w:lvlText w:val="(%2)"/>
      <w:numFmt w:val="lowerLetter"/>
      <w:start w:val="2"/>
    </w:lvl>
  </w:abstractNum>
  <w:abstractNum w:abstractNumId="3">
    <w:nsid w:val="721DA317"/>
    <w:multiLevelType w:val="hybridMultilevel"/>
    <w:lvl w:ilvl="0">
      <w:lvlJc w:val="left"/>
      <w:lvlText w:val="%1."/>
      <w:numFmt w:val="decimal"/>
      <w:start w:val="3"/>
    </w:lvl>
    <w:lvl w:ilvl="1">
      <w:lvlJc w:val="left"/>
      <w:lvlText w:val="%2"/>
      <w:numFmt w:val="lowerLetter"/>
      <w:start w:val="1"/>
    </w:lvl>
  </w:abstractNum>
  <w:abstractNum w:abstractNumId="4">
    <w:nsid w:val="2443A858"/>
    <w:multiLevelType w:val="hybridMultilevel"/>
    <w:lvl w:ilvl="0">
      <w:lvlJc w:val="left"/>
      <w:lvlText w:val="%1."/>
      <w:numFmt w:val="decimal"/>
      <w:start w:val="5"/>
    </w:lvl>
  </w:abstractNum>
  <w:abstractNum w:abstractNumId="5">
    <w:nsid w:val="2D1D5AE9"/>
    <w:multiLevelType w:val="hybridMultilevel"/>
    <w:lvl w:ilvl="0">
      <w:lvlJc w:val="left"/>
      <w:lvlText w:val="%1."/>
      <w:numFmt w:val="decimal"/>
      <w:start w:val="1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lvl w:ilvl="1">
      <w:lvlJc w:val="left"/>
      <w:lvlText w:val="(%2)"/>
      <w:numFmt w:val="lowerLetter"/>
      <w:start w:val="2"/>
    </w:lvl>
  </w:abstractNum>
  <w:abstractNum w:abstractNumId="9">
    <w:nsid w:val="79838CB2"/>
    <w:multiLevelType w:val="hybridMultilevel"/>
    <w:lvl w:ilvl="0">
      <w:lvlJc w:val="left"/>
      <w:lvlText w:val="%1."/>
      <w:numFmt w:val="decimal"/>
      <w:start w:val="3"/>
    </w:lvl>
    <w:lvl w:ilvl="1">
      <w:lvlJc w:val="left"/>
      <w:lvlText w:val="%2"/>
      <w:numFmt w:val="lowerLetter"/>
      <w:start w:val="1"/>
    </w:lvl>
  </w:abstractNum>
  <w:abstractNum w:abstractNumId="10">
    <w:nsid w:val="4353D0CD"/>
    <w:multiLevelType w:val="hybridMultilevel"/>
    <w:lvl w:ilvl="0">
      <w:lvlJc w:val="left"/>
      <w:lvlText w:val="%1."/>
      <w:numFmt w:val="decimal"/>
      <w:start w:val="5"/>
    </w:lvl>
  </w:abstractNum>
  <w:abstractNum w:abstractNumId="11">
    <w:nsid w:val="B03E0C6"/>
    <w:multiLevelType w:val="hybridMultilevel"/>
    <w:lvl w:ilvl="0">
      <w:lvlJc w:val="left"/>
      <w:lvlText w:val="%1."/>
      <w:numFmt w:val="decimal"/>
      <w:start w:val="1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lvl w:ilvl="1">
      <w:lvlJc w:val="left"/>
      <w:lvlText w:val="(%2)"/>
      <w:numFmt w:val="lowerLetter"/>
      <w:start w:val="2"/>
    </w:lvl>
  </w:abstractNum>
  <w:abstractNum w:abstractNumId="14">
    <w:nsid w:val="71F32454"/>
    <w:multiLevelType w:val="hybridMultilevel"/>
    <w:lvl w:ilvl="0">
      <w:lvlJc w:val="left"/>
      <w:lvlText w:val="%1."/>
      <w:numFmt w:val="decimal"/>
      <w:start w:val="3"/>
    </w:lvl>
    <w:lvl w:ilvl="1">
      <w:lvlJc w:val="left"/>
      <w:lvlText w:val="%2"/>
      <w:numFmt w:val="lowerLetter"/>
      <w:start w:val="1"/>
    </w:lvl>
  </w:abstractNum>
  <w:abstractNum w:abstractNumId="15">
    <w:nsid w:val="2CA88611"/>
    <w:multiLevelType w:val="hybridMultilevel"/>
    <w:lvl w:ilvl="0">
      <w:lvlJc w:val="left"/>
      <w:lvlText w:val="%1."/>
      <w:numFmt w:val="decimal"/>
      <w:start w:val="5"/>
    </w:lvl>
  </w:abstractNum>
  <w:abstractNum w:abstractNumId="16">
    <w:nsid w:val="836C40E"/>
    <w:multiLevelType w:val="hybridMultilevel"/>
    <w:lvl w:ilvl="0">
      <w:lvlJc w:val="left"/>
      <w:lvlText w:val="%1."/>
      <w:numFmt w:val="decimal"/>
      <w:start w:val="1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lvl w:ilvl="1">
      <w:lvlJc w:val="left"/>
      <w:lvlText w:val="(%2)"/>
      <w:numFmt w:val="lowerLetter"/>
      <w:start w:val="2"/>
    </w:lvl>
  </w:abstractNum>
  <w:abstractNum w:abstractNumId="19">
    <w:nsid w:val="8138641"/>
    <w:multiLevelType w:val="hybridMultilevel"/>
    <w:lvl w:ilvl="0">
      <w:lvlJc w:val="left"/>
      <w:lvlText w:val="%1."/>
      <w:numFmt w:val="decimal"/>
      <w:start w:val="3"/>
    </w:lvl>
    <w:lvl w:ilvl="1">
      <w:lvlJc w:val="left"/>
      <w:lvlText w:val="%2"/>
      <w:numFmt w:val="lowerLetter"/>
      <w:start w:val="1"/>
    </w:lvl>
  </w:abstractNum>
  <w:abstractNum w:abstractNumId="20">
    <w:nsid w:val="1E7FF521"/>
    <w:multiLevelType w:val="hybridMultilevel"/>
    <w:lvl w:ilvl="0">
      <w:lvlJc w:val="left"/>
      <w:lvlText w:val="%1."/>
      <w:numFmt w:val="decimal"/>
      <w:start w:val="5"/>
    </w:lvl>
  </w:abstractNum>
  <w:abstractNum w:abstractNumId="21">
    <w:nsid w:val="7C3DBD3D"/>
    <w:multiLevelType w:val="hybridMultilevel"/>
    <w:lvl w:ilvl="0">
      <w:lvlJc w:val="left"/>
      <w:lvlText w:val="%1."/>
      <w:numFmt w:val="decimal"/>
      <w:start w:val="11"/>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2"/>
    </w:lvl>
  </w:abstractNum>
  <w:abstractNum w:abstractNumId="25">
    <w:nsid w:val="4516DDE9"/>
    <w:multiLevelType w:val="hybridMultilevel"/>
    <w:lvl w:ilvl="0">
      <w:lvlJc w:val="left"/>
      <w:lvlText w:val="(%1)"/>
      <w:numFmt w:val="lowerLetter"/>
      <w:start w:val="3"/>
    </w:lvl>
  </w:abstractNum>
  <w:abstractNum w:abstractNumId="26">
    <w:nsid w:val="3006C83E"/>
    <w:multiLevelType w:val="hybridMultilevel"/>
    <w:lvl w:ilvl="0">
      <w:lvlJc w:val="left"/>
      <w:lvlText w:val="%1"/>
      <w:numFmt w:val="lowerLetter"/>
      <w:start w:val="1"/>
    </w:lvl>
    <w:lvl w:ilvl="1">
      <w:lvlJc w:val="left"/>
      <w:lvlText w:val="(%2)"/>
      <w:numFmt w:val="lowerLetter"/>
      <w:start w:val="35"/>
    </w:lvl>
  </w:abstractNum>
  <w:abstractNum w:abstractNumId="27">
    <w:nsid w:val="614FD4A1"/>
    <w:multiLevelType w:val="hybridMultilevel"/>
    <w:lvl w:ilvl="0">
      <w:lvlJc w:val="left"/>
      <w:lvlText w:val="(%1)"/>
      <w:numFmt w:val="lowerLetter"/>
      <w:start w:val="4"/>
    </w:lvl>
    <w:lvl w:ilvl="1">
      <w:lvlJc w:val="left"/>
      <w:lvlText w:val="%2"/>
      <w:numFmt w:val="lowerLetter"/>
      <w:start w:val="1"/>
    </w:lvl>
  </w:abstractNum>
  <w:abstractNum w:abstractNumId="28">
    <w:nsid w:val="419AC241"/>
    <w:multiLevelType w:val="hybridMultilevel"/>
    <w:lvl w:ilvl="0">
      <w:lvlJc w:val="left"/>
      <w:lvlText w:val="(%1)"/>
      <w:numFmt w:val="lowerLetter"/>
      <w:start w:val="5"/>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7"/>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3"/>
    </w:lvl>
    <w:lvl w:ilvl="1">
      <w:lvlJc w:val="left"/>
      <w:lvlText w:val="(%2)"/>
      <w:numFmt w:val="lowerLetter"/>
      <w:start w:val="9"/>
    </w:lvl>
  </w:abstractNum>
  <w:abstractNum w:abstractNumId="33">
    <w:nsid w:val="77465F01"/>
    <w:multiLevelType w:val="hybridMultilevel"/>
    <w:lvl w:ilvl="0">
      <w:lvlJc w:val="left"/>
      <w:lvlText w:val="(%1)"/>
      <w:numFmt w:val="lowerRoman"/>
      <w:start w:val="2"/>
    </w:lvl>
  </w:abstractNum>
  <w:abstractNum w:abstractNumId="34">
    <w:nsid w:val="7724C67E"/>
    <w:multiLevelType w:val="hybridMultilevel"/>
    <w:lvl w:ilvl="0">
      <w:lvlJc w:val="left"/>
      <w:lvlText w:val="(%1)"/>
      <w:numFmt w:val="lowerRoman"/>
      <w:start w:val="3"/>
    </w:lvl>
  </w:abstractNum>
  <w:abstractNum w:abstractNumId="35">
    <w:nsid w:val="5C482A97"/>
    <w:multiLevelType w:val="hybridMultilevel"/>
    <w:lvl w:ilvl="0">
      <w:lvlJc w:val="left"/>
      <w:lvlText w:val="(%1)"/>
      <w:numFmt w:val="lowerRoman"/>
      <w:start w:val="4"/>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2019-12-07T15:09:29Z</dcterms:created>
  <dcterms:modified xsi:type="dcterms:W3CDTF">2019-12-07T15:09:29Z</dcterms:modified>
</cp:coreProperties>
</file>