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8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8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4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Casdin Partners Master Fund,</w:t>
              </w:r>
            </w:hyperlink>
          </w:p>
        </w:tc>
        <w:tc>
          <w:tcPr>
            <w:tcW w:w="1540" w:type="dxa"/>
            <w:vAlign w:val="bottom"/>
          </w:tcPr>
          <w:p>
            <w:pPr>
              <w:ind w:left="18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40" w:type="dxa"/>
            <w:vAlign w:val="bottom"/>
            <w:gridSpan w:val="3"/>
            <w:vMerge w:val="continue"/>
          </w:tcPr>
          <w:p>
            <w:pPr>
              <w:spacing w:after="0"/>
              <w:rPr>
                <w:sz w:val="14"/>
                <w:szCs w:val="14"/>
                <w:color w:val="auto"/>
              </w:rPr>
            </w:pPr>
          </w:p>
        </w:tc>
        <w:tc>
          <w:tcPr>
            <w:tcW w:w="1540" w:type="dxa"/>
            <w:vAlign w:val="bottom"/>
          </w:tcPr>
          <w:p>
            <w:pPr>
              <w:ind w:left="18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84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L.P.</w:t>
              </w:r>
            </w:hyperlink>
          </w:p>
        </w:tc>
        <w:tc>
          <w:tcPr>
            <w:tcW w:w="200" w:type="dxa"/>
            <w:vAlign w:val="bottom"/>
          </w:tcPr>
          <w:p>
            <w:pPr>
              <w:spacing w:after="0"/>
              <w:rPr>
                <w:sz w:val="21"/>
                <w:szCs w:val="21"/>
                <w:color w:val="auto"/>
              </w:rPr>
            </w:pP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04/04/2022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STANDARD BIOTOOLS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LAB</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59"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1350 AVENUE OF THE</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AMERICAS, SUITE 2600</w:t>
      </w:r>
    </w:p>
    <w:p>
      <w:pPr>
        <w:spacing w:after="0" w:line="37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0"/>
          <w:szCs w:val="20"/>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10019 YORK</w:t>
      </w:r>
    </w:p>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0"/>
          <w:szCs w:val="20"/>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345"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9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300" w:type="dxa"/>
            <w:vAlign w:val="bottom"/>
          </w:tcPr>
          <w:p>
            <w:pPr>
              <w:spacing w:after="0"/>
              <w:rPr>
                <w:sz w:val="15"/>
                <w:szCs w:val="15"/>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Casdin Partners Master Fund, L.P.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72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280" w:type="dxa"/>
            <w:vAlign w:val="bottom"/>
            <w:gridSpan w:val="3"/>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1350 AVENUE OF THE AMERICAS, SUITE 2600</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7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w w:val="99"/>
              </w:rPr>
              <w:t>10019</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gridSpan w:val="2"/>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280" w:type="dxa"/>
            <w:vAlign w:val="bottom"/>
            <w:gridSpan w:val="3"/>
          </w:tcPr>
          <w:p>
            <w:pPr>
              <w:ind w:left="6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00" w:type="dxa"/>
            <w:vAlign w:val="bottom"/>
            <w:gridSpan w:val="3"/>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Casdin Capital, LLC</w:t>
              </w:r>
            </w:hyperlink>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280" w:type="dxa"/>
            <w:vAlign w:val="bottom"/>
            <w:gridSpan w:val="3"/>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1350 AVENUE OF THE AMERICAS, SUITE 2600</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7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w w:val="99"/>
              </w:rPr>
              <w:t>10019</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gridSpan w:val="2"/>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280" w:type="dxa"/>
            <w:vAlign w:val="bottom"/>
            <w:gridSpan w:val="3"/>
          </w:tcPr>
          <w:p>
            <w:pPr>
              <w:ind w:left="6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0" w:gutter="0" w:footer="0" w:header="0"/>
          <w:type w:val="continuous"/>
        </w:sectPr>
      </w:pPr>
    </w:p>
    <w:p>
      <w:pPr>
        <w:ind w:left="140"/>
        <w:spacing w:after="0"/>
        <w:rPr>
          <w:rFonts w:ascii="Times New Roman" w:cs="Times New Roman" w:eastAsia="Times New Roman" w:hAnsi="Times New Roman"/>
          <w:sz w:val="23"/>
          <w:szCs w:val="23"/>
          <w:u w:val="single" w:color="auto"/>
          <w:color w:val="0000EE"/>
        </w:rPr>
      </w:pPr>
      <w:hyperlink r:id="rId13">
        <w:r>
          <w:rPr>
            <w:rFonts w:ascii="Times New Roman" w:cs="Times New Roman" w:eastAsia="Times New Roman" w:hAnsi="Times New Roman"/>
            <w:sz w:val="23"/>
            <w:szCs w:val="23"/>
            <w:u w:val="single" w:color="auto"/>
            <w:color w:val="0000EE"/>
          </w:rPr>
          <w:t>Casdin Partners GP, LLC</w:t>
        </w:r>
      </w:hyperlink>
    </w:p>
    <w:p>
      <w:pPr>
        <w:sectPr>
          <w:pgSz w:w="11900" w:h="16838" w:orient="portrait"/>
          <w:cols w:equalWidth="0" w:num="1">
            <w:col w:w="10940"/>
          </w:cols>
          <w:pgMar w:left="480" w:top="230" w:right="479" w:bottom="0" w:gutter="0" w:footer="0" w:header="0"/>
          <w:type w:val="continuous"/>
        </w:sectPr>
      </w:pPr>
    </w:p>
    <w:bookmarkStart w:id="1" w:name="page2"/>
    <w:bookmarkEnd w:id="1"/>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5358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798445" cy="5358765"/>
                    </a:xfrm>
                    <a:prstGeom prst="rect">
                      <a:avLst/>
                    </a:prstGeom>
                    <a:noFill/>
                  </pic:spPr>
                </pic:pic>
              </a:graphicData>
            </a:graphic>
          </wp:anchor>
        </w:drawing>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1350 AVENUE OF THE AMERICAS, SUITE 2600</w:t>
      </w: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10019</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Casdin Private Growth Equity Fund II,</w:t>
        </w:r>
      </w:hyperlink>
    </w:p>
    <w:p>
      <w:pPr>
        <w:spacing w:after="0" w:line="1"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1350 AVENUE OF THE AMERICAS, SUITE 2600</w:t>
      </w: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10019</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Casdin Private Growth Equity Fund II GP,</w:t>
        </w:r>
      </w:hyperlink>
    </w:p>
    <w:p>
      <w:pPr>
        <w:spacing w:after="0" w:line="1"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LLC</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1350 AVENUE OF THE AMERICAS, SUITE 2600</w:t>
      </w: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10019</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5"/>
          <w:szCs w:val="15"/>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Mr. Casdin files separate Section 16 reports disclosing securities of the Issuer that he may be deemed to beneficially own for Section 16 purposes.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 securities are beneficially owned.</w:t>
      </w:r>
    </w:p>
    <w:p>
      <w:pPr>
        <w:sectPr>
          <w:pgSz w:w="11900" w:h="16838" w:orient="portrait"/>
          <w:cols w:equalWidth="0" w:num="1">
            <w:col w:w="10720"/>
          </w:cols>
          <w:pgMar w:left="520" w:top="170" w:right="659" w:bottom="0" w:gutter="0" w:footer="0" w:header="0"/>
        </w:sectPr>
      </w:pPr>
    </w:p>
    <w:p>
      <w:pPr>
        <w:spacing w:after="0" w:line="8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Casdin Partners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557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115570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Fund,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52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1252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79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0979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985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Casdin,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728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972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973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Casdin Capital,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6936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Eli Casdin,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773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77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Casdin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8333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Eli Casdin,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791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979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Casdin Private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3538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3538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Equity Fund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49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Casdin Private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538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353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Equity Fund 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190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Eli Casdin,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79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0979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Casdin Private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3538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3538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Equity Fund 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190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Eli Casdin,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79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979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8640" w:space="80"/>
            <w:col w:w="2000"/>
          </w:cols>
          <w:pgMar w:left="520" w:top="170" w:right="659" w:bottom="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70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340" w:type="dxa"/>
            <w:vAlign w:val="bottom"/>
            <w:vMerge w:val="restart"/>
          </w:tcPr>
          <w:p>
            <w:pPr>
              <w:ind w:left="2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70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7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0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0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00" w:type="dxa"/>
            <w:vAlign w:val="bottom"/>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520" w:top="170" w:right="659" w:bottom="0" w:gutter="0" w:footer="0" w:header="0"/>
          <w:type w:val="continuous"/>
        </w:sectPr>
      </w:pPr>
    </w:p>
    <w:bookmarkStart w:id="2" w:name="page3"/>
    <w:bookmarkEnd w:id="2"/>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2"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X"/>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10" Type="http://schemas.openxmlformats.org/officeDocument/2006/relationships/hyperlink" Target="http://www.sec.gov/cgi-bin/browse-edgar?action=getcompany&amp;CIK=0001534265" TargetMode="External"/><Relationship Id="rId11" Type="http://schemas.openxmlformats.org/officeDocument/2006/relationships/hyperlink" Target="http://www.sec.gov/cgi-bin/browse-edgar?action=getcompany&amp;CIK=0001162194" TargetMode="External"/><Relationship Id="rId12" Type="http://schemas.openxmlformats.org/officeDocument/2006/relationships/hyperlink" Target="http://www.sec.gov/cgi-bin/browse-edgar?action=getcompany&amp;CIK=0001534261" TargetMode="External"/><Relationship Id="rId13" Type="http://schemas.openxmlformats.org/officeDocument/2006/relationships/hyperlink" Target="http://www.sec.gov/cgi-bin/browse-edgar?action=getcompany&amp;CIK=0001534260" TargetMode="External"/><Relationship Id="rId15" Type="http://schemas.openxmlformats.org/officeDocument/2006/relationships/hyperlink" Target="http://www.sec.gov/cgi-bin/browse-edgar?action=getcompany&amp;CIK=0001891102" TargetMode="External"/><Relationship Id="rId16" Type="http://schemas.openxmlformats.org/officeDocument/2006/relationships/hyperlink" Target="http://www.sec.gov/cgi-bin/browse-edgar?action=getcompany&amp;CIK=00019194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2022-04-06T16:55:13Z</dcterms:created>
  <dcterms:modified xsi:type="dcterms:W3CDTF">2022-04-06T16:55:13Z</dcterms:modified>
</cp:coreProperties>
</file>