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333-230383</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February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1188720</wp:posOffset>
            </wp:positionH>
            <wp:positionV relativeFrom="paragraph">
              <wp:posOffset>154940</wp:posOffset>
            </wp:positionV>
            <wp:extent cx="4879340" cy="1534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79340" cy="15347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33" w:lineRule="exact"/>
        <w:rPr>
          <w:sz w:val="24"/>
          <w:szCs w:val="24"/>
          <w:color w:val="auto"/>
        </w:rPr>
      </w:pPr>
    </w:p>
    <w:p>
      <w:pPr>
        <w:ind w:right="120" w:firstLine="648"/>
        <w:spacing w:after="0" w:line="227" w:lineRule="auto"/>
        <w:rPr>
          <w:sz w:val="20"/>
          <w:szCs w:val="20"/>
          <w:color w:val="auto"/>
        </w:rPr>
      </w:pPr>
      <w:r>
        <w:rPr>
          <w:rFonts w:ascii="Arial" w:cs="Arial" w:eastAsia="Arial" w:hAnsi="Arial"/>
          <w:sz w:val="18"/>
          <w:szCs w:val="18"/>
          <w:color w:val="auto"/>
        </w:rPr>
        <w:t>We have entered into an Open Market Sale Agreement</w:t>
      </w:r>
      <w:r>
        <w:rPr>
          <w:rFonts w:ascii="Arial" w:cs="Arial" w:eastAsia="Arial" w:hAnsi="Arial"/>
          <w:sz w:val="30"/>
          <w:szCs w:val="30"/>
          <w:color w:val="auto"/>
          <w:vertAlign w:val="superscript"/>
        </w:rPr>
        <w:t>SM</w:t>
      </w:r>
      <w:r>
        <w:rPr>
          <w:rFonts w:ascii="Arial" w:cs="Arial" w:eastAsia="Arial" w:hAnsi="Arial"/>
          <w:sz w:val="18"/>
          <w:szCs w:val="18"/>
          <w:color w:val="auto"/>
        </w:rPr>
        <w:t>, or the sales agreement, with Jefferies LLC, or Jefferies, relating to shares of our common stock, $0.001 par value per share, offered by this prospectus supplement and the accompanying prospectus. In accordance with the terms of the sales agreement, we may offer and sell shares of our common stock having an aggregate offering price of up to $50,000,000 from time to time through Jefferies acting as our agent.</w:t>
      </w:r>
    </w:p>
    <w:p>
      <w:pPr>
        <w:spacing w:after="0" w:line="204" w:lineRule="exact"/>
        <w:rPr>
          <w:sz w:val="24"/>
          <w:szCs w:val="24"/>
          <w:color w:val="auto"/>
        </w:rPr>
      </w:pPr>
    </w:p>
    <w:p>
      <w:pPr>
        <w:ind w:right="220" w:firstLine="648"/>
        <w:spacing w:after="0" w:line="277" w:lineRule="auto"/>
        <w:rPr>
          <w:sz w:val="20"/>
          <w:szCs w:val="20"/>
          <w:color w:val="auto"/>
        </w:rPr>
      </w:pPr>
      <w:r>
        <w:rPr>
          <w:rFonts w:ascii="Arial" w:cs="Arial" w:eastAsia="Arial" w:hAnsi="Arial"/>
          <w:sz w:val="18"/>
          <w:szCs w:val="18"/>
          <w:color w:val="auto"/>
        </w:rPr>
        <w:t>Our common stock is listed on The Nasdaq Global Select Market, or Nasdaq, under the symbol “FLDM.” On March 3, 2020, the last reported sale price of our common stock was $3.15 per share.</w:t>
      </w:r>
    </w:p>
    <w:p>
      <w:pPr>
        <w:spacing w:after="0" w:line="170" w:lineRule="exact"/>
        <w:rPr>
          <w:sz w:val="24"/>
          <w:szCs w:val="24"/>
          <w:color w:val="auto"/>
        </w:rPr>
      </w:pPr>
    </w:p>
    <w:p>
      <w:pPr>
        <w:ind w:right="80" w:firstLine="648"/>
        <w:spacing w:after="0" w:line="302" w:lineRule="auto"/>
        <w:rPr>
          <w:sz w:val="20"/>
          <w:szCs w:val="20"/>
          <w:color w:val="auto"/>
        </w:rPr>
      </w:pPr>
      <w:r>
        <w:rPr>
          <w:rFonts w:ascii="Arial" w:cs="Arial" w:eastAsia="Arial" w:hAnsi="Arial"/>
          <w:sz w:val="16"/>
          <w:szCs w:val="16"/>
          <w:color w:val="auto"/>
        </w:rPr>
        <w:t>Sales of our common stock, if any, under this prospectus supplement and the accompanying prospectus will be made in sales deemed to be “at the market offerings” as defined in Rule 415 promulgated under the Securities Act of 1933, as amended, or the Securities Act. Jefferies is not required to sell any specific amount of securities, but will act as our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54" w:lineRule="exact"/>
        <w:rPr>
          <w:sz w:val="24"/>
          <w:szCs w:val="24"/>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The compensation to Jefferies for sales of common stock sold pursuant to the sales agreement will be an amount equal to 3.0% of the gross proceeds of any shares of common stock sold under the sales agreement.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or the Exchange Act. See “Plan of Distribution” on page S-41 of this prospectus supplement.</w:t>
      </w:r>
    </w:p>
    <w:p>
      <w:pPr>
        <w:spacing w:after="0" w:line="154" w:lineRule="exact"/>
        <w:rPr>
          <w:sz w:val="24"/>
          <w:szCs w:val="24"/>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Our business and an investment in our common stock involve significant risks. These risks are described under the caption “Risk Factors” beginning on page S-5 of this prospectus supplement and in the section captioned “Item 1A—Risk Factors” in our most recently filed annual report on Form 10-K or quarterly report on Form 10-Q, which is incorporated by reference into this prospectus supplement and the accompanying prospectus.</w:t>
      </w:r>
    </w:p>
    <w:p>
      <w:pPr>
        <w:spacing w:after="0" w:line="180" w:lineRule="exact"/>
        <w:rPr>
          <w:sz w:val="24"/>
          <w:szCs w:val="24"/>
          <w:color w:val="auto"/>
        </w:rPr>
      </w:pPr>
    </w:p>
    <w:p>
      <w:pPr>
        <w:jc w:val="both"/>
        <w:ind w:right="58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or SEC,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Jefferies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March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40" w:type="dxa"/>
            <w:vAlign w:val="bottom"/>
            <w:gridSpan w:val="7"/>
          </w:tcPr>
          <w:p>
            <w:pPr>
              <w:jc w:val="center"/>
              <w:ind w:right="420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40" w:type="dxa"/>
            <w:vAlign w:val="bottom"/>
            <w:gridSpan w:val="7"/>
          </w:tcPr>
          <w:p>
            <w:pPr>
              <w:jc w:val="center"/>
              <w:ind w:right="4200"/>
              <w:spacing w:after="0"/>
              <w:rPr>
                <w:sz w:val="20"/>
                <w:szCs w:val="20"/>
                <w:color w:val="auto"/>
              </w:rPr>
            </w:pPr>
            <w:r>
              <w:rPr>
                <w:rFonts w:ascii="Arial" w:cs="Arial" w:eastAsia="Arial" w:hAnsi="Arial"/>
                <w:sz w:val="18"/>
                <w:szCs w:val="18"/>
                <w:b w:val="1"/>
                <w:bCs w:val="1"/>
                <w:color w:val="auto"/>
                <w:w w:val="87"/>
              </w:rPr>
              <w:t>Prospectus Supplement</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4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8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About this Prospectus Supplement</w:t>
              </w:r>
            </w:hyperlink>
          </w:p>
        </w:tc>
        <w:tc>
          <w:tcPr>
            <w:tcW w:w="1700" w:type="dxa"/>
            <w:vAlign w:val="bottom"/>
            <w:tcBorders>
              <w:bottom w:val="single" w:sz="8" w:color="CCEEFF"/>
            </w:tcBorders>
            <w:gridSpan w:val="5"/>
            <w:shd w:val="clear" w:color="auto" w:fill="CCEEFF"/>
          </w:tcPr>
          <w:p>
            <w:pPr>
              <w:spacing w:after="0"/>
              <w:rPr>
                <w:sz w:val="17"/>
                <w:szCs w:val="17"/>
                <w:color w:val="auto"/>
              </w:rPr>
            </w:pPr>
          </w:p>
        </w:tc>
        <w:tc>
          <w:tcPr>
            <w:tcW w:w="6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8"/>
              </w:rPr>
            </w:pPr>
            <w:hyperlink w:anchor="page3">
              <w:r>
                <w:rPr>
                  <w:rFonts w:ascii="Arial" w:cs="Arial" w:eastAsia="Arial" w:hAnsi="Arial"/>
                  <w:sz w:val="18"/>
                  <w:szCs w:val="18"/>
                  <w:color w:val="0000EE"/>
                  <w:w w:val="78"/>
                </w:rPr>
                <w:t>S-2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0"/>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6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gridSpan w:val="3"/>
          </w:tcPr>
          <w:p>
            <w:pPr>
              <w:jc w:val="right"/>
              <w:spacing w:after="0" w:line="176" w:lineRule="exact"/>
              <w:rPr>
                <w:rFonts w:ascii="Arial" w:cs="Arial" w:eastAsia="Arial" w:hAnsi="Arial"/>
                <w:sz w:val="18"/>
                <w:szCs w:val="18"/>
                <w:color w:val="0000EE"/>
                <w:w w:val="78"/>
              </w:rPr>
            </w:pPr>
            <w:hyperlink w:anchor="page4">
              <w:r>
                <w:rPr>
                  <w:rFonts w:ascii="Arial" w:cs="Arial" w:eastAsia="Arial" w:hAnsi="Arial"/>
                  <w:sz w:val="18"/>
                  <w:szCs w:val="18"/>
                  <w:color w:val="0000EE"/>
                  <w:w w:val="78"/>
                </w:rPr>
                <w:t>S-3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3280" w:type="dxa"/>
            <w:vAlign w:val="bottom"/>
            <w:tcBorders>
              <w:bottom w:val="single" w:sz="8" w:color="CCEEFF"/>
            </w:tcBorders>
            <w:gridSpan w:val="17"/>
            <w:shd w:val="clear" w:color="auto" w:fill="CCEEFF"/>
          </w:tcPr>
          <w:p>
            <w:pPr>
              <w:spacing w:after="0"/>
              <w:rPr>
                <w:sz w:val="17"/>
                <w:szCs w:val="17"/>
                <w:color w:val="auto"/>
              </w:rPr>
            </w:pPr>
          </w:p>
        </w:tc>
        <w:tc>
          <w:tcPr>
            <w:tcW w:w="6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0000EE"/>
            </w:tcBorders>
            <w:gridSpan w:val="3"/>
            <w:shd w:val="clear" w:color="auto" w:fill="CCEEFF"/>
          </w:tcPr>
          <w:p>
            <w:pPr>
              <w:jc w:val="right"/>
              <w:spacing w:after="0" w:line="176" w:lineRule="exact"/>
              <w:rPr>
                <w:rFonts w:ascii="Arial" w:cs="Arial" w:eastAsia="Arial" w:hAnsi="Arial"/>
                <w:sz w:val="18"/>
                <w:szCs w:val="18"/>
                <w:color w:val="0000EE"/>
                <w:w w:val="78"/>
              </w:rPr>
            </w:pPr>
            <w:hyperlink w:anchor="page6">
              <w:r>
                <w:rPr>
                  <w:rFonts w:ascii="Arial" w:cs="Arial" w:eastAsia="Arial" w:hAnsi="Arial"/>
                  <w:sz w:val="18"/>
                  <w:szCs w:val="18"/>
                  <w:color w:val="0000EE"/>
                  <w:w w:val="78"/>
                </w:rPr>
                <w:t>S-5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0"/>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Forward-Looking Statements</w:t>
              </w:r>
            </w:hyperlink>
          </w:p>
        </w:tc>
        <w:tc>
          <w:tcPr>
            <w:tcW w:w="6860" w:type="dxa"/>
            <w:vAlign w:val="bottom"/>
          </w:tcPr>
          <w:p>
            <w:pPr>
              <w:spacing w:after="0"/>
              <w:rPr>
                <w:sz w:val="15"/>
                <w:szCs w:val="15"/>
                <w:color w:val="auto"/>
              </w:rPr>
            </w:pPr>
          </w:p>
        </w:tc>
        <w:tc>
          <w:tcPr>
            <w:tcW w:w="360" w:type="dxa"/>
            <w:vAlign w:val="bottom"/>
            <w:gridSpan w:val="5"/>
          </w:tcPr>
          <w:p>
            <w:pPr>
              <w:jc w:val="right"/>
              <w:spacing w:after="0" w:line="17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S-35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Use of Proceeds</w:t>
              </w:r>
            </w:hyperlink>
          </w:p>
        </w:tc>
        <w:tc>
          <w:tcPr>
            <w:tcW w:w="3020" w:type="dxa"/>
            <w:vAlign w:val="bottom"/>
            <w:tcBorders>
              <w:bottom w:val="single" w:sz="8" w:color="CCEEFF"/>
            </w:tcBorders>
            <w:gridSpan w:val="15"/>
            <w:shd w:val="clear" w:color="auto" w:fill="CCEEFF"/>
          </w:tcPr>
          <w:p>
            <w:pPr>
              <w:spacing w:after="0"/>
              <w:rPr>
                <w:sz w:val="17"/>
                <w:szCs w:val="17"/>
                <w:color w:val="auto"/>
              </w:rPr>
            </w:pPr>
          </w:p>
        </w:tc>
        <w:tc>
          <w:tcPr>
            <w:tcW w:w="6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4"/>
            <w:shd w:val="clear" w:color="auto" w:fill="CCEEFF"/>
          </w:tcPr>
          <w:p>
            <w:pPr>
              <w:jc w:val="right"/>
              <w:spacing w:after="0" w:line="176"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S-37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0"/>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Dilution</w:t>
              </w:r>
            </w:hyperlink>
          </w:p>
        </w:tc>
        <w:tc>
          <w:tcPr>
            <w:tcW w:w="6860" w:type="dxa"/>
            <w:vAlign w:val="bottom"/>
          </w:tcPr>
          <w:p>
            <w:pPr>
              <w:spacing w:after="0"/>
              <w:rPr>
                <w:sz w:val="15"/>
                <w:szCs w:val="15"/>
                <w:color w:val="auto"/>
              </w:rPr>
            </w:pPr>
          </w:p>
        </w:tc>
        <w:tc>
          <w:tcPr>
            <w:tcW w:w="360" w:type="dxa"/>
            <w:vAlign w:val="bottom"/>
            <w:gridSpan w:val="5"/>
          </w:tcPr>
          <w:p>
            <w:pPr>
              <w:jc w:val="right"/>
              <w:spacing w:after="0" w:line="176"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S-38</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80" w:type="dxa"/>
            <w:vAlign w:val="bottom"/>
            <w:gridSpan w:val="20"/>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Dividend Policy</w:t>
              </w:r>
            </w:hyperlink>
          </w:p>
        </w:tc>
        <w:tc>
          <w:tcPr>
            <w:tcW w:w="6860" w:type="dxa"/>
            <w:vAlign w:val="bottom"/>
            <w:shd w:val="clear" w:color="auto" w:fill="CCEEFF"/>
          </w:tcPr>
          <w:p>
            <w:pPr>
              <w:spacing w:after="0"/>
              <w:rPr>
                <w:sz w:val="15"/>
                <w:szCs w:val="15"/>
                <w:color w:val="auto"/>
              </w:rPr>
            </w:pPr>
          </w:p>
        </w:tc>
        <w:tc>
          <w:tcPr>
            <w:tcW w:w="360" w:type="dxa"/>
            <w:vAlign w:val="bottom"/>
            <w:gridSpan w:val="5"/>
            <w:shd w:val="clear" w:color="auto" w:fill="CCEEFF"/>
          </w:tcPr>
          <w:p>
            <w:pPr>
              <w:jc w:val="right"/>
              <w:spacing w:after="0" w:line="17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S-40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80" w:type="dxa"/>
            <w:vAlign w:val="bottom"/>
            <w:gridSpan w:val="20"/>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Plan of Distribution</w:t>
              </w:r>
            </w:hyperlink>
          </w:p>
        </w:tc>
        <w:tc>
          <w:tcPr>
            <w:tcW w:w="6860" w:type="dxa"/>
            <w:vAlign w:val="bottom"/>
          </w:tcPr>
          <w:p>
            <w:pPr>
              <w:spacing w:after="0"/>
              <w:rPr>
                <w:sz w:val="15"/>
                <w:szCs w:val="15"/>
                <w:color w:val="auto"/>
              </w:rPr>
            </w:pPr>
          </w:p>
        </w:tc>
        <w:tc>
          <w:tcPr>
            <w:tcW w:w="360" w:type="dxa"/>
            <w:vAlign w:val="bottom"/>
            <w:gridSpan w:val="5"/>
          </w:tcPr>
          <w:p>
            <w:pPr>
              <w:jc w:val="right"/>
              <w:spacing w:after="0" w:line="17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S-41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Legal Matters</w:t>
              </w:r>
            </w:hyperlink>
          </w:p>
        </w:tc>
        <w:tc>
          <w:tcPr>
            <w:tcW w:w="3180" w:type="dxa"/>
            <w:vAlign w:val="bottom"/>
            <w:tcBorders>
              <w:bottom w:val="single" w:sz="8" w:color="CCEEFF"/>
            </w:tcBorders>
            <w:gridSpan w:val="16"/>
            <w:shd w:val="clear" w:color="auto" w:fill="CCEEFF"/>
          </w:tcPr>
          <w:p>
            <w:pPr>
              <w:spacing w:after="0"/>
              <w:rPr>
                <w:sz w:val="17"/>
                <w:szCs w:val="17"/>
                <w:color w:val="auto"/>
              </w:rPr>
            </w:pPr>
          </w:p>
        </w:tc>
        <w:tc>
          <w:tcPr>
            <w:tcW w:w="6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4"/>
            <w:shd w:val="clear" w:color="auto" w:fill="CCEEFF"/>
          </w:tcPr>
          <w:p>
            <w:pPr>
              <w:jc w:val="right"/>
              <w:spacing w:after="0" w:line="17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S-43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0"/>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Experts</w:t>
              </w:r>
            </w:hyperlink>
          </w:p>
        </w:tc>
        <w:tc>
          <w:tcPr>
            <w:tcW w:w="6860" w:type="dxa"/>
            <w:vAlign w:val="bottom"/>
          </w:tcPr>
          <w:p>
            <w:pPr>
              <w:spacing w:after="0"/>
              <w:rPr>
                <w:sz w:val="15"/>
                <w:szCs w:val="15"/>
                <w:color w:val="auto"/>
              </w:rPr>
            </w:pPr>
          </w:p>
        </w:tc>
        <w:tc>
          <w:tcPr>
            <w:tcW w:w="360" w:type="dxa"/>
            <w:vAlign w:val="bottom"/>
            <w:gridSpan w:val="5"/>
          </w:tcPr>
          <w:p>
            <w:pPr>
              <w:jc w:val="right"/>
              <w:spacing w:after="0" w:line="17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S-43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2"/>
              </w:rPr>
            </w:pPr>
            <w:hyperlink w:anchor="page44">
              <w:r>
                <w:rPr>
                  <w:rFonts w:ascii="Arial" w:cs="Arial" w:eastAsia="Arial" w:hAnsi="Arial"/>
                  <w:sz w:val="18"/>
                  <w:szCs w:val="18"/>
                  <w:color w:val="0000EE"/>
                  <w:w w:val="92"/>
                </w:rPr>
                <w:t>Where You Can Find Additional Information</w:t>
              </w:r>
            </w:hyperlink>
          </w:p>
        </w:tc>
        <w:tc>
          <w:tcPr>
            <w:tcW w:w="940" w:type="dxa"/>
            <w:vAlign w:val="bottom"/>
            <w:tcBorders>
              <w:bottom w:val="single" w:sz="8" w:color="CCEEFF"/>
            </w:tcBorders>
            <w:gridSpan w:val="2"/>
            <w:shd w:val="clear" w:color="auto" w:fill="CCEEFF"/>
          </w:tcPr>
          <w:p>
            <w:pPr>
              <w:spacing w:after="0"/>
              <w:rPr>
                <w:sz w:val="17"/>
                <w:szCs w:val="17"/>
                <w:color w:val="auto"/>
              </w:rPr>
            </w:pPr>
          </w:p>
        </w:tc>
        <w:tc>
          <w:tcPr>
            <w:tcW w:w="6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0000EE"/>
            </w:tcBorders>
            <w:gridSpan w:val="4"/>
            <w:shd w:val="clear" w:color="auto" w:fill="CCEEFF"/>
          </w:tcPr>
          <w:p>
            <w:pPr>
              <w:jc w:val="right"/>
              <w:spacing w:after="0" w:line="176" w:lineRule="exact"/>
              <w:rPr>
                <w:rFonts w:ascii="Arial" w:cs="Arial" w:eastAsia="Arial" w:hAnsi="Arial"/>
                <w:sz w:val="18"/>
                <w:szCs w:val="18"/>
                <w:color w:val="0000EE"/>
                <w:w w:val="84"/>
              </w:rPr>
            </w:pPr>
            <w:hyperlink w:anchor="page44">
              <w:r>
                <w:rPr>
                  <w:rFonts w:ascii="Arial" w:cs="Arial" w:eastAsia="Arial" w:hAnsi="Arial"/>
                  <w:sz w:val="18"/>
                  <w:szCs w:val="18"/>
                  <w:color w:val="0000EE"/>
                  <w:w w:val="84"/>
                </w:rPr>
                <w:t>S-43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0"/>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Incorporation of Certain Information by Reference</w:t>
              </w:r>
            </w:hyperlink>
          </w:p>
        </w:tc>
        <w:tc>
          <w:tcPr>
            <w:tcW w:w="6860" w:type="dxa"/>
            <w:vAlign w:val="bottom"/>
          </w:tcPr>
          <w:p>
            <w:pPr>
              <w:spacing w:after="0"/>
              <w:rPr>
                <w:sz w:val="15"/>
                <w:szCs w:val="15"/>
                <w:color w:val="auto"/>
              </w:rPr>
            </w:pPr>
          </w:p>
        </w:tc>
        <w:tc>
          <w:tcPr>
            <w:tcW w:w="360" w:type="dxa"/>
            <w:vAlign w:val="bottom"/>
            <w:gridSpan w:val="5"/>
          </w:tcPr>
          <w:p>
            <w:pPr>
              <w:jc w:val="right"/>
              <w:spacing w:after="0" w:line="176" w:lineRule="exact"/>
              <w:rPr>
                <w:rFonts w:ascii="Arial" w:cs="Arial" w:eastAsia="Arial" w:hAnsi="Arial"/>
                <w:sz w:val="18"/>
                <w:szCs w:val="18"/>
                <w:color w:val="0000EE"/>
                <w:w w:val="89"/>
              </w:rPr>
            </w:pPr>
            <w:hyperlink w:anchor="page45">
              <w:r>
                <w:rPr>
                  <w:rFonts w:ascii="Arial" w:cs="Arial" w:eastAsia="Arial" w:hAnsi="Arial"/>
                  <w:sz w:val="18"/>
                  <w:szCs w:val="18"/>
                  <w:color w:val="0000EE"/>
                  <w:w w:val="89"/>
                </w:rPr>
                <w:t>S-44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880" w:type="dxa"/>
            <w:vAlign w:val="bottom"/>
            <w:gridSpan w:val="2"/>
          </w:tcPr>
          <w:p>
            <w:pPr>
              <w:jc w:val="center"/>
              <w:ind w:right="3750"/>
              <w:spacing w:after="0"/>
              <w:rPr>
                <w:sz w:val="20"/>
                <w:szCs w:val="20"/>
                <w:color w:val="auto"/>
              </w:rPr>
            </w:pPr>
            <w:r>
              <w:rPr>
                <w:rFonts w:ascii="Arial" w:cs="Arial" w:eastAsia="Arial" w:hAnsi="Arial"/>
                <w:sz w:val="18"/>
                <w:szCs w:val="18"/>
                <w:b w:val="1"/>
                <w:bCs w:val="1"/>
                <w:color w:val="auto"/>
                <w:w w:val="85"/>
              </w:rPr>
              <w:t>Prospectus</w:t>
            </w:r>
          </w:p>
        </w:tc>
        <w:tc>
          <w:tcPr>
            <w:tcW w:w="340" w:type="dxa"/>
            <w:vAlign w:val="bottom"/>
            <w:tcBorders>
              <w:top w:val="single" w:sz="8" w:color="0000EE"/>
            </w:tcBorders>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4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80" w:type="dxa"/>
            <w:vAlign w:val="bottom"/>
            <w:gridSpan w:val="20"/>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About This Prospectus</w:t>
              </w:r>
            </w:hyperlink>
          </w:p>
        </w:tc>
        <w:tc>
          <w:tcPr>
            <w:tcW w:w="722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20" w:type="dxa"/>
            <w:vAlign w:val="bottom"/>
            <w:gridSpan w:val="8"/>
          </w:tcPr>
          <w:p>
            <w:pPr>
              <w:spacing w:after="0" w:line="17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Prospectus Summary</w:t>
              </w:r>
            </w:hyperlink>
          </w:p>
        </w:tc>
        <w:tc>
          <w:tcPr>
            <w:tcW w:w="2560" w:type="dxa"/>
            <w:vAlign w:val="bottom"/>
            <w:gridSpan w:val="12"/>
          </w:tcPr>
          <w:p>
            <w:pPr>
              <w:spacing w:after="0"/>
              <w:rPr>
                <w:sz w:val="15"/>
                <w:szCs w:val="15"/>
                <w:color w:val="auto"/>
              </w:rPr>
            </w:pPr>
          </w:p>
        </w:tc>
        <w:tc>
          <w:tcPr>
            <w:tcW w:w="7220" w:type="dxa"/>
            <w:vAlign w:val="bottom"/>
            <w:gridSpan w:val="6"/>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shd w:val="clear" w:color="auto" w:fill="CCEEFF"/>
          </w:tcPr>
          <w:p>
            <w:pPr>
              <w:spacing w:after="0" w:line="17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Risk Factors</w:t>
              </w:r>
            </w:hyperlink>
          </w:p>
        </w:tc>
        <w:tc>
          <w:tcPr>
            <w:tcW w:w="3280" w:type="dxa"/>
            <w:vAlign w:val="bottom"/>
            <w:gridSpan w:val="17"/>
            <w:shd w:val="clear" w:color="auto" w:fill="CCEEFF"/>
          </w:tcPr>
          <w:p>
            <w:pPr>
              <w:spacing w:after="0"/>
              <w:rPr>
                <w:sz w:val="15"/>
                <w:szCs w:val="15"/>
                <w:color w:val="auto"/>
              </w:rPr>
            </w:pPr>
          </w:p>
        </w:tc>
        <w:tc>
          <w:tcPr>
            <w:tcW w:w="722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80" w:type="dxa"/>
            <w:vAlign w:val="bottom"/>
            <w:gridSpan w:val="20"/>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Forward-Looking Statement</w:t>
              </w:r>
            </w:hyperlink>
          </w:p>
        </w:tc>
        <w:tc>
          <w:tcPr>
            <w:tcW w:w="7220" w:type="dxa"/>
            <w:vAlign w:val="bottom"/>
            <w:gridSpan w:val="6"/>
          </w:tcPr>
          <w:p>
            <w:pPr>
              <w:jc w:val="right"/>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5"/>
            <w:shd w:val="clear" w:color="auto" w:fill="CCEEFF"/>
          </w:tcPr>
          <w:p>
            <w:pPr>
              <w:spacing w:after="0" w:line="176" w:lineRule="exact"/>
              <w:rPr>
                <w:rFonts w:ascii="Arial" w:cs="Arial" w:eastAsia="Arial" w:hAnsi="Arial"/>
                <w:sz w:val="18"/>
                <w:szCs w:val="18"/>
                <w:color w:val="0000EE"/>
                <w:w w:val="85"/>
              </w:rPr>
            </w:pPr>
            <w:hyperlink w:anchor="page54">
              <w:r>
                <w:rPr>
                  <w:rFonts w:ascii="Arial" w:cs="Arial" w:eastAsia="Arial" w:hAnsi="Arial"/>
                  <w:sz w:val="18"/>
                  <w:szCs w:val="18"/>
                  <w:color w:val="0000EE"/>
                  <w:w w:val="85"/>
                </w:rPr>
                <w:t>Use of Proceeds</w:t>
              </w:r>
            </w:hyperlink>
          </w:p>
        </w:tc>
        <w:tc>
          <w:tcPr>
            <w:tcW w:w="3020" w:type="dxa"/>
            <w:vAlign w:val="bottom"/>
            <w:gridSpan w:val="15"/>
            <w:shd w:val="clear" w:color="auto" w:fill="CCEEFF"/>
          </w:tcPr>
          <w:p>
            <w:pPr>
              <w:spacing w:after="0"/>
              <w:rPr>
                <w:sz w:val="15"/>
                <w:szCs w:val="15"/>
                <w:color w:val="auto"/>
              </w:rPr>
            </w:pPr>
          </w:p>
        </w:tc>
        <w:tc>
          <w:tcPr>
            <w:tcW w:w="722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80" w:type="dxa"/>
            <w:vAlign w:val="bottom"/>
            <w:gridSpan w:val="20"/>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Dividend Policy</w:t>
              </w:r>
            </w:hyperlink>
          </w:p>
        </w:tc>
        <w:tc>
          <w:tcPr>
            <w:tcW w:w="7220" w:type="dxa"/>
            <w:vAlign w:val="bottom"/>
            <w:gridSpan w:val="6"/>
          </w:tcPr>
          <w:p>
            <w:pPr>
              <w:jc w:val="right"/>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80" w:type="dxa"/>
            <w:vAlign w:val="bottom"/>
            <w:gridSpan w:val="20"/>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Description of Our Capital Stock</w:t>
              </w:r>
            </w:hyperlink>
          </w:p>
        </w:tc>
        <w:tc>
          <w:tcPr>
            <w:tcW w:w="7220" w:type="dxa"/>
            <w:vAlign w:val="bottom"/>
            <w:gridSpan w:val="6"/>
            <w:shd w:val="clear" w:color="auto" w:fill="CCEEFF"/>
          </w:tcPr>
          <w:p>
            <w:pPr>
              <w:jc w:val="right"/>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80" w:type="dxa"/>
            <w:vAlign w:val="bottom"/>
            <w:gridSpan w:val="20"/>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the Debt Securities</w:t>
              </w:r>
            </w:hyperlink>
          </w:p>
        </w:tc>
        <w:tc>
          <w:tcPr>
            <w:tcW w:w="7220" w:type="dxa"/>
            <w:vAlign w:val="bottom"/>
            <w:gridSpan w:val="6"/>
          </w:tcPr>
          <w:p>
            <w:pPr>
              <w:jc w:val="right"/>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11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Description of the Warrants</w:t>
              </w:r>
            </w:hyperlink>
          </w:p>
        </w:tc>
        <w:tc>
          <w:tcPr>
            <w:tcW w:w="2200" w:type="dxa"/>
            <w:vAlign w:val="bottom"/>
            <w:tcBorders>
              <w:bottom w:val="single" w:sz="8" w:color="CCEEFF"/>
            </w:tcBorders>
            <w:gridSpan w:val="11"/>
            <w:shd w:val="clear" w:color="auto" w:fill="CCEEFF"/>
          </w:tcPr>
          <w:p>
            <w:pPr>
              <w:spacing w:after="0"/>
              <w:rPr>
                <w:sz w:val="17"/>
                <w:szCs w:val="17"/>
                <w:color w:val="auto"/>
              </w:rPr>
            </w:pPr>
          </w:p>
        </w:tc>
        <w:tc>
          <w:tcPr>
            <w:tcW w:w="7040" w:type="dxa"/>
            <w:vAlign w:val="bottom"/>
            <w:tcBorders>
              <w:bottom w:val="single" w:sz="8" w:color="CCEEFF"/>
            </w:tcBorders>
            <w:gridSpan w:val="4"/>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20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0"/>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Plan of Distribution</w:t>
              </w:r>
            </w:hyperlink>
          </w:p>
        </w:tc>
        <w:tc>
          <w:tcPr>
            <w:tcW w:w="7220" w:type="dxa"/>
            <w:vAlign w:val="bottom"/>
            <w:gridSpan w:val="6"/>
          </w:tcPr>
          <w:p>
            <w:pPr>
              <w:jc w:val="right"/>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Legal Matters</w:t>
              </w:r>
            </w:hyperlink>
          </w:p>
        </w:tc>
        <w:tc>
          <w:tcPr>
            <w:tcW w:w="3180" w:type="dxa"/>
            <w:vAlign w:val="bottom"/>
            <w:tcBorders>
              <w:bottom w:val="single" w:sz="8" w:color="CCEEFF"/>
            </w:tcBorders>
            <w:gridSpan w:val="16"/>
            <w:shd w:val="clear" w:color="auto" w:fill="CCEEFF"/>
          </w:tcPr>
          <w:p>
            <w:pPr>
              <w:spacing w:after="0"/>
              <w:rPr>
                <w:sz w:val="17"/>
                <w:szCs w:val="17"/>
                <w:color w:val="auto"/>
              </w:rPr>
            </w:pPr>
          </w:p>
        </w:tc>
        <w:tc>
          <w:tcPr>
            <w:tcW w:w="7040" w:type="dxa"/>
            <w:vAlign w:val="bottom"/>
            <w:tcBorders>
              <w:bottom w:val="single" w:sz="8" w:color="CCEEFF"/>
            </w:tcBorders>
            <w:gridSpan w:val="4"/>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80" w:type="dxa"/>
            <w:vAlign w:val="bottom"/>
            <w:gridSpan w:val="20"/>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Experts</w:t>
              </w:r>
            </w:hyperlink>
          </w:p>
        </w:tc>
        <w:tc>
          <w:tcPr>
            <w:tcW w:w="7220" w:type="dxa"/>
            <w:vAlign w:val="bottom"/>
            <w:gridSpan w:val="6"/>
          </w:tcPr>
          <w:p>
            <w:pPr>
              <w:jc w:val="right"/>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Where You Can Find More Information</w:t>
              </w:r>
            </w:hyperlink>
          </w:p>
        </w:tc>
        <w:tc>
          <w:tcPr>
            <w:tcW w:w="1320" w:type="dxa"/>
            <w:vAlign w:val="bottom"/>
            <w:tcBorders>
              <w:bottom w:val="single" w:sz="8" w:color="CCEEFF"/>
            </w:tcBorders>
            <w:gridSpan w:val="3"/>
            <w:shd w:val="clear" w:color="auto" w:fill="CCEEFF"/>
          </w:tcPr>
          <w:p>
            <w:pPr>
              <w:spacing w:after="0"/>
              <w:rPr>
                <w:sz w:val="17"/>
                <w:szCs w:val="17"/>
                <w:color w:val="auto"/>
              </w:rPr>
            </w:pPr>
          </w:p>
        </w:tc>
        <w:tc>
          <w:tcPr>
            <w:tcW w:w="7040" w:type="dxa"/>
            <w:vAlign w:val="bottom"/>
            <w:tcBorders>
              <w:bottom w:val="single" w:sz="8" w:color="CCEEFF"/>
            </w:tcBorders>
            <w:gridSpan w:val="4"/>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tcBorders>
              <w:bottom w:val="single" w:sz="8" w:color="0000EE"/>
            </w:tcBorders>
            <w:gridSpan w:val="16"/>
          </w:tcPr>
          <w:p>
            <w:pPr>
              <w:spacing w:after="0" w:line="17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Information Incorporated by Reference</w:t>
              </w:r>
            </w:hyperlink>
          </w:p>
        </w:tc>
        <w:tc>
          <w:tcPr>
            <w:tcW w:w="1360" w:type="dxa"/>
            <w:vAlign w:val="bottom"/>
            <w:gridSpan w:val="4"/>
          </w:tcPr>
          <w:p>
            <w:pPr>
              <w:spacing w:after="0"/>
              <w:rPr>
                <w:sz w:val="17"/>
                <w:szCs w:val="17"/>
                <w:color w:val="auto"/>
              </w:rPr>
            </w:pPr>
          </w:p>
        </w:tc>
        <w:tc>
          <w:tcPr>
            <w:tcW w:w="7040" w:type="dxa"/>
            <w:vAlign w:val="bottom"/>
            <w:gridSpan w:val="4"/>
          </w:tcPr>
          <w:p>
            <w:pPr>
              <w:spacing w:after="0"/>
              <w:rPr>
                <w:sz w:val="17"/>
                <w:szCs w:val="17"/>
                <w:color w:val="auto"/>
              </w:rPr>
            </w:pPr>
          </w:p>
        </w:tc>
        <w:tc>
          <w:tcPr>
            <w:tcW w:w="18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26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gridSpan w:val="6"/>
          </w:tcPr>
          <w:p>
            <w:pPr>
              <w:jc w:val="center"/>
              <w:ind w:right="4200"/>
              <w:spacing w:after="0"/>
              <w:rPr>
                <w:sz w:val="20"/>
                <w:szCs w:val="20"/>
                <w:color w:val="auto"/>
              </w:rPr>
            </w:pPr>
            <w:r>
              <w:rPr>
                <w:rFonts w:ascii="Arial" w:cs="Arial" w:eastAsia="Arial" w:hAnsi="Arial"/>
                <w:sz w:val="18"/>
                <w:szCs w:val="18"/>
                <w:color w:val="auto"/>
                <w:w w:val="92"/>
              </w:rPr>
              <w:t>S-1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This document is in two parts. The first part is the prospectus supplement, including the documents incorporated by reference, which describes the specific terms of this offering. The second part, the accompanying prospectus, including the documents incorporated by reference, provides more general information. Generally, when we refer to this prospectus supplement, we are referring to both parts of this document combined. Before you invest, you should carefully read this prospectus supplement, the accompanying prospectus, all information incorporated by reference herein and therein, as well as the additional information described under “Where You Can Find Additional Information” on page S-43 of this prospectus supplement. These documents contain information that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6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You should rely only on the information contained or incorporated by reference in this prospectus supplement, the accompanying prospectus and in any free writing prospectuses that we may provide to you in connection with this offering. We have not, and Jefferies has not, authorized any other person to provide you with any information that is different. If anyone provides you with different or inconsistent information, you should not rely on it. 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8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Unless the context indicates otherwise, as used in this prospectus supplement, the terms Fluidigm®, the Fluidigm logo, 48.Atlas™, Acculift™, Access Array™, Advanta™, Biomark™, Bringing new insights to life™, C1™, Callisto™, Cell-ID™, CyTOF®, D3™, Delta Gene™, Direct™, Digital Array™, Dynamic Array™, EP1™, EQ™, FC1™, Flex Six™, Helios™, High-Precision 96.96 Genotyping™, Hyperion™, IMC™, Imaging Mass Cytometry™, Immune Profiling Assay™, Juno™, Maxpar®, MCD™, MSL®, Nanoflex™, Open App™, Pathsetter™, Polaris™, qdPCR 37K™, Script Builder™, Script Hub™, Singular™, SNP Trace™, and SNP Type™ are trademarks or registered trademarks of Fluidigm Corporation. Other service marks, trademarks and trade names referred to in this prospectus supplement are the property of their respective owners. This prospectus supplement, the accompanying prospectus and the other documents incorporated by reference contain references to our trademarks as well as third-party trademarks. Solely for convenience, trademarks and trade names,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of third-party trade names or trademarks to imply a relationship with, or endorsement or sponsorship of us by, any other entity.</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721360</wp:posOffset>
            </wp:positionV>
            <wp:extent cx="7250430" cy="5698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5698490"/>
                    </a:xfrm>
                    <a:prstGeom prst="rect">
                      <a:avLst/>
                    </a:prstGeom>
                    <a:noFill/>
                  </pic:spPr>
                </pic:pic>
              </a:graphicData>
            </a:graphic>
          </wp:anchor>
        </w:drawing>
        <w:t>PROSPECTUS SUPPLEMENT SUMMARY</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i w:val="1"/>
          <w:iCs w:val="1"/>
          <w:color w:val="auto"/>
        </w:rPr>
        <w:t>This summary highlights selected information about us, this offering and information appearing elsewhere in this prospectus supplement, in the accompanying prospectus and in the documents we incorporated by reference. This summary is not complete and does not contain all the information that you should consider before investing in our common stock pursuant to this prospectus supplement and the accompanying prospectus. Before making an investment decision, to fully understand this offering and its consequences to you, you should carefully read this entire prospectus supplement and the accompanying prospectus, including “Risk Factors” beginning on page S-5 of this prospectus supplement, the financial statements and related notes and the other information that we incorporated by reference herein, including our most recently filed Annual Report on Form 10-K and Quarterly Reports on Form 10-Q we file from time to time.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Fluidigm is a global company that improves life through comprehensive health insight. Our innovative patented technologies and multi-omic tools are used by researchers to reveal meaningful insights into health and disease, identify biomarkers to inform decisions, and accelerate the development of more effective therapies. We create, manufacture, and market a range of products and services, including instruments, reagents and software that are used by researchers worldwide.</w:t>
      </w:r>
    </w:p>
    <w:p>
      <w:pPr>
        <w:spacing w:after="0" w:line="187"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mass cytometry Helios™ system deeply profiles cell phenotype and function. Referenced by hundreds of peer-reviewed publications around the world, mass cytometry is setting a new standard in human immune profiling. Transforming biological imaging, our Hyperion™ Imaging System enables highly multiplexed protein biomarker detection in tissues and tumors while still preserving tissue architecture and cellular morphology information using Imaging Mass Cytometry™ (IMC™). Our microfluidic systems complement our mass cytometry offerings by providing highly scalable and automated workflows for quantitative polymerase chain reaction (PCR), gene expression, copy number variation analysis, and next-generation sequencing library preparation. Used to detect somatic and genomic variations from a range of different sample types, these automated systems provide the cost efficiencies, flexibility and proven analytical performance that customers need to meet the increasing demands of molecular biomarker analysis.</w:t>
      </w:r>
    </w:p>
    <w:p>
      <w:pPr>
        <w:spacing w:after="0" w:line="16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are a trusted partner of leading academic, government, pharmaceutical, biotechnology, contract research organizations, and plant and animal research laboratories worldwide and we strive to increase the quality of life for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until March 13, 2020, and thereafter will be located at Two Tower Place, South San Francisco, California 94080. Our telephone number is (650) 266-6000. We maintain an Internet website at www.fluidigm.com. We have not incorporated the information on our website by reference into this prospectus supplement, and you should not consider it to be a part of this prospectus supplement.</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4" w:name="page5"/>
    <w:bookmarkEnd w:id="4"/>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Manner of offering</w:t>
      </w:r>
    </w:p>
    <w:p>
      <w:pPr>
        <w:spacing w:after="0" w:line="20" w:lineRule="exact"/>
        <w:rPr>
          <w:sz w:val="20"/>
          <w:szCs w:val="20"/>
          <w:color w:val="auto"/>
        </w:rPr>
      </w:pPr>
      <w:r>
        <w:rPr>
          <w:sz w:val="20"/>
          <w:szCs w:val="20"/>
          <w:color w:val="auto"/>
        </w:rPr>
        <w:br w:type="column"/>
      </w:r>
    </w:p>
    <w:p>
      <w:pPr>
        <w:ind w:left="76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-155575</wp:posOffset>
            </wp:positionV>
            <wp:extent cx="7250430" cy="35547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55473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having an aggregate offering price up to $50,000,000.</w:t>
      </w:r>
    </w:p>
    <w:p>
      <w:pPr>
        <w:spacing w:after="0" w:line="1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“At-the-market” offering that may be made from time to time through our sales agent, Jefferies LLC. See “Plan of Distribution” on page S-41.</w:t>
      </w:r>
    </w:p>
    <w:p>
      <w:pPr>
        <w:spacing w:after="0" w:line="89" w:lineRule="exact"/>
        <w:rPr>
          <w:sz w:val="20"/>
          <w:szCs w:val="20"/>
          <w:color w:val="auto"/>
        </w:rPr>
      </w:pPr>
    </w:p>
    <w:p>
      <w:pPr>
        <w:sectPr>
          <w:pgSz w:w="11900" w:h="16838" w:orient="portrait"/>
          <w:cols w:equalWidth="0" w:num="2">
            <w:col w:w="3580" w:space="720"/>
            <w:col w:w="6800"/>
          </w:cols>
          <w:pgMar w:left="400" w:top="958" w:right="399" w:bottom="1440" w:gutter="0" w:footer="0" w:header="0"/>
        </w:sectPr>
      </w:pPr>
    </w:p>
    <w:p>
      <w:pPr>
        <w:spacing w:after="0"/>
        <w:tabs>
          <w:tab w:leader="none" w:pos="42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plan to use the net proceeds from this offering for general corporate purposes and working</w:t>
      </w:r>
    </w:p>
    <w:p>
      <w:pPr>
        <w:spacing w:after="0" w:line="23" w:lineRule="exact"/>
        <w:rPr>
          <w:sz w:val="20"/>
          <w:szCs w:val="20"/>
          <w:color w:val="auto"/>
        </w:rPr>
      </w:pPr>
    </w:p>
    <w:p>
      <w:pPr>
        <w:ind w:left="4300" w:right="60"/>
        <w:spacing w:after="0" w:line="273" w:lineRule="auto"/>
        <w:rPr>
          <w:sz w:val="20"/>
          <w:szCs w:val="20"/>
          <w:color w:val="auto"/>
        </w:rPr>
      </w:pPr>
      <w:r>
        <w:rPr>
          <w:rFonts w:ascii="Arial" w:cs="Arial" w:eastAsia="Arial" w:hAnsi="Arial"/>
          <w:sz w:val="17"/>
          <w:szCs w:val="17"/>
          <w:color w:val="auto"/>
        </w:rPr>
        <w:t>capital. We may also use a portion of the net proceeds from this offering to fund possible investments in or acquisitions of complementary businesses, products, or technologies. As of the date of this prospectus supplement, we have no agreements or commitments to complete any such transaction. Please see “Use of Proceeds” on page S-37.</w:t>
      </w:r>
    </w:p>
    <w:p>
      <w:pPr>
        <w:spacing w:after="0" w:line="96" w:lineRule="exact"/>
        <w:rPr>
          <w:sz w:val="20"/>
          <w:szCs w:val="20"/>
          <w:color w:val="auto"/>
        </w:rPr>
      </w:pPr>
    </w:p>
    <w:p>
      <w:pPr>
        <w:spacing w:after="0"/>
        <w:tabs>
          <w:tab w:leader="none" w:pos="428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6"/>
          <w:szCs w:val="16"/>
          <w:color w:val="auto"/>
        </w:rPr>
        <w:t>We have never declared or paid any cash dividends on our capital stock. We currently intend</w:t>
      </w:r>
    </w:p>
    <w:p>
      <w:pPr>
        <w:spacing w:after="0" w:line="23" w:lineRule="exact"/>
        <w:rPr>
          <w:sz w:val="20"/>
          <w:szCs w:val="20"/>
          <w:color w:val="auto"/>
        </w:rPr>
      </w:pPr>
    </w:p>
    <w:p>
      <w:pPr>
        <w:ind w:left="4300" w:right="20"/>
        <w:spacing w:after="0" w:line="287" w:lineRule="auto"/>
        <w:rPr>
          <w:sz w:val="20"/>
          <w:szCs w:val="20"/>
          <w:color w:val="auto"/>
        </w:rPr>
      </w:pPr>
      <w:r>
        <w:rPr>
          <w:rFonts w:ascii="Arial" w:cs="Arial" w:eastAsia="Arial" w:hAnsi="Arial"/>
          <w:sz w:val="16"/>
          <w:szCs w:val="16"/>
          <w:color w:val="auto"/>
        </w:rPr>
        <w:t>to retain all available funds and any future earnings, if any, for the operation and expansion of our business and, therefore, we do not anticipate declaring or paying cash dividends in the foreseeable future. In addition, our Loan and Security Agreement with Silicon Valley Bank restricts, and future debt arrangements may restrict, our ability to pay dividends. The payment of dividends, if any,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89" w:lineRule="exact"/>
        <w:rPr>
          <w:sz w:val="20"/>
          <w:szCs w:val="20"/>
          <w:color w:val="auto"/>
        </w:rPr>
      </w:pPr>
    </w:p>
    <w:p>
      <w:pPr>
        <w:spacing w:after="0"/>
        <w:tabs>
          <w:tab w:leader="none" w:pos="42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See “Risk Factors” beginning on page S-5 of this prospectus supplement for a discussion of</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factors that you should read and consider before investing in our securities.</w:t>
      </w:r>
    </w:p>
    <w:p>
      <w:pPr>
        <w:spacing w:after="0" w:line="130" w:lineRule="exact"/>
        <w:rPr>
          <w:sz w:val="20"/>
          <w:szCs w:val="20"/>
          <w:color w:val="auto"/>
        </w:rPr>
      </w:pPr>
    </w:p>
    <w:p>
      <w:pPr>
        <w:spacing w:after="0"/>
        <w:tabs>
          <w:tab w:leader="none" w:pos="4280" w:val="left"/>
        </w:tabs>
        <w:rPr>
          <w:sz w:val="20"/>
          <w:szCs w:val="20"/>
          <w:color w:val="auto"/>
        </w:rPr>
      </w:pPr>
      <w:r>
        <w:rPr>
          <w:rFonts w:ascii="Arial" w:cs="Arial" w:eastAsia="Arial" w:hAnsi="Arial"/>
          <w:sz w:val="18"/>
          <w:szCs w:val="18"/>
          <w:color w:val="auto"/>
        </w:rPr>
        <w:t>Nasdaq Global Select Market symbol</w:t>
      </w:r>
      <w:r>
        <w:rPr>
          <w:sz w:val="20"/>
          <w:szCs w:val="20"/>
          <w:color w:val="auto"/>
        </w:rPr>
        <w:tab/>
      </w:r>
      <w:r>
        <w:rPr>
          <w:rFonts w:ascii="Arial" w:cs="Arial" w:eastAsia="Arial" w:hAnsi="Arial"/>
          <w:sz w:val="18"/>
          <w:szCs w:val="18"/>
          <w:color w:val="auto"/>
        </w:rPr>
        <w:t>FLDM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400" w:top="958" w:right="39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Investors should carefully consider the risks described below and in the filings incorporated by reference before deciding whether to invest in our securities. The risks described below and those described in the filings incorporated by reference are not the only ones we face. If any of the following risks actually occurs, our business, financial condition or results of operations could be adversely affected. In such case, the trading price of our common stock could decline and you could lose all or part of your investment. Our actual results could differ materially from those anticipated in the forward-looking statements made throughout this prospectus supplement and in the documents incorporated by reference as a result of different factors, including the risks we face described below and those described in the filings incorporated by reference.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Fluidigm’s Business and Strategy</w:t>
      </w:r>
    </w:p>
    <w:p>
      <w:pPr>
        <w:spacing w:after="0" w:line="225" w:lineRule="exact"/>
        <w:rPr>
          <w:sz w:val="20"/>
          <w:szCs w:val="20"/>
          <w:color w:val="auto"/>
        </w:rPr>
      </w:pPr>
    </w:p>
    <w:p>
      <w:pPr>
        <w:ind w:right="500" w:firstLine="648"/>
        <w:spacing w:after="0" w:line="347" w:lineRule="auto"/>
        <w:rPr>
          <w:sz w:val="20"/>
          <w:szCs w:val="20"/>
          <w:color w:val="auto"/>
        </w:rPr>
      </w:pPr>
      <w:r>
        <w:rPr>
          <w:rFonts w:ascii="Arial" w:cs="Arial" w:eastAsia="Arial" w:hAnsi="Arial"/>
          <w:sz w:val="16"/>
          <w:szCs w:val="16"/>
          <w:b w:val="1"/>
          <w:bCs w:val="1"/>
          <w:color w:val="auto"/>
        </w:rPr>
        <w:t>Our financial results and revenue growth rates have varied significantly from quarter-to-quarter and year-to-year due to a number of factors, and a significant variance in our operating results or rates of growth, if any, could lead to substantial volatility in our stock price.</w:t>
      </w:r>
    </w:p>
    <w:p>
      <w:pPr>
        <w:spacing w:after="0" w:line="12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For example, our revenue declined year-over-year in 2017 compared to 2016, but increased year-over-year in 2018 compared to 2017. Our revenue continued to increase year-over-year in 2019 compared to 2018, but we may not be able to achieve similar revenue growth in future periods. We are also increasingly dependent on our mass cytometry business, which is very capital intensive. Variability in our quarterly or annual results of operations, mix of product revenue, including any decline in our mass cytometry revenue, or variability in rates of revenue growth, if any, may lead to volatility in our stock price as research analysts and investors respond to these fluctuations. These fluctuations are due to numerous factors that are difficult to forecast, including: fluctuations in demand for our products; changes in customer budget cycles and capital spending; seasonal variations in customer operations; tendencies among some customers to defer purchase decisions to the end of the quarter; the large unit value of our systems, particularly our proteomics systems; changes in our pricing and sales policies or the pricing and sales policies of our competitors; our ability to design, manufacture, market, sell, and deliver products to our customers in a timely and cost-effective manner; fluctuations or reductions in revenue from sales of legacy instruments that may have contributed significant revenue in prior periods; quality control or yield problems in our manufacturing operations; our ability to timely obtain adequate quantities of the materials or components used in our products, which in certain cases are purchased through sole and single source suppliers; new product introductions and enhancements by us and our competitors; unanticipated increases in costs or expenses; our complex, variable and, at times, lengthy sales cycle; global economic conditions; and fluctuations in foreign currency exchange rates. 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Other unknown or unpredictable factors also could harm our results.</w:t>
      </w:r>
    </w:p>
    <w:p>
      <w:pPr>
        <w:spacing w:after="0" w:line="190"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are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those projected by securities analysts, which could significantly decrease the price of our common stock.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b w:val="1"/>
          <w:bCs w:val="1"/>
          <w:color w:val="auto"/>
        </w:rPr>
        <w:t>We have incurred losses since inception, and we may continue to incur substantial losses for the foreseeable future.</w:t>
      </w:r>
    </w:p>
    <w:p>
      <w:pPr>
        <w:spacing w:after="0" w:line="2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We have incurred significant losses in each fiscal year since our inception, including net losses of $64.8 million, $59.0 million, and $60.5</w:t>
      </w:r>
    </w:p>
    <w:p>
      <w:pPr>
        <w:spacing w:after="0" w:line="2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million during the years 2019, 2018, and 2017, respectively. As of December 31, 2019, we had an accumulated deficit of $623.6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w:t>
      </w:r>
    </w:p>
    <w:p>
      <w:pPr>
        <w:spacing w:after="0" w:line="15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Until we are able to generate additional revenue to support our level of operating expenses, we will continue to incur operating and net losses and negative cash flow from operations. We believe that our continued investment in research and development, sales, and marketing is essential to our long-term competitive position and future revenue growth and, as a result, we may incur operating losses for the foreseeable future and may never achieve profitability.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The life science markets are highly competitive and subject to rapid technological change, and we may not be able to successfully compete.</w:t>
      </w:r>
    </w:p>
    <w:p>
      <w:pPr>
        <w:spacing w:after="0" w:line="25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single nucleotide polymorphism (SNP) genotyping, quantitative polymerase chain reaction (qPCR), digital PCR, flow cytometry, cell imaging, and additional applications using well established laboratory techniques, as well as newer technologies such as bead encoded arrays, microfluidics, next generation DNA sequencing,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consider Illumina, Inc., Agilent Technologies, Inc., Thermo Fisher Scientific Inc. (Thermo), Bio-Rad Laboratories, Inc., NanoString Technologies, Inc. (NanoString), and Agena Bioscience, Inc. to be our principal competitors in the microfluidics space. We believe that Cytek Biosciences, Inc. and Becton, Dickinson and Company are currently our principal competitors in the mass cytometry markets, and that IonPath Inc., Akoya Biosciences, Inc., and NanoString are our principal competitors in imaging mass cytometry.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7" w:name="page8"/>
    <w:bookmarkEnd w:id="7"/>
    <w:p>
      <w:pPr>
        <w:ind w:firstLine="648"/>
        <w:spacing w:after="0" w:line="291" w:lineRule="auto"/>
        <w:rPr>
          <w:sz w:val="20"/>
          <w:szCs w:val="20"/>
          <w:color w:val="auto"/>
        </w:rPr>
      </w:pPr>
      <w:r>
        <w:rPr>
          <w:rFonts w:ascii="Arial" w:cs="Arial" w:eastAsia="Arial" w:hAnsi="Arial"/>
          <w:sz w:val="16"/>
          <w:szCs w:val="16"/>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3" w:lineRule="exact"/>
        <w:rPr>
          <w:sz w:val="20"/>
          <w:szCs w:val="20"/>
          <w:color w:val="auto"/>
        </w:rPr>
      </w:pPr>
    </w:p>
    <w:p>
      <w:pPr>
        <w:ind w:right="760" w:firstLine="648"/>
        <w:spacing w:after="0" w:line="313" w:lineRule="auto"/>
        <w:rPr>
          <w:sz w:val="20"/>
          <w:szCs w:val="20"/>
          <w:color w:val="auto"/>
        </w:rPr>
      </w:pPr>
      <w:r>
        <w:rPr>
          <w:rFonts w:ascii="Arial" w:cs="Arial" w:eastAsia="Arial" w:hAnsi="Arial"/>
          <w:sz w:val="17"/>
          <w:szCs w:val="17"/>
          <w:b w:val="1"/>
          <w:bCs w:val="1"/>
          <w:color w:val="auto"/>
        </w:rPr>
        <w:t>Market opportunities may not develop as quickly as we expect, limiting our ability to successfully sell our products, or our product development and strategic plans may change and our entry into certain markets may be delayed, if it occurs at all.</w:t>
      </w:r>
    </w:p>
    <w:p>
      <w:pPr>
        <w:spacing w:after="0" w:line="14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If our products fail to achieve and sustain sufficient market acceptance, our revenue will be adversely affected.</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6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6"/>
          <w:szCs w:val="16"/>
          <w:b w:val="1"/>
          <w:bCs w:val="1"/>
          <w:color w:val="auto"/>
        </w:rPr>
        <w:t>We may experience development or manufacturing problems or delays that could limit the potential growth of our revenue or increase our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9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very time consuming, and any unexpected difficulty in doing so can delay the introduction of a product.</w:t>
      </w:r>
    </w:p>
    <w:p>
      <w:pPr>
        <w:spacing w:after="0" w:line="16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77"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intend to devote significant personnel and financial resources to research and development activities designed to advance the capabilities of our technology.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ind w:right="220" w:firstLine="648"/>
        <w:spacing w:after="0" w:line="282" w:lineRule="auto"/>
        <w:rPr>
          <w:sz w:val="20"/>
          <w:szCs w:val="20"/>
          <w:color w:val="auto"/>
        </w:rPr>
      </w:pPr>
      <w:r>
        <w:rPr>
          <w:rFonts w:ascii="Arial" w:cs="Arial" w:eastAsia="Arial" w:hAnsi="Arial"/>
          <w:sz w:val="18"/>
          <w:szCs w:val="18"/>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6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our products contain defects, we may experience:</w:t>
      </w:r>
    </w:p>
    <w:p>
      <w:pPr>
        <w:spacing w:after="0" w:line="225"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225" w:lineRule="exact"/>
        <w:rPr>
          <w:rFonts w:ascii="Arial" w:cs="Arial" w:eastAsia="Arial" w:hAnsi="Arial"/>
          <w:sz w:val="18"/>
          <w:szCs w:val="18"/>
          <w:color w:val="auto"/>
        </w:rPr>
      </w:pPr>
    </w:p>
    <w:p>
      <w:pPr>
        <w:ind w:left="1300" w:right="34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legal claims against us, including product liability claims, which could be costly and time consuming to defend and result in substantial damages.</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certain of our products are marketed for use with products sold by third parties. For example, certain of our systems are marketed as compatible with major next-generation DNA sequencing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The occurrence of any one or more of the foregoing could negatively affect our business, financial condition, and results of operations.</w:t>
      </w:r>
    </w:p>
    <w:p>
      <w:pPr>
        <w:spacing w:after="0" w:line="221"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Our business depends on research and development spending levels of our customers, a reduction in which could limit our ability to sell our products and adversely affect our business.</w:t>
      </w:r>
    </w:p>
    <w:p>
      <w:pPr>
        <w:spacing w:after="0" w:line="166"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of these customers could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and operating expenditures by these customers may result in lower than expected sales of our systems, IFCs, assays, and reagents. These reductions and delays may result from factors that are not within our control, such as:</w:t>
      </w:r>
    </w:p>
    <w:p>
      <w:pPr>
        <w:spacing w:after="0" w:line="173"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disasters;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225" w:lineRule="exact"/>
        <w:rPr>
          <w:rFonts w:ascii="Arial" w:cs="Arial" w:eastAsia="Arial" w:hAnsi="Arial"/>
          <w:sz w:val="18"/>
          <w:szCs w:val="18"/>
          <w:color w:val="auto"/>
        </w:rPr>
      </w:pPr>
    </w:p>
    <w:p>
      <w:pPr>
        <w:ind w:left="1300" w:right="100" w:hanging="320"/>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plant and animal research companies engaged in research and commercial activities;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mergers and acquisitions in the life science and plant and animal research industries;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decrease in our customers’ budgets or expenditures, or in the size, scope, or frequency of capital or operating expenditures, could materially and adversely affect our operations or financial condition.</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 w:name="page12"/>
    <w:bookmarkEnd w:id="11"/>
    <w:p>
      <w:pPr>
        <w:ind w:right="780" w:firstLine="648"/>
        <w:spacing w:after="0" w:line="347" w:lineRule="auto"/>
        <w:rPr>
          <w:sz w:val="20"/>
          <w:szCs w:val="20"/>
          <w:color w:val="auto"/>
        </w:rPr>
      </w:pPr>
      <w:r>
        <w:rPr>
          <w:rFonts w:ascii="Arial" w:cs="Arial" w:eastAsia="Arial" w:hAnsi="Arial"/>
          <w:sz w:val="16"/>
          <w:szCs w:val="16"/>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2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manufacture our genomics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79"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Disruption of our manufacturing facilities or other operations, or in the operations of our customers or business partners, due to earthquake, flood, other natural catastrophic events, health epidemics, or terrorism could result in cancellation of orders, delays in deliveries or other business activities, or loss of customers and could seriously harm our business.</w:t>
      </w:r>
    </w:p>
    <w:p>
      <w:pPr>
        <w:spacing w:after="0" w:line="18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are subject to disruption for a variety of reasons, including work stoppages, acts of war, terrorism, health epidemics (including the outbreak caused by the novel coronavirus COVID-19), fire, earthquake,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 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years 2019, 2018, and 2017, approximately 63%, 57%, and 55%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187" w:lineRule="exact"/>
        <w:rPr>
          <w:sz w:val="20"/>
          <w:szCs w:val="20"/>
          <w:color w:val="auto"/>
        </w:rPr>
      </w:pPr>
    </w:p>
    <w:p>
      <w:pPr>
        <w:ind w:left="980" w:right="240" w:hanging="324"/>
        <w:spacing w:after="0" w:line="25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 that are or may be applicable to our business in the future, such as the European Union’s General Data Protection Regulation and other data privacy requirements, labor and employment regulations, anticompetition regulations, the U.K. Bribery Act of 2010 and other anticorruption laws, and the RoHS and WEEE directives, which regulate the use of certain hazardous substances in, and require the collection, reuse, and recycling of waste from, products we manufacture;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2" w:name="page13"/>
    <w:bookmarkEnd w:id="12"/>
    <w:p>
      <w:pPr>
        <w:ind w:left="980" w:right="2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export requirements and import or trade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225" w:lineRule="exact"/>
        <w:rPr>
          <w:rFonts w:ascii="Arial" w:cs="Arial" w:eastAsia="Arial" w:hAnsi="Arial"/>
          <w:sz w:val="18"/>
          <w:szCs w:val="18"/>
          <w:color w:val="auto"/>
        </w:rPr>
      </w:pPr>
    </w:p>
    <w:p>
      <w:pPr>
        <w:ind w:left="980" w:right="140" w:hanging="324"/>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protecting or procuring intellectual property rights.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and if we are unsuccessful in finding a solution, our financial results will suffer.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We are subject to fluctuations in the exchange rate of the U.S. Dollar and foreign currencies.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 majority of our product sales are currently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of the countries in which our operations are located, which is primarily in the United States, with a portion of expenses incurred in Singapore and Canada where a significant portion of our manufacturing operations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right="100" w:firstLine="648"/>
        <w:spacing w:after="0" w:line="282" w:lineRule="auto"/>
        <w:rPr>
          <w:sz w:val="20"/>
          <w:szCs w:val="20"/>
          <w:color w:val="auto"/>
        </w:rPr>
      </w:pPr>
      <w:r>
        <w:rPr>
          <w:rFonts w:ascii="Arial" w:cs="Arial" w:eastAsia="Arial" w:hAnsi="Arial"/>
          <w:sz w:val="18"/>
          <w:szCs w:val="18"/>
          <w:b w:val="1"/>
          <w:bCs w:val="1"/>
          <w:color w:val="auto"/>
        </w:rPr>
        <w:t>Any disruption or delay in the shipping or off-loading of our products, whether domestically or internationally, may have an adverse effect on our financial condition and results of operations.</w:t>
      </w:r>
    </w:p>
    <w:p>
      <w:pPr>
        <w:spacing w:after="0" w:line="16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7"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We are dependent on single and sole source suppliers for some of the components and materials used in our products, and the loss of any of these suppliers could harm our business.</w:t>
      </w:r>
    </w:p>
    <w:p>
      <w:pPr>
        <w:spacing w:after="0" w:line="166"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We rely on single and sole source suppliers for certain components and materials used in our products. Additionally, several of our instruments are assembled at the facilities of contract manufacturers in Singapore. We do not have long 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87" w:lineRule="exact"/>
        <w:rPr>
          <w:sz w:val="20"/>
          <w:szCs w:val="20"/>
          <w:color w:val="auto"/>
        </w:rPr>
      </w:pPr>
    </w:p>
    <w:p>
      <w:pPr>
        <w:ind w:left="980" w:right="10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181"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electron multiplier detector included in the Hyperion/Helios systems and certain metal isotopes used with the Hyperion/Helios systems are purchased from sole source suppliers.</w:t>
      </w:r>
    </w:p>
    <w:p>
      <w:pPr>
        <w:spacing w:after="0" w:line="170"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raw materials for our Delta Gene and SNP Type assays and Access Array target-specific primers are available from a limited number of sources.</w:t>
      </w:r>
    </w:p>
    <w:p>
      <w:pPr>
        <w:spacing w:after="0" w:line="17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Our reliance on single and sole source suppliers and assembly service providers also subjects us to other risks that could harm our business, including the following:</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increased component or assembly costs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obtain adequate supply or services in a timely manner or on commercially reasonable terms.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in the past experienced quality control and supply problems with some of our suppliers, such as manufacturing errors, and may again experience problems in the future. We may not be able to quickly establish additional or replacement suppliers, particularly for our single source components, or assembly service providers. Any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future success is dependent upon our ability to expand our customer base and introduce new applications.</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4" w:name="page15"/>
    <w:bookmarkEnd w:id="14"/>
    <w:p>
      <w:pPr>
        <w:ind w:right="440" w:firstLine="648"/>
        <w:spacing w:after="0" w:line="266" w:lineRule="auto"/>
        <w:rPr>
          <w:sz w:val="20"/>
          <w:szCs w:val="20"/>
          <w:color w:val="auto"/>
        </w:rPr>
      </w:pPr>
      <w:r>
        <w:rPr>
          <w:rFonts w:ascii="Arial" w:cs="Arial" w:eastAsia="Arial" w:hAnsi="Arial"/>
          <w:sz w:val="18"/>
          <w:szCs w:val="18"/>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8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DNA sequencing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will require us to incur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168"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1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success depends largely on the skills, experience, and performance of our management team and scientific and technical support personnel. The loss of the services of any key member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Our research and product development efforts could also be delayed or curtailed if we are unable to attract, train, and retain highly skilled employees, particularly, senior scientists and engineers. We do not maintain fixed term employment contracts or significant key person life insurance with any of our employees.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5" w:name="page16"/>
    <w:bookmarkEnd w:id="15"/>
    <w:p>
      <w:pPr>
        <w:ind w:right="60" w:firstLine="648"/>
        <w:spacing w:after="0" w:line="272" w:lineRule="auto"/>
        <w:rPr>
          <w:sz w:val="20"/>
          <w:szCs w:val="20"/>
          <w:color w:val="auto"/>
        </w:rPr>
      </w:pPr>
      <w:r>
        <w:rPr>
          <w:rFonts w:ascii="Arial" w:cs="Arial" w:eastAsia="Arial" w:hAnsi="Arial"/>
          <w:sz w:val="17"/>
          <w:szCs w:val="17"/>
          <w:color w:val="auto"/>
        </w:rPr>
        <w:t>Additionally, to expand our research and product development efforts, we need to retain and recruit scientists skilled in areas such as molecular and cellular biology, assay development,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74"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187"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integrating and managing the operations, technologies, and products of the companies we acquire;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our management’s attention from normal daily operation of our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maintain the key business relationships and the reputations of the businesses we acquire;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retain key personnel of the acquired company;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uncertainty of entry into markets in which we have limited or no prior experience and in which competitors have stronger market positions;</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unfamiliar affiliates and customers of the companies we acquire;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insufficient revenue to offset our increased expenses associated with acquisitions;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responsibility for the liabilities of the businesses we acquire, including those which we may not anticipate;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maintain internal standards, controls, procedures, and policies.</w:t>
      </w:r>
    </w:p>
    <w:p>
      <w:pPr>
        <w:spacing w:after="0" w:line="22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16" w:name="page17"/>
    <w:bookmarkEnd w:id="16"/>
    <w:p>
      <w:pPr>
        <w:ind w:right="780" w:firstLine="648"/>
        <w:spacing w:after="0" w:line="282" w:lineRule="auto"/>
        <w:rPr>
          <w:sz w:val="20"/>
          <w:szCs w:val="20"/>
          <w:color w:val="auto"/>
        </w:rPr>
      </w:pPr>
      <w:r>
        <w:rPr>
          <w:rFonts w:ascii="Arial" w:cs="Arial" w:eastAsia="Arial" w:hAnsi="Arial"/>
          <w:sz w:val="18"/>
          <w:szCs w:val="18"/>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 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72"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have implemented security controls to protect our information technology infrastructure but, despite our efforts, we are not fully insulated from technology disruptions that could adversely impact us. For example, in March 2019, we experienced a ransomware attack that infiltrated and encrypted certain of our information technology systems, including systems containing critical business data. Immediately following the attack, actions were taken to recover the compromised systems and we believe we were able to restore their operation without significant loss of business data. Based on the nature of the attack and its impact on our systems, we do not believe confidential data was lost or disclosed. If, however, confidential data is later determined to have been released in the course of this or any future event, it is possible that we could be the subject of actions by governmental authorities or claims from persons alleging they suffered damages from such a release. Although we believe we have contained the disruption from the March 2019 attack, we anticipate additional work and expense in the future as we continue to enhance our security processes and initiatives in response to ever-evolving information security threats.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7" w:name="page18"/>
    <w:bookmarkEnd w:id="17"/>
    <w:p>
      <w:pPr>
        <w:ind w:right="140" w:firstLine="648"/>
        <w:spacing w:after="0" w:line="313" w:lineRule="auto"/>
        <w:rPr>
          <w:sz w:val="20"/>
          <w:szCs w:val="20"/>
          <w:color w:val="auto"/>
        </w:rPr>
      </w:pPr>
      <w:r>
        <w:rPr>
          <w:rFonts w:ascii="Arial" w:cs="Arial" w:eastAsia="Arial" w:hAnsi="Arial"/>
          <w:sz w:val="17"/>
          <w:szCs w:val="17"/>
          <w:b w:val="1"/>
          <w:bCs w:val="1"/>
          <w:color w:val="auto"/>
        </w:rPr>
        <w:t>Our efficiency and cost-savings initiatives could be disruptive to our operations and adversely affect our results of operations and financial condition, and we may not realize some or all of the anticipated benefits of these initiatives in the time frame anticipated or at all.</w:t>
      </w:r>
    </w:p>
    <w:p>
      <w:pPr>
        <w:spacing w:after="0" w:line="14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Since 2017, we have implemented efficiency and cost-savings initiatives intended to stabilize our business operations and return to growth. These efficiency initiatives have included targeted workforce reductions, optimizing our facilities, and reducing excess space. Further actions such as these may be required on an ongoing basis to optimize our organization. For example, we may need to decrease or defer capital expenditures and development activities or implement further operating expense reduction measures. The implementation of these further efficiency and cost-savings initiatives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efficiency and cost-savings initiatives and achieve the anticipated benefits within the expected time frame is subject to estimates and assumptions and may vary materially from our expectations, including as a result of factors that are beyond our control. Furthermore, our efforts to grow our business and become profitable may not be successful.</w:t>
      </w:r>
    </w:p>
    <w:p>
      <w:pPr>
        <w:spacing w:after="0" w:line="174" w:lineRule="exact"/>
        <w:rPr>
          <w:sz w:val="20"/>
          <w:szCs w:val="20"/>
          <w:color w:val="auto"/>
        </w:rPr>
      </w:pPr>
    </w:p>
    <w:p>
      <w:pPr>
        <w:ind w:right="380" w:firstLine="648"/>
        <w:spacing w:after="0" w:line="347" w:lineRule="auto"/>
        <w:rPr>
          <w:sz w:val="20"/>
          <w:szCs w:val="20"/>
          <w:color w:val="auto"/>
        </w:rPr>
      </w:pPr>
      <w:r>
        <w:rPr>
          <w:rFonts w:ascii="Arial" w:cs="Arial" w:eastAsia="Arial" w:hAnsi="Arial"/>
          <w:sz w:val="16"/>
          <w:szCs w:val="16"/>
          <w:b w:val="1"/>
          <w:bCs w:val="1"/>
          <w:color w:val="auto"/>
        </w:rPr>
        <w:t>To use our products, our Biomark, EP1, Helios/CyTOF 2, and Hyperion systems in particular, customers typically need to purchase specialized reagents. Any interruption in the availability of these reagents for use in our products could limit our ability to market our products.</w:t>
      </w:r>
    </w:p>
    <w:p>
      <w:pPr>
        <w:spacing w:after="0" w:line="12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products, our Biomark, EP1, Helios,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Biomark system involves real-time quantitative polymerase chain reaction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18" w:name="page19"/>
    <w:bookmarkEnd w:id="18"/>
    <w:p>
      <w:pPr>
        <w:ind w:right="100" w:firstLine="648"/>
        <w:spacing w:after="0" w:line="266" w:lineRule="auto"/>
        <w:rPr>
          <w:sz w:val="20"/>
          <w:szCs w:val="20"/>
          <w:color w:val="auto"/>
        </w:rPr>
      </w:pPr>
      <w:r>
        <w:rPr>
          <w:rFonts w:ascii="Arial" w:cs="Arial" w:eastAsia="Arial" w:hAnsi="Arial"/>
          <w:sz w:val="18"/>
          <w:szCs w:val="18"/>
          <w:b w:val="1"/>
          <w:bCs w:val="1"/>
          <w:color w:val="auto"/>
        </w:rPr>
        <w:t>If we elect to label and promote any of our products as medical devices, we would be required to obtain prior approval or clearance by the FDA, which would take significant time and expense and could fail to result in FDA clearance or approval for the intended uses we believe are commercially attractive.</w:t>
      </w:r>
    </w:p>
    <w:p>
      <w:pPr>
        <w:spacing w:after="0" w:line="18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products are currently labeled, promoted and sold to academic research institutions, translational research and medicine centers, cancer centers, clinical research laboratories, contract research organizations, and biopharmaceutical, biotechnology, and plant and animal research companies as “for research use only” (RUO) and are not designed, or intended to be used, for clinical diagnostic tests or as medical devices as currently marketed.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5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7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19" w:name="page20"/>
    <w:bookmarkEnd w:id="19"/>
    <w:p>
      <w:pPr>
        <w:ind w:right="100" w:firstLine="648"/>
        <w:spacing w:after="0" w:line="271"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2020 and May 26, 2022 respectively. This will increase the difficulty of regulatory approvals in Europe in the future.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75"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b w:val="1"/>
          <w:bCs w:val="1"/>
          <w:color w:val="auto"/>
        </w:rPr>
        <w:t>Our products could become subject to regulation as medical devices by the FDA or other regulatory agencies even if we do not elect to seek regulatory clearance or approval to market our products for diagnostic purposes, which would adversely impact our ability to market and sell our products and harm our business.</w:t>
      </w:r>
    </w:p>
    <w:p>
      <w:pPr>
        <w:spacing w:after="0" w:line="180"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As products that are currently labeled, promoted and intended as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manufacturers develop more complex genetic tests and diagnostic software, the FDA may increase its regulation of LDTs. Any future legislative or administrative</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rule making or oversight of LDTs and LDT manufacturers,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7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0" w:name="page21"/>
    <w:bookmarkEnd w:id="20"/>
    <w:p>
      <w:pPr>
        <w:ind w:right="100" w:firstLine="648"/>
        <w:spacing w:after="0" w:line="279" w:lineRule="auto"/>
        <w:rPr>
          <w:sz w:val="20"/>
          <w:szCs w:val="20"/>
          <w:color w:val="auto"/>
        </w:rPr>
      </w:pPr>
      <w:r>
        <w:rPr>
          <w:rFonts w:ascii="Arial" w:cs="Arial" w:eastAsia="Arial" w:hAnsi="Arial"/>
          <w:sz w:val="17"/>
          <w:szCs w:val="17"/>
          <w:color w:val="auto"/>
        </w:rPr>
        <w:t>If the FDA determines our products or related applications should be subject to additional regulation as in vitro diagnostic devices based upon customers’ use of our products for clinical diagnostic or therapeutic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spacing w:after="0" w:line="167" w:lineRule="exact"/>
        <w:rPr>
          <w:sz w:val="20"/>
          <w:szCs w:val="20"/>
          <w:color w:val="auto"/>
        </w:rPr>
      </w:pPr>
    </w:p>
    <w:p>
      <w:pPr>
        <w:ind w:right="80" w:firstLine="648"/>
        <w:spacing w:after="0" w:line="313" w:lineRule="auto"/>
        <w:rPr>
          <w:sz w:val="20"/>
          <w:szCs w:val="20"/>
          <w:color w:val="auto"/>
        </w:rPr>
      </w:pPr>
      <w:r>
        <w:rPr>
          <w:rFonts w:ascii="Arial" w:cs="Arial" w:eastAsia="Arial" w:hAnsi="Arial"/>
          <w:sz w:val="17"/>
          <w:szCs w:val="17"/>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42"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80" w:lineRule="exact"/>
        <w:rPr>
          <w:sz w:val="20"/>
          <w:szCs w:val="20"/>
          <w:color w:val="auto"/>
        </w:rPr>
      </w:pPr>
    </w:p>
    <w:p>
      <w:pPr>
        <w:ind w:right="320" w:firstLine="648"/>
        <w:spacing w:after="0" w:line="257" w:lineRule="auto"/>
        <w:rPr>
          <w:sz w:val="20"/>
          <w:szCs w:val="20"/>
          <w:color w:val="auto"/>
        </w:rPr>
      </w:pPr>
      <w:r>
        <w:rPr>
          <w:rFonts w:ascii="Arial" w:cs="Arial" w:eastAsia="Arial" w:hAnsi="Arial"/>
          <w:sz w:val="18"/>
          <w:szCs w:val="18"/>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84"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1" w:name="page22"/>
    <w:bookmarkEnd w:id="21"/>
    <w:p>
      <w:pPr>
        <w:ind w:right="20" w:firstLine="648"/>
        <w:spacing w:after="0" w:line="273" w:lineRule="auto"/>
        <w:rPr>
          <w:sz w:val="20"/>
          <w:szCs w:val="20"/>
          <w:color w:val="auto"/>
        </w:rPr>
      </w:pPr>
      <w:r>
        <w:rPr>
          <w:rFonts w:ascii="Arial" w:cs="Arial" w:eastAsia="Arial" w:hAnsi="Arial"/>
          <w:sz w:val="17"/>
          <w:szCs w:val="17"/>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Moreover,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74"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Impairment of our goodwill or other intangible assets could materially and adversely affect our business, operating results, and financial condition.</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December 31, 2019, we had approximately $153.2 million of goodwill and net intangible assets, including approximately $104.1 million of goodwill and $49.1 million of net intangible assets. These assets represent a significant portion of the assets recorded on our consolidated balance sheet and relate primarily to our acquisition of DVS Sciences, Inc. (DVS) in February 2014. In addition, if in the future we acquire additional businesses, technologies, or other intangible assets, a substantial portion of the value of such assets may be recorded as goodwill or intangible assets. In the fourth quarter of 2019, we concluded that certain of our patents and licenses were impaired and reduced the applicable carrying value to zero, recognizing a charge of $0.4 million, which is reflected in accumulated amortization.</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carrying amounts of goodwill and intangible assets are affected whenever events or changes in circumstances indicate that their carrying amounts may not be recoverable. We review goodwill and indefinite lived intangible assets for impairment at least annually and more frequently under certain circumstances. Other intangible assets that are deemed to have finite useful lives will continue to be amortized over their useful lives but must be reviewed for impairment when events or changes in circumstances indicate that the carrying amount of these assets may not be recoverable. Events or changes in circumstances that could affect the likelihood that we will be required to recognize an impairment charge include declines in our stock price or market capitalization, declines in our market share or revenues, an increase in our losses, rapid changes in technology, failure to achieve the benefits of capacity increases and utilization, significant litigation arising out of an acquisition, or other matters. In particular, these or other adverse events or changes in circumstances may affect the estimated undiscounted future operating cash flows expected to be derived from our goodwill and intangible assets. Any impairment charges could have a material adverse effect on our operating results and net asset value in the quarter in which we recognize the impairment charge. We cannot provide assurances that we will not in the future be required to recognize impairment charges.</w:t>
      </w:r>
    </w:p>
    <w:p>
      <w:pPr>
        <w:spacing w:after="0" w:line="174"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Our future capital needs are uncertain and we may need to raise additional funds in the future, which may cause dilution to stockholders or may be upon terms that are not favorable to us.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believe that our existing cash and cash equivalents and availability under our $15.0 million revolving senior credit facility (Revolving Credit Facility) will be sufficient to meet our anticipated cash requirements for at least the next 18 months. We have continued to experience losses and, if that trend continues, we may need to seek additional sources of financing. In addition, we may need to raise substantial additional capital for various purposes, including:</w:t>
      </w:r>
    </w:p>
    <w:p>
      <w:pPr>
        <w:spacing w:after="0" w:line="187"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the commercialization of our products;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funding our operations;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furthering our research and development;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left="660" w:right="5480" w:firstLine="320"/>
        <w:spacing w:after="0" w:line="563" w:lineRule="auto"/>
        <w:tabs>
          <w:tab w:leader="none" w:pos="1308" w:val="left"/>
        </w:tabs>
        <w:numPr>
          <w:ilvl w:val="0"/>
          <w:numId w:val="9"/>
        </w:numPr>
        <w:rPr>
          <w:rFonts w:ascii="Arial" w:cs="Arial" w:eastAsia="Arial" w:hAnsi="Arial"/>
          <w:sz w:val="16"/>
          <w:szCs w:val="16"/>
          <w:color w:val="auto"/>
        </w:rPr>
      </w:pPr>
      <w:r>
        <w:rPr>
          <w:rFonts w:ascii="Arial" w:cs="Arial" w:eastAsia="Arial" w:hAnsi="Arial"/>
          <w:sz w:val="16"/>
          <w:szCs w:val="16"/>
          <w:color w:val="auto"/>
        </w:rPr>
        <w:t>acquiring other businesses or assets and licensing technologies. Our future funding requirements will depend on many factors, including:</w:t>
      </w:r>
    </w:p>
    <w:p>
      <w:pPr>
        <w:spacing w:after="0" w:line="1" w:lineRule="exact"/>
        <w:rPr>
          <w:rFonts w:ascii="Arial" w:cs="Arial" w:eastAsia="Arial" w:hAnsi="Arial"/>
          <w:sz w:val="16"/>
          <w:szCs w:val="16"/>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filing and prosecuting patent applications;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defending any litigation including intellectual property, employment, contractual or other litigation;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regulatory clearances or approvals, if any;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establishing additional technical support capabilities;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cash demands (e.g., due to interest or principal payments or payouts under existing cash compensation plans);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variability in sales and timing of related cash collections;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recent efficiency and cost-savings initiatives;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225" w:lineRule="exact"/>
        <w:rPr>
          <w:rFonts w:ascii="Arial" w:cs="Arial" w:eastAsia="Arial" w:hAnsi="Arial"/>
          <w:sz w:val="18"/>
          <w:szCs w:val="18"/>
          <w:color w:val="auto"/>
        </w:rPr>
      </w:pPr>
    </w:p>
    <w:p>
      <w:pPr>
        <w:ind w:left="1300" w:right="72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w:t>
      </w:r>
    </w:p>
    <w:p>
      <w:pPr>
        <w:spacing w:after="0" w:line="252" w:lineRule="auto"/>
        <w:rPr>
          <w:sz w:val="20"/>
          <w:szCs w:val="20"/>
          <w:color w:val="auto"/>
        </w:rPr>
      </w:pPr>
      <w:r>
        <w:rPr>
          <w:rFonts w:ascii="Arial" w:cs="Arial" w:eastAsia="Arial" w:hAnsi="Arial"/>
          <w:sz w:val="18"/>
          <w:szCs w:val="18"/>
          <w:color w:val="auto"/>
        </w:rPr>
        <w:t>If we raise additional funds by issuing equity securities, our stockholders may experience dilution. Debt financing in addition to the Revolving Credit Facility, if available, may involve covenants restricting our operations or our ability to incur additional debt. Any additional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 w:name="page24"/>
    <w:bookmarkEnd w:id="23"/>
    <w:p>
      <w:pPr>
        <w:ind w:right="420" w:firstLine="648"/>
        <w:spacing w:after="0" w:line="282" w:lineRule="auto"/>
        <w:rPr>
          <w:sz w:val="20"/>
          <w:szCs w:val="20"/>
          <w:color w:val="auto"/>
        </w:rPr>
      </w:pPr>
      <w:r>
        <w:rPr>
          <w:rFonts w:ascii="Arial" w:cs="Arial" w:eastAsia="Arial" w:hAnsi="Arial"/>
          <w:sz w:val="18"/>
          <w:szCs w:val="18"/>
          <w:b w:val="1"/>
          <w:bCs w:val="1"/>
          <w:color w:val="auto"/>
        </w:rPr>
        <w:t>If we fail to comply with the covenants and other obligations under our Revolving Credit Facility, the lenders may be able to accelerate amounts owed under the facilities and may foreclose upon the assets securing our obligations.</w:t>
      </w:r>
    </w:p>
    <w:p>
      <w:pPr>
        <w:spacing w:after="0" w:line="166"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August 2018, we entered into the Revolving Credit Facility, which provides for secured revolving loans in an aggregate amount of up to $15.0 million. The Revolving Credit Facility is secured by substantially all of our assets, other than intellectual property. The Revolving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If we fail to comply with the covenants and our other obligations under the Revolving Credit Facility, the lenders would be able to accelerate the required repayment of amounts due under the 2018 Credit Agreement and, if they are not repaid, could foreclose upon the assets securing our obligations under the Revolving Credit Facility.</w:t>
      </w:r>
    </w:p>
    <w:p>
      <w:pPr>
        <w:spacing w:after="0" w:line="174" w:lineRule="exact"/>
        <w:rPr>
          <w:sz w:val="20"/>
          <w:szCs w:val="20"/>
          <w:color w:val="auto"/>
        </w:rPr>
      </w:pPr>
    </w:p>
    <w:p>
      <w:pPr>
        <w:ind w:right="80" w:firstLine="648"/>
        <w:spacing w:after="0" w:line="313" w:lineRule="auto"/>
        <w:rPr>
          <w:sz w:val="20"/>
          <w:szCs w:val="20"/>
          <w:color w:val="auto"/>
        </w:rPr>
      </w:pPr>
      <w:r>
        <w:rPr>
          <w:rFonts w:ascii="Arial" w:cs="Arial" w:eastAsia="Arial" w:hAnsi="Arial"/>
          <w:sz w:val="17"/>
          <w:szCs w:val="17"/>
          <w:b w:val="1"/>
          <w:bCs w:val="1"/>
          <w:color w:val="auto"/>
        </w:rPr>
        <w:t>We are subject to risks related to taxation in multiple jurisdictions and if taxing authorities disagree with our interpretations of existing tax laws or regulations, our effective income tax rate could be adversely affected and we could have additional tax liability.</w:t>
      </w:r>
    </w:p>
    <w:p>
      <w:pPr>
        <w:spacing w:after="0" w:line="14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169"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b w:val="1"/>
          <w:bCs w:val="1"/>
          <w:color w:val="auto"/>
        </w:rPr>
        <w:t>Our ability to use net operating loss carryforwards to offset future taxable income for U.S. federal income tax purposes and other tax benefits may be limited.</w:t>
      </w:r>
    </w:p>
    <w:p>
      <w:pPr>
        <w:spacing w:after="0" w:line="166"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154"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Future changes in our stock ownership, some of which are outside our control, could result in an ownership change under Section 382 of the Code. If we experience an ownership change, our ability to use our NOLs or other tax benefits could be substantially limited, which could significantly impair their value. There is no assurance that we will be able to fully utilize our NOLs or other tax benefits, which could adversely impact our results of operations.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4" w:name="page25"/>
    <w:bookmarkEnd w:id="24"/>
    <w:p>
      <w:pPr>
        <w:ind w:right="40" w:firstLine="648"/>
        <w:spacing w:after="0" w:line="302" w:lineRule="auto"/>
        <w:rPr>
          <w:sz w:val="20"/>
          <w:szCs w:val="20"/>
          <w:color w:val="auto"/>
        </w:rPr>
      </w:pPr>
      <w:r>
        <w:rPr>
          <w:rFonts w:ascii="Arial" w:cs="Arial" w:eastAsia="Arial" w:hAnsi="Arial"/>
          <w:sz w:val="16"/>
          <w:szCs w:val="16"/>
          <w:color w:val="auto"/>
        </w:rPr>
        <w:t>We believe that these tax benefits are a valuable asset for us and we monitor our stock ownership to determine whether our NOLs are at material risk of limitation based on an ownership change pursuant to Section 382. If our board of directors determines a potential risk exists that our NOLs could be limited, it could elect to adopt a tax benefit preservation plan in an effort to protect our tax benefits. Adoption of a tax benefit preservation plan could make it more difficult for a third party to acquire, or could discourage a third party from acquiring, us or a large block of our common stock.</w:t>
      </w:r>
    </w:p>
    <w:p>
      <w:pPr>
        <w:spacing w:after="0" w:line="15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 of financial markets may significantly harm our revenue, profitability, and results of operations.</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global credit and financial markets have in recent years experienced volatility and disruptions, including diminished liquidity and credit availability, increased concerns about inflation and deflation, and the downgrade of U.S. debt and exposure risks on other sovereign debts, decreased consumer confidence, lower economic growth, volatile energy costs, increased unemployment rates, and uncertainty about economic stability. In addition, certain geopolitical events, including the United States government’s adoption and expansion of trade restrictions and the United Kingdom’s withdrawal from the European Union,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which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17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If we are unable to expand our direct sales and marketing force or distribution capabilities to adequately address our customers’ needs, our business may be adversely affected.</w:t>
      </w:r>
    </w:p>
    <w:p>
      <w:pPr>
        <w:spacing w:after="0" w:line="16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may not be able to market, sell, and, distribute our products effectively enough to support our planned growth. We sell our products primarily through our own sales force and through distributors in certain territories. Our future sales will depend in large part on our ability to continue to develop and substantially expand our direct sales force and to increase the scope of our marketing efforts.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 Competition for such employees is intense. In addition, we have experienced significant changes in our sales organization in recent quarters due to reorganizations and changes in leadership. We may not be able to attract and retain personnel or be able to build an efficient and effective sales and marketing force, which would negatively impact sales of our products and reduce our revenue and profitability.</w:t>
      </w:r>
    </w:p>
    <w:p>
      <w:pPr>
        <w:spacing w:after="0" w:line="19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right="580" w:firstLine="648"/>
        <w:spacing w:after="0" w:line="282" w:lineRule="auto"/>
        <w:rPr>
          <w:sz w:val="20"/>
          <w:szCs w:val="20"/>
          <w:color w:val="auto"/>
        </w:rPr>
      </w:pPr>
      <w:r>
        <w:rPr>
          <w:rFonts w:ascii="Arial" w:cs="Arial" w:eastAsia="Arial" w:hAnsi="Arial"/>
          <w:sz w:val="18"/>
          <w:szCs w:val="18"/>
          <w:b w:val="1"/>
          <w:bCs w:val="1"/>
          <w:color w:val="auto"/>
        </w:rPr>
        <w:t>If we seek to implement a company-wide enterprise resource planning (ERP) system, such implementation could adversely affect our business and results of operations or the effectiveness of internal control over financial reporting.</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have considered implementing a company-wide ERP system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If we decide to implement a company-wide ERP system, our business and results of operations could be adversely affected if we experience operating problems and/or cost overruns during the ERP implementation process, or if the ERP system and the associated process changes do not give rise to the benefits that we expect. If we do not effectively implement the ERP system as planned or if the system does not operate as intended, our business, results of operations, and internal controls over financial reporting could be adversely affected.</w:t>
      </w:r>
    </w:p>
    <w:p>
      <w:pPr>
        <w:spacing w:after="0" w:line="174"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b w:val="1"/>
          <w:bCs w:val="1"/>
          <w:color w:val="auto"/>
        </w:rPr>
        <w:t>Changes in accounting principles, or interpretations thereof, could have a significant impact on our financial position and results of operations.</w:t>
      </w:r>
    </w:p>
    <w:p>
      <w:pPr>
        <w:spacing w:after="0" w:line="1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of America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5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For example, the U.S.-based Financial Accounting Standards Board (FASB) is currently working together with the International Accounting Standards Board (IASB), on several projects to further align accounting principles and facilitate more comparable financial reporting between companies who are required to follow U.S. GAAP under SEC regulations and those who are required to follow International Financial Reporting Standards outside of the United States. These efforts by the FASB and IASB may result in different accounting principles under U.S. GAAP that may result in materially different financial results for us in areas including, but not limited to, principles for recognizing revenue and lease accounting. Additionally, significant changes to U.S. GAAP resulting from the FASB’s and IASB’s efforts may require that we change how we process, analyze and report financial information and that we change financial reporting controls. Additionally, the FASB issued new guidance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supersedes nearly all existing U.S. GAAP revenue recognition guidance. The new guidance was effective for our fiscal year 2018. We adopted ASU 2014-09 in the first quarter of 2018 using the modified retrospective method. Under the modified retrospective method, periods prior to the adoption of ASU 2014-09 are not restated and the cumulative effect of initially applying the new standard is reflected in the opening balance of accumulated deficit as of January 1, 2018. To date, the adoption has not had a material impact on our consolidated financial statements. Additional disclosures are required for significant differences between the reported results under the new standard and those that would have been reported under the legacy standard, which required us to make certain changes to our business processes and controls to support revenue recognition and disclosure under the new standard.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ind w:right="20" w:firstLine="648"/>
        <w:spacing w:after="0" w:line="276" w:lineRule="auto"/>
        <w:rPr>
          <w:sz w:val="20"/>
          <w:szCs w:val="20"/>
          <w:color w:val="auto"/>
        </w:rPr>
      </w:pPr>
      <w:r>
        <w:rPr>
          <w:rFonts w:ascii="Arial" w:cs="Arial" w:eastAsia="Arial" w:hAnsi="Arial"/>
          <w:sz w:val="17"/>
          <w:szCs w:val="17"/>
          <w:color w:val="auto"/>
        </w:rPr>
        <w:t xml:space="preserve">The FASB also issued Accounting Standards Update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The core principle is that lessees should recognize the assets and liabilities arising from leases on the balance sheet. Under the new standard, lessees will be required to recognize lease assets and liabilities for all leases, with certain exceptions, on their balance sheets. We adopted ASU 2016-02 as of January 1, 2019. The adoption of this standard had a material impact on our consolidated financial statements. We continue to identify the appropriate changes to our business processes, systems, and controls to support the new lease standard and the required disclosures under the new standard.</w:t>
      </w:r>
    </w:p>
    <w:p>
      <w:pPr>
        <w:spacing w:after="0" w:line="17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4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We have a significant amount of outstanding indebtedness, and our financial condition and results of operations could be adversely affected if we do not efficiently manage our liabilities.</w:t>
      </w:r>
    </w:p>
    <w:p>
      <w:pPr>
        <w:spacing w:after="0" w:line="166"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have significant outstanding convertible debt. As of December 31, 2019, we had outstanding $1.1 million aggregate principal amount of our 2.75% Senior Convertible Notes due 2034 (the 2014 Notes) and $55.0 million aggregate principal amount of our 5.25% convertible senior notes due 2024 (the 2019 Notes). The 2014 Notes will mature on February 1, 2034, unless earlier converted, redeemed, or repurchased in accordance with the terms of the 2014 Notes. Holders of the 2014 Notes may require us to repurchase all or a portion of their 2014 Notes on each of February 6, 2021, February 6, 2024, and February 6, 2029 at a repurchase price in cash equal to 100% of the principal amount of the Notes plus accrued and unpaid interest. The 2019 Notes will mature on December 1, 2024, unless earlier converted, or repurchased in accordance with the terms of the 2019 Notes. If we undergo a fundamental change (as defined in the terms of the indenture governing either the 2014 Notes or the 2019 Notes (collectively, the Convertible Notes)), holders of the applicable series of Convertible Notes may require us to repurchase such Convertible Notes in whole or in part for cash at a repurchase price equal to 100% of the principal amount of the applicable series of Convertible Notes plus accrued and unpaid interest. If we refinance the debt owed under the 2014 Notes or 2019 Notes, we may issue additional convertible notes or other debt, which could include additional company obligations and represent more dilution to existing stockholders and noteholders.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significant amount of debt has important risks to us and our investors, including:</w:t>
      </w:r>
    </w:p>
    <w:p>
      <w:pPr>
        <w:spacing w:after="0" w:line="225"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requiring a portion of our cash flow from operations to make interest payments on this debt;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reducing the cash flow available to fund capital expenditures and other corporate purposes and to grow our business;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our ability to borrow additional funds as needed or take advantage of business opportunities as they arise.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ability to protect our intellectual property and proprietary technology through patents and other means is uncertain.</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7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73"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products and technologies or duplicate any of our products and technologies.</w:t>
      </w:r>
    </w:p>
    <w:p>
      <w:pPr>
        <w:spacing w:after="0" w:line="237"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8" w:name="page29"/>
    <w:bookmarkEnd w:id="28"/>
    <w:p>
      <w:pPr>
        <w:jc w:val="both"/>
        <w:ind w:right="300" w:firstLine="648"/>
        <w:spacing w:after="0" w:line="266" w:lineRule="auto"/>
        <w:rPr>
          <w:sz w:val="20"/>
          <w:szCs w:val="20"/>
          <w:color w:val="auto"/>
        </w:rPr>
      </w:pPr>
      <w:r>
        <w:rPr>
          <w:rFonts w:ascii="Arial" w:cs="Arial" w:eastAsia="Arial" w:hAnsi="Arial"/>
          <w:sz w:val="18"/>
          <w:szCs w:val="18"/>
          <w:b w:val="1"/>
          <w:bCs w:val="1"/>
          <w:color w:val="auto"/>
        </w:rPr>
        <w:t>We may be involved in lawsuits to protect or enforce our patents and proprietary rights, to determine the scope, coverage and validity of others’ proprietary rights, or to defend against third party claims of intellectual property infringement, any of which could be time-intensive and costly and may adversely impact our business or stock price.</w:t>
      </w:r>
    </w:p>
    <w:p>
      <w:pPr>
        <w:spacing w:after="0" w:line="18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Litigation may be necessary for us to enforce our patent and proprietary rights, determine the scope, coverage, and validity of others’ proprietary rights, and/or defend against third party claims of intellectual property infringement against us as well as against our suppliers, distributors, customers, and other entities with whom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6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9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whom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75"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b w:val="1"/>
          <w:bCs w:val="1"/>
          <w:color w:val="auto"/>
        </w:rPr>
        <w:t>We may be subject to damages resulting from claims that we or our employees have wrongfully used or disclosed alleged trade secrets of our employees’ former employers or other institutions or third parties with whom such employees may have been previously affiliated.</w:t>
      </w:r>
    </w:p>
    <w:p>
      <w:pPr>
        <w:spacing w:after="0" w:line="12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whom our employees may have been previously affiliated. Litigation may be necessary to defend against these claims. For example, we were a defendant in litigation brought against us and one of our non-executive employees by Thermo alleging, among other claims, misappropriation of proprietary information and breach of contractual and fiduciary obligations. While we resolved our dispute with Thermo in July 2017, if we fail in defending against similar claims brought in the future we could be subject to injunctive relief against us. A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similar claims brought in the future, litigation could result in substantial costs and be a distraction to management.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ind w:right="420" w:firstLine="648"/>
        <w:spacing w:after="0" w:line="282" w:lineRule="auto"/>
        <w:rPr>
          <w:sz w:val="20"/>
          <w:szCs w:val="20"/>
          <w:color w:val="auto"/>
        </w:rPr>
      </w:pPr>
      <w:r>
        <w:rPr>
          <w:rFonts w:ascii="Arial" w:cs="Arial" w:eastAsia="Arial" w:hAnsi="Arial"/>
          <w:sz w:val="18"/>
          <w:szCs w:val="18"/>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6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Fluidigm Canada Inc. (Fluidigm Canada), an Ontario corporation and wholly owned subsidiary of Fluidigm Sciences, was party to an interim license agreement, now expired, with Nodality, Inc. (Nodality), under which Nodality granted Fluidigm Canada a worldwide, non-exclusive, research use only, royalty bearing license to certain cytometric reagents, instruments, and other products. While we were able to secure a license under a new license agreement with Nodality, we cannot provide assurances that we will always be able to obtain suitable license rights to technologies or intellectual property of other third parties on acceptable terms, if at all.</w:t>
      </w:r>
    </w:p>
    <w:p>
      <w:pPr>
        <w:spacing w:after="0" w:line="19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In-licensed intellectual property rights that are fundamental to the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 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ind w:right="360" w:firstLine="648"/>
        <w:spacing w:after="0" w:line="282" w:lineRule="auto"/>
        <w:rPr>
          <w:sz w:val="20"/>
          <w:szCs w:val="20"/>
          <w:color w:val="auto"/>
        </w:rPr>
      </w:pPr>
      <w:r>
        <w:rPr>
          <w:rFonts w:ascii="Arial" w:cs="Arial" w:eastAsia="Arial" w:hAnsi="Arial"/>
          <w:sz w:val="18"/>
          <w:szCs w:val="18"/>
          <w:b w:val="1"/>
          <w:bCs w:val="1"/>
          <w:color w:val="auto"/>
        </w:rPr>
        <w:t>We are subject to certain manufacturing restrictions related to licensed technologies that were developed with the financial assistance of U.S. governmental grants.</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have assisted the licensors of these technologies with the analysis of the domestic manufacturing requirement, and, in December 2008, the sole licensor subject to the requirement applied for a waiver of the domestic manufacturing requirement with respect to the relevant patents licensed to us by this licensor. In July 2009, the funding government agency granted the requested waiver of the domestic manufacturing requirement for a three-year period commencing in July 2009. In June 2012, the licensor requested a continued waiver of the domestic manufacturing requirement with respect to the relevant patents, but the government agency has not yet taken any action in response to this request. If the government agency does not grant the requested waiver or the government fails to grant additional waivers of such requirement that may be sought in the future, then the U.S. government could exercise its march-in rights with respect to the relevant patents licensed to us. In addition, the license agreement under which the relevant patents are licensed to us contains provisions that obligate us to comply with this domestic manufacturing requirement. We are not currently manufacturing instruments and IFCs in the United States that incorporate the relevant licensed technology. If our lack of compliance with this provision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6"/>
          <w:szCs w:val="16"/>
          <w:b w:val="1"/>
          <w:bCs w:val="1"/>
          <w:color w:val="auto"/>
        </w:rPr>
        <w:t>We are subject to certain obligations and restrictions relating to technologies developed in cooperation with Canadian government agencies.</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Our stock price may fluctuate significantly, particularly if holders of substantial amounts of our stock attempt to sell, and holders may have difficulty selling their shares based on current trading volumes of our stock. In addition, numerous other factors could result in substantial volatility in the trading price of our stock.</w:t>
      </w:r>
    </w:p>
    <w:p>
      <w:pPr>
        <w:spacing w:after="0" w:line="18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stock is currently traded on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2019, we had 69,956,397 shares of common stock outstanding, and stockholders holding at least 5% of our stock, individually or with affiliated persons or entities, collectively beneficially owned or controlled approximately 46.3% of such shares and one stockholder beneficially owned approximately 9.8% of our outstanding common stock.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46.3% held by our top six stockholders) means that a relatively small number of stockholders have significant control over the outcomes of stockholder voting.</w:t>
      </w:r>
    </w:p>
    <w:p>
      <w:pPr>
        <w:spacing w:after="0" w:line="16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addition, the trading price of our common stock may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quarterly variation in our results of operations or the results of our competitors;</w:t>
      </w:r>
    </w:p>
    <w:p>
      <w:pPr>
        <w:spacing w:after="0" w:line="225" w:lineRule="exact"/>
        <w:rPr>
          <w:rFonts w:ascii="Arial" w:cs="Arial" w:eastAsia="Arial" w:hAnsi="Arial"/>
          <w:sz w:val="18"/>
          <w:szCs w:val="18"/>
          <w:color w:val="auto"/>
        </w:rPr>
      </w:pPr>
    </w:p>
    <w:p>
      <w:pPr>
        <w:ind w:left="1300" w:hanging="320"/>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for our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in the life science, plant and animal research, and CRO sectors;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complete significant sales;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manufacturing disruptions that could occur if we are unable to successfully expand our production in our current or an alternative facility;</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 in connection with raising additional capital or otherwise;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major change to the composition of our board of directors or management;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In several recent situations where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189"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If securities or industry analysts publish unfavorable research about our business or cease to cover our business, our stock price and/or trading volume could decline.</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8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including provisions that:</w:t>
      </w:r>
    </w:p>
    <w:p>
      <w:pPr>
        <w:spacing w:after="0" w:line="170" w:lineRule="exact"/>
        <w:rPr>
          <w:sz w:val="20"/>
          <w:szCs w:val="20"/>
          <w:color w:val="auto"/>
        </w:rPr>
      </w:pPr>
    </w:p>
    <w:p>
      <w:pPr>
        <w:ind w:left="1300" w:right="420" w:hanging="320"/>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10,000,000 shares of undesignated preferred stock;</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3" w:name="page34"/>
    <w:bookmarkEnd w:id="33"/>
    <w:p>
      <w:pPr>
        <w:ind w:left="1300" w:right="2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70" w:lineRule="exact"/>
        <w:rPr>
          <w:rFonts w:ascii="Arial" w:cs="Arial" w:eastAsia="Arial" w:hAnsi="Arial"/>
          <w:sz w:val="18"/>
          <w:szCs w:val="18"/>
          <w:color w:val="auto"/>
        </w:rPr>
      </w:pPr>
    </w:p>
    <w:p>
      <w:pPr>
        <w:ind w:left="1300" w:right="4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Class I, Class II, and Class III, with each class serving staggered three-year terms;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We have never paid cash dividends on our capital stock, and we do not anticipate paying any cash dividends in the foreseeable future.</w:t>
      </w:r>
    </w:p>
    <w:p>
      <w:pPr>
        <w:spacing w:after="0" w:line="25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We have paid no cash dividends on any of our classes of capital stock to date and currently intend to retain our future earnings to fund the development and growth of our business. In addition, we cannot pay any cash dividends on any of our classes of common stock without approval from the lender under our Revolving Credit Facility, and may become subject to covenants under future debt arrangements that place restrictions on our ability to pay dividends. As a result, capital appreciation, if any, of our common stock will be stockholders’ sole source of gain for the foreseeable future.</w:t>
      </w:r>
    </w:p>
    <w:p>
      <w:pPr>
        <w:spacing w:after="0" w:line="150"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Any conversions of the 2014 Notes or 2019 Notes will dilute the ownership interest of our existing stockholders and may otherwise depress the price of our common stock.</w:t>
      </w:r>
    </w:p>
    <w:p>
      <w:pPr>
        <w:spacing w:after="0" w:line="166"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Any conversion of some or all of the 2014 Notes or 2019 Notes will dilute the ownership interests of our existing stockholders. Any sales in the public market of our common stock issuable upon such conversion could also adversely affect prevailing market prices of our common stock. In addition, holders of the 2014 Notes or 2019 Notes may hedge their position in such Convertible Notes by entering into short positions with respect to the underlying common stock. As a result, any anticipated conversion of the 2014 Notes or 2019 Notes could depress the market price of our common stock and impair our ability to raise capital through the sale of additional equity securities.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Risks Relating to this Offering</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We will have broad discretion over the use of the proceeds to us from this offering and may apply it to uses that do not improve our operating results or the value of your securities.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will have broad discretion to use the net proceeds to us from this offering, and investors will be relying solely on the judgment of our board of directors and management regarding the application of these proceeds. We intend to use the net proceeds from this offering for general corporate purposes and working capital. We may also use a portion of the net proceeds of this offering to fund possible investments in or acquisitions of complementary businesses, products, or technologies. As of the date of this prospectus supplement, we have no agreements or commitments to complete any such transaction. We have not allocated these net proceeds for any specific purposes. Investors will not have the opportunity, as part of their investment decision, to assess whether the proceeds are being used appropriately. Our use of the proceeds may not improve our operating results or increase the value of the securities being offered hereby.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experience immediate and substantial dilution.</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offering price per share in this offering may exceed the net tangible book value per share of our common stock outstanding prior to this offering. Assuming that an aggregate of 15,873,016 shares of our common stock are sold at a price of $3.15 per share, the last reported sale price of our common stock on The Nasdaq Global Select Market on March 3, 2020, for aggregate gross proceeds of $50.0 million, and after deducting commissions and estimated offering expenses payable by us, you would experience immediate dilution of $2.58 per share, representing the difference between our as-adjusted net tangible book value per share as of December 31, 2020 after giving effect to this offering and the assumed public offering price. To the extent that any stock options are exercised, restricted stock units vest, new equity incentive awards are issued under our equity incentive plans, additional shares of common stock are sold under our employee stock purchase plan, our 2014 Notes convert to common stock, our 2019 Notes convert to common stock, or we otherwise issue additional shares of common stock in the future, there will be further dilution to investors participating in this offering. See the section titled “Dilution” below for a more detailed illustration of the dilution you may incur if you participate in this offering.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actual number of common shares we will issue under the sales agreement, at any one time or in total, is uncertain.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Subject to certain limitations in the sales agreement and compliance with applicable law, we have the discretion to deliver a placement notice to Jefferies at any time throughout the term of the sales agreement. The number of common shares that are sold by Jefferies after delivering a placement notice will fluctuate based on the market price of the common shares during the sales period and limits we set with Jefferies. Because the price per share of each common share sold will fluctuate based on the market price of our common shares during the sales period, it is not possible at this stage to predict the number of common shares that will be ultimately issued.</w:t>
      </w:r>
    </w:p>
    <w:p>
      <w:pPr>
        <w:spacing w:after="0" w:line="18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common shares offered hereby will be sold in “at the market offerings,” and investors who buy common shares at different times will likely pay different prices.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Investors who purchase common shares in this offering at different times will likely pay different prices, and so may experience different outcomes in their investment results. We will have discretion, subject to market demand, to vary the timing, prices, and numbers of common shares sold, and there is no minimum or maximum sales price. Investors may experience a decline in the value of their common shares as a result of common share sales made at prices lower than the prices they paid.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This prospectus supplement, the accompanying prospectus and the information incorporated by reference in this prospectus supplement and accompanying prospectus includes and incorporates by reference forward-looking statements within the meaning of Section 27A of the Securities Act of 1933, as amended, or Securities Act, and Section 21E of the Exchange Act, that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Although we believe that we have a reasonable basis for each forward-looking statement contained and incorporated by reference included in this prospectus supplement,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supplement entitled “Risk Factors,” in “Part I—Item 1A—Risk Factors” of our most recent report on Form 10-K or “Part II—Item 1A—Risk Factors” in our Quarterly Reports on Form 10-Q which is incorporated by reference in this prospectus supplement as well as other disclosures included in this prospectus supplement, discuss some of the factors that could contribute to these differences.</w:t>
      </w:r>
    </w:p>
    <w:p>
      <w:pPr>
        <w:spacing w:after="0" w:line="17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 supplement.</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prospectus supplement, the accompanying prospectus, and the documents incorporated by reference in this prospectus supplement contain market data that we obtained from industry sources, including independent industry publications. In presenting this information, we have also made assumptions based on such data and other similar sources and on our knowledge of, and our experience to date in, the markets for our products. This data involves a number of assumptions and limitations, and you are cautioned not to give undue weight to such estimates. While we believe the market data included in this prospectus supplement is generally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under the heading “Risk Factors” in this prospectus supplement and “Item 1A—Risk Factors” of our most recent report on Form 10-K or 10-Q which is incorporated by reference in this prospectus supplement. These and other factors could cause results to differ materially from those expressed in the estimates made by the independent parties and by us.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firstLine="648"/>
        <w:spacing w:after="0" w:line="271" w:lineRule="auto"/>
        <w:rPr>
          <w:sz w:val="20"/>
          <w:szCs w:val="20"/>
          <w:color w:val="auto"/>
        </w:rPr>
      </w:pPr>
      <w:r>
        <w:rPr>
          <w:rFonts w:ascii="Arial" w:cs="Arial" w:eastAsia="Arial" w:hAnsi="Arial"/>
          <w:sz w:val="17"/>
          <w:szCs w:val="17"/>
          <w:color w:val="auto"/>
        </w:rPr>
        <w:t>All forward-looking statements are based on information available to us on the date of this prospectus supplement and we will not update any of the forward-looking statements after the date of this prospectus supplement, except as required by law. Our actual results could differ materially from those discussed in this prospectus supplement. The forward-looking statements contained in this prospectus supplement, and other written and oral forward-looking statements made by us from time to time, are subject to certain risks and uncertainties that could cause actual results to differ materially from those anticipated in the forward-looking statements. Factors that might cause such a difference include, but are not limited to, those discussed in the following discussion and within the section of this prospectus supplement captioned “Risk Factors” beginning on page S-5 and in our most recently filed annual report on Form 10-K and in our most recently filed quarterly report on Form 10-Q, as well as any amendments thereto reflected in subsequent filings with the SEC, which are incorporated by reference into this prospectus in their entirety.</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7" w:name="page38"/>
    <w:bookmarkEnd w:id="37"/>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plan to use the net proceeds of this offering for general corporate purposes and working capital. We may also use a portion of the net proceeds from this offering to fund possible investments in or acquisitions of complementary businesses, products, or technologies. As of the date of this prospectus supplement, we have no agreements or commitments to complete any such transaction.</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cannot specify with certainty all of the particular uses for the net proceeds to be received from this offering. In addition, the amount, allocation and timing of our actual expenditures will depend upon numerous factors, including market acceptance of our products, the cost of our research and development activities, the cost of filing and prosecuting patent applications, the cost associated with litigation or disputes relating to intellectual property rights or otherwise, the cost and timing of regulatory clearances or approvals, if any, the cost and timing of establishing additional sales, marketing, and distribution capabilities, the cost and timing of establishing additional technical support capabilities, the effect of competing technological and market developments, the effectiveness of our efficiency and cost reduction initiatives, and the extent to which we acquire or invest in businesses, products and technologies, although we currently have no commitments or agreements relating to any of these types of transactions. Accordingly, we will have broad discretion in using these proceeds. Pending their uses, we plan to invest the net proceeds of this offering in short-term money market funds, certificates of deposit, or U.S. government and agency securities.</w:t>
      </w:r>
    </w:p>
    <w:p>
      <w:pPr>
        <w:spacing w:after="0" w:line="3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904" w:right="45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Purchasers of common stock offered by this prospectus supplement and the accompanying prospectus may suffer immediate and substantial dilution in the net tangible book value per share of common stock. Our net tangible book value as of December 31, 2019 was approximately $0.4 million, or approximately $0.01 per share of common stock. Net tangible book value per share represents the amount of total tangible assets less total liabilities, divided by the number of shares of our common stock outstanding as of December 31, 2019.</w:t>
      </w:r>
    </w:p>
    <w:p>
      <w:pPr>
        <w:spacing w:after="0" w:line="187"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Dilution in net tangible book value per share represents the difference between the amount per share paid by purchasers in this offering and the net tangible book value per share of our common stock immediately after this offering. After giving effect to the assumed sale of 15,873,016 shares of common stock in the aggregate amount of $50.0 million at an assumed public offering price of $3.15 per share, the last reported sale price of our common stock on March 3, 2020, and after deduction of commissions and estimated offering expenses payable by us, our as adjusted net tangible book value as of December 31, 2019 would have been approximately $48.8 million, or $0.57 per share of common stock. This would represent an immediate increase in net tangible book value of $0.56 per share of common stock to our existing stockholders and an immediate dilution in net tangible book value of $2.58 per share of common stock to investors participating in this offering. The following table illustrates this dilution on a per share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Assumed public offering price per share</w:t>
            </w:r>
          </w:p>
        </w:tc>
        <w:tc>
          <w:tcPr>
            <w:tcW w:w="2720" w:type="dxa"/>
            <w:vAlign w:val="bottom"/>
            <w:gridSpan w:val="3"/>
          </w:tcPr>
          <w:p>
            <w:pPr>
              <w:jc w:val="right"/>
              <w:ind w:right="150"/>
              <w:spacing w:after="0"/>
              <w:rPr>
                <w:sz w:val="20"/>
                <w:szCs w:val="20"/>
                <w:color w:val="auto"/>
              </w:rPr>
            </w:pPr>
            <w:r>
              <w:rPr>
                <w:rFonts w:ascii="Arial" w:cs="Arial" w:eastAsia="Arial" w:hAnsi="Arial"/>
                <w:sz w:val="18"/>
                <w:szCs w:val="18"/>
                <w:color w:val="auto"/>
              </w:rPr>
              <w:t>$3.15</w:t>
            </w: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December 31, 2019</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$0.01</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4"/>
        </w:trPr>
        <w:tc>
          <w:tcPr>
            <w:tcW w:w="8700" w:type="dxa"/>
            <w:vAlign w:val="bottom"/>
          </w:tcPr>
          <w:p>
            <w:pPr>
              <w:ind w:left="180"/>
              <w:spacing w:after="0"/>
              <w:rPr>
                <w:sz w:val="20"/>
                <w:szCs w:val="20"/>
                <w:color w:val="auto"/>
              </w:rPr>
            </w:pPr>
            <w:r>
              <w:rPr>
                <w:rFonts w:ascii="Arial" w:cs="Arial" w:eastAsia="Arial" w:hAnsi="Arial"/>
                <w:sz w:val="18"/>
                <w:szCs w:val="18"/>
                <w:color w:val="auto"/>
              </w:rPr>
              <w:t>Increase per share attributable to this offering</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$0.56</w:t>
            </w:r>
          </w:p>
        </w:tc>
        <w:tc>
          <w:tcPr>
            <w:tcW w:w="9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As adjusted net tangible book value per share as of December 31, 2019, after giving effect to this offering</w:t>
            </w:r>
          </w:p>
        </w:tc>
        <w:tc>
          <w:tcPr>
            <w:tcW w:w="920" w:type="dxa"/>
            <w:vAlign w:val="bottom"/>
          </w:tcPr>
          <w:p>
            <w:pPr>
              <w:spacing w:after="0"/>
              <w:rPr>
                <w:sz w:val="19"/>
                <w:szCs w:val="19"/>
                <w:color w:val="auto"/>
              </w:rPr>
            </w:pPr>
          </w:p>
        </w:tc>
        <w:tc>
          <w:tcPr>
            <w:tcW w:w="1800" w:type="dxa"/>
            <w:vAlign w:val="bottom"/>
            <w:gridSpan w:val="2"/>
          </w:tcPr>
          <w:p>
            <w:pPr>
              <w:jc w:val="right"/>
              <w:ind w:right="150"/>
              <w:spacing w:after="0"/>
              <w:rPr>
                <w:sz w:val="20"/>
                <w:szCs w:val="20"/>
                <w:color w:val="auto"/>
              </w:rPr>
            </w:pPr>
            <w:r>
              <w:rPr>
                <w:rFonts w:ascii="Arial" w:cs="Arial" w:eastAsia="Arial" w:hAnsi="Arial"/>
                <w:sz w:val="18"/>
                <w:szCs w:val="18"/>
                <w:color w:val="auto"/>
              </w:rPr>
              <w:t>$0.57</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$2.58</w:t>
            </w:r>
          </w:p>
        </w:tc>
      </w:tr>
      <w:tr>
        <w:trPr>
          <w:trHeight w:val="20"/>
        </w:trPr>
        <w:tc>
          <w:tcPr>
            <w:tcW w:w="8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Changes in the assumed public offering price of $3.15 per share would not affect our as adjusted net tangible book value after this offering because this offering is currently limited to $50.0 million of shares of our common stock. However, each $1.00 increase (decrease) in the assumed public offering price of $3.15 per share would (decrease) increase our as adjusted per share net tangible book value after this offering by approximately $0.55 per share, and increase (decrease) the dilution per share to new investors by approximately $2.59 per share, assuming that the aggregate dollar amount of shares offered by us, as set forth above, remains at $50.0 million and after deducting the commissions and estimated offering expenses payable by us. We may also increase or decrease the aggregate dollar amount of shares we are offering from the amount set forth above. The information discussed above is illustrative only and will adjust based on the actual public offering price, the actual number of shares that we offer in this offering, and other terms of this offering determined at the time of each offer and sale.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above discussion and table are based on 69,956,397 shares of our common stock outstanding as of December 31, 2019 and excludes as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980" w:right="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2,026,936 shares of common stock issuable upon exercise of options outstanding as of December 31, 2019, at a weighted-average exercise price of $7.78 per share;</w:t>
      </w:r>
    </w:p>
    <w:p>
      <w:pPr>
        <w:spacing w:after="0" w:line="170"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2,550,880 shares of common stock issuable upon the vesting of restricted stock units with service-only vesting conditions outstanding as of December 31, 2019;</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610,669 shares of common stock issuable upon the vesting of restricted stock units with performance conditions outstanding as of December 31,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ind w:left="980" w:right="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5,713,341 shares of common stock reserved for future issuance under stock-based compensation plans, including 5,312,076 shares of common stock reserved for issuance under our 2011 Equity Incentive Plan and 401,265 shares of common stock reserved for issuance under our 2017 Employee Stock Purchase Plan;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of common stock reserved for issuance upon conversion of our 2014 Notes;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of common stock reserved for issuance upon conversion of our 2019 Notes.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To the extent that any options are exercised, new equity incentive awards are issued under our equity incentive plans, additional shares of common stock are sold under our employee stock purchase plan, our 2014 Notes convert to common stock, our 2019 Notes convert to common stock, or we otherwise issue additional shares of common stock in the future, there will be further dilution to investors participating in this offering.</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40" w:name="page41"/>
    <w:bookmarkEnd w:id="40"/>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if any, for the operation and expansion of our business and, therefore, we do not anticipate declaring or paying cash dividends in the foreseeable future. In addition, our Loan and Security Agreement with Silicon Valley Bank restricts, and future debt arrangements may restrict, our ability to pay dividends. The payment of dividends, if any,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5" w:right="39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We have entered into a sales agreement with Jefferies, under which we may offer and sell up to $50,000,000 of our shares of common stock from time to time through Jefferies acting as agent. Sales of our shares of common stock, if any, under this prospectus supplement and the accompanying prospectus will be made by any method that is deemed to be an “at the market offering” as defined in Rule 415(a)(4) under the Securities Act.</w:t>
      </w:r>
    </w:p>
    <w:p>
      <w:pPr>
        <w:spacing w:after="0" w:line="14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settlement of sales of shares between us and Jefferies is generally anticipated to occur on the second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87" w:lineRule="exact"/>
        <w:rPr>
          <w:sz w:val="20"/>
          <w:szCs w:val="20"/>
          <w:color w:val="auto"/>
        </w:rPr>
      </w:pPr>
    </w:p>
    <w:p>
      <w:pPr>
        <w:ind w:right="380" w:firstLine="648"/>
        <w:spacing w:after="0" w:line="293" w:lineRule="auto"/>
        <w:rPr>
          <w:sz w:val="20"/>
          <w:szCs w:val="20"/>
          <w:color w:val="auto"/>
        </w:rPr>
      </w:pPr>
      <w:r>
        <w:rPr>
          <w:rFonts w:ascii="Arial" w:cs="Arial" w:eastAsia="Arial" w:hAnsi="Arial"/>
          <w:sz w:val="16"/>
          <w:szCs w:val="16"/>
          <w:color w:val="auto"/>
        </w:rPr>
        <w:t>We will pay Jefferies a commission equal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$50,000. We estimate that the total expenses for the offering, excluding any commissions or expense reimbursement payable to Jefferies under the terms of the sales agreement, will be approximately $250,000. The remaining sale proceeds, after deducting any other transaction fees, will equal our net proceeds from the sale of such shares.</w:t>
      </w:r>
    </w:p>
    <w:p>
      <w:pPr>
        <w:spacing w:after="0" w:line="16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Jefferies will provide written confirmation to us before the open on Nasdaq on the day following each day on which our shares of common stock are sold under the sales agreement. Each confirmation will include the number of shares sold on that day, the aggregate gross proceeds of such sales and the proceeds to us.</w:t>
      </w:r>
    </w:p>
    <w:p>
      <w:pPr>
        <w:spacing w:after="0" w:line="181" w:lineRule="exact"/>
        <w:rPr>
          <w:sz w:val="20"/>
          <w:szCs w:val="20"/>
          <w:color w:val="auto"/>
        </w:rPr>
      </w:pPr>
    </w:p>
    <w:p>
      <w:pPr>
        <w:ind w:right="380" w:firstLine="648"/>
        <w:spacing w:after="0" w:line="291" w:lineRule="auto"/>
        <w:rPr>
          <w:sz w:val="20"/>
          <w:szCs w:val="20"/>
          <w:color w:val="auto"/>
        </w:rPr>
      </w:pPr>
      <w:r>
        <w:rPr>
          <w:rFonts w:ascii="Arial" w:cs="Arial" w:eastAsia="Arial" w:hAnsi="Arial"/>
          <w:sz w:val="16"/>
          <w:szCs w:val="16"/>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w:t>
      </w:r>
    </w:p>
    <w:p>
      <w:pPr>
        <w:ind w:right="20"/>
        <w:spacing w:after="0" w:line="261" w:lineRule="auto"/>
        <w:rPr>
          <w:sz w:val="20"/>
          <w:szCs w:val="20"/>
          <w:color w:val="auto"/>
        </w:rPr>
      </w:pPr>
      <w:r>
        <w:rPr>
          <w:rFonts w:ascii="Arial" w:cs="Arial" w:eastAsia="Arial" w:hAnsi="Arial"/>
          <w:sz w:val="18"/>
          <w:szCs w:val="18"/>
          <w:color w:val="auto"/>
        </w:rPr>
        <w:t>Jefferies against certain civil liabilities, including liabilities under the Securities Act. We have also agreed to contribute to payments Jefferies may be required to make in respect of such liabilities.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42" w:name="page43"/>
    <w:bookmarkEnd w:id="42"/>
    <w:p>
      <w:pPr>
        <w:ind w:right="200" w:firstLine="648"/>
        <w:spacing w:after="0" w:line="264" w:lineRule="auto"/>
        <w:rPr>
          <w:sz w:val="20"/>
          <w:szCs w:val="20"/>
          <w:color w:val="auto"/>
        </w:rPr>
      </w:pPr>
      <w:r>
        <w:rPr>
          <w:rFonts w:ascii="Arial" w:cs="Arial" w:eastAsia="Arial" w:hAnsi="Arial"/>
          <w:sz w:val="18"/>
          <w:szCs w:val="18"/>
          <w:color w:val="auto"/>
        </w:rPr>
        <w:t>The offering of our shares of common stock pursuant to the sales agreement will terminate upon the earlier of (i) the sale of all shares of common stock subject to the sales agreement and (ii) the termination of the sales agreement as permitted therein. We and Jefferies may each terminate the sales agreement upon prior notice.</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is filed as an exhibit to a current report on Form 8-K filed under the Exchange Act and incorporated by reference into this prospectus supplement.</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4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validity of the securities offered hereby will be passed upon for us by Wilson Sonsini Goodrich &amp; Rosati, Professional Corporation, Palo Alto, California. Latham &amp; Watkins LLP is counsel for Jefferies in connection with this offering.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2019 have been so incorporated in reliance on the report of PricewaterhouseCoopers LLP, an independent registered public accounting firm, given on the authority of said firm as experts in auditing and accounting.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from our website at http://www.fluidigm.com. These filings will be available as soon as reasonably practicable after we electronically file such material with, or furnish it to, the SEC. Information contained on our website is not part of this prospectus supplement.</w:t>
      </w:r>
    </w:p>
    <w:p>
      <w:pPr>
        <w:spacing w:after="0" w:line="193"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You should rely only on the information provided in, and incorporated by reference in, this prospectus supplement and the accompanying prospectus and the registration statement. We have not authorized anyone else to provide you with different information. Our securities are not being offered in any state where the offer is not permitted. The information contained in documents that are incorporated by reference in this prospectus supplement is accurate only as of the dates of those documents. Our business, financial condition, results of operations and prospects may have changed since those dates.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44" w:name="page45"/>
    <w:bookmarkEnd w:id="44"/>
    <w:p>
      <w:pPr>
        <w:jc w:val="center"/>
        <w:ind w:right="-7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supplement. We incorporate by reference the following information or documents that we have filed with the SEC (excluding those portions of any Form 8-K that are not deemed “filed” pursuant to the General Instructions of Form 8-K):</w:t>
      </w:r>
    </w:p>
    <w:p>
      <w:pPr>
        <w:spacing w:after="0" w:line="17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2019 filed with the SEC on </w:t>
      </w:r>
      <w:hyperlink r:id="rId55">
        <w:r>
          <w:rPr>
            <w:rFonts w:ascii="Arial" w:cs="Arial" w:eastAsia="Arial" w:hAnsi="Arial"/>
            <w:sz w:val="18"/>
            <w:szCs w:val="18"/>
            <w:u w:val="single" w:color="auto"/>
            <w:color w:val="0000EE"/>
          </w:rPr>
          <w:t>February 27,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the </w:t>
      </w:r>
      <w:hyperlink r:id="rId56">
        <w:r>
          <w:rPr>
            <w:rFonts w:ascii="Arial" w:cs="Arial" w:eastAsia="Arial" w:hAnsi="Arial"/>
            <w:sz w:val="18"/>
            <w:szCs w:val="18"/>
            <w:u w:val="single" w:color="auto"/>
            <w:color w:val="0000EE"/>
          </w:rPr>
          <w:t>Annual Report on Form 10-K for the year ended December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from our definitive proxy statement for the 2019 Annual Meeting of Stockholders; and</w:t>
      </w:r>
    </w:p>
    <w:p>
      <w:pPr>
        <w:spacing w:after="0" w:line="170" w:lineRule="exact"/>
        <w:rPr>
          <w:rFonts w:ascii="Arial" w:cs="Arial" w:eastAsia="Arial" w:hAnsi="Arial"/>
          <w:sz w:val="18"/>
          <w:szCs w:val="18"/>
          <w:color w:val="auto"/>
        </w:rPr>
      </w:pPr>
    </w:p>
    <w:p>
      <w:pPr>
        <w:ind w:left="980" w:right="320" w:hanging="324"/>
        <w:spacing w:after="0" w:line="264" w:lineRule="auto"/>
        <w:tabs>
          <w:tab w:leader="none" w:pos="980" w:val="left"/>
        </w:tabs>
        <w:numPr>
          <w:ilvl w:val="0"/>
          <w:numId w:val="18"/>
        </w:numPr>
        <w:rPr>
          <w:rFonts w:ascii="Arial" w:cs="Arial" w:eastAsia="Arial" w:hAnsi="Arial"/>
          <w:sz w:val="18"/>
          <w:szCs w:val="18"/>
          <w:color w:val="0000EE"/>
        </w:rPr>
      </w:pPr>
      <w:r>
        <w:rPr>
          <w:rFonts w:ascii="Arial" w:cs="Arial" w:eastAsia="Arial" w:hAnsi="Arial"/>
          <w:sz w:val="18"/>
          <w:szCs w:val="18"/>
          <w:color w:val="auto"/>
        </w:rPr>
        <w:t xml:space="preserve">the description of our common stock contained in our Registration Statement on Form 8-A (File No. 001-34180) filed with the SEC on </w:t>
      </w:r>
      <w:hyperlink r:id="rId57">
        <w:r>
          <w:rPr>
            <w:rFonts w:ascii="Arial" w:cs="Arial" w:eastAsia="Arial" w:hAnsi="Arial"/>
            <w:sz w:val="18"/>
            <w:szCs w:val="18"/>
            <w:u w:val="single" w:color="auto"/>
            <w:color w:val="0000EE"/>
          </w:rPr>
          <w:t>February 7, 2011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pursuant to Section 12(b) of the Exchange Act, including any amendment or report filed for the purpose of updating such</w:t>
      </w:r>
      <w:r>
        <w:rPr>
          <w:rFonts w:ascii="Arial" w:cs="Arial" w:eastAsia="Arial" w:hAnsi="Arial"/>
          <w:sz w:val="18"/>
          <w:szCs w:val="18"/>
          <w:color w:val="0000EE"/>
        </w:rPr>
        <w:t xml:space="preserve"> </w:t>
      </w:r>
      <w:r>
        <w:rPr>
          <w:rFonts w:ascii="Arial" w:cs="Arial" w:eastAsia="Arial" w:hAnsi="Arial"/>
          <w:sz w:val="18"/>
          <w:szCs w:val="18"/>
          <w:color w:val="000000"/>
        </w:rPr>
        <w:t>description.</w:t>
      </w:r>
    </w:p>
    <w:p>
      <w:pPr>
        <w:spacing w:after="0" w:line="181" w:lineRule="exact"/>
        <w:rPr>
          <w:rFonts w:ascii="Arial" w:cs="Arial" w:eastAsia="Arial" w:hAnsi="Arial"/>
          <w:sz w:val="18"/>
          <w:szCs w:val="18"/>
          <w:color w:val="auto"/>
        </w:rPr>
      </w:pPr>
    </w:p>
    <w:p>
      <w:pPr>
        <w:ind w:right="80" w:firstLine="648"/>
        <w:spacing w:after="0" w:line="273" w:lineRule="auto"/>
        <w:rPr>
          <w:sz w:val="20"/>
          <w:szCs w:val="20"/>
          <w:color w:val="auto"/>
        </w:rPr>
      </w:pPr>
      <w:r>
        <w:rPr>
          <w:rFonts w:ascii="Arial" w:cs="Arial" w:eastAsia="Arial" w:hAnsi="Arial"/>
          <w:sz w:val="17"/>
          <w:szCs w:val="17"/>
          <w:color w:val="auto"/>
        </w:rPr>
        <w:t>We also incorporate by reference into this prospectus supplement additional documents that we may file with the SEC under Sections 13(a), 13(c), 14 or 15(d) of the Exchange Act prior to the completion or termination of the offering, including all such documents we may file with the SEC after the date of the initial registration statement and prior to the effectiveness of the registration statement,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78" w:lineRule="exact"/>
        <w:rPr>
          <w:rFonts w:ascii="Arial" w:cs="Arial" w:eastAsia="Arial" w:hAnsi="Arial"/>
          <w:sz w:val="18"/>
          <w:szCs w:val="18"/>
          <w:color w:val="auto"/>
        </w:rPr>
      </w:pPr>
    </w:p>
    <w:p>
      <w:pPr>
        <w:ind w:right="240" w:firstLine="648"/>
        <w:spacing w:after="0" w:line="257" w:lineRule="auto"/>
        <w:rPr>
          <w:sz w:val="20"/>
          <w:szCs w:val="20"/>
          <w:color w:val="auto"/>
        </w:rPr>
      </w:pPr>
      <w:r>
        <w:rPr>
          <w:rFonts w:ascii="Arial" w:cs="Arial" w:eastAsia="Arial" w:hAnsi="Arial"/>
          <w:sz w:val="18"/>
          <w:szCs w:val="18"/>
          <w:color w:val="auto"/>
        </w:rPr>
        <w:t>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w:t>
      </w:r>
    </w:p>
    <w:p>
      <w:pPr>
        <w:spacing w:after="0" w:line="188" w:lineRule="exact"/>
        <w:rPr>
          <w:rFonts w:ascii="Arial" w:cs="Arial" w:eastAsia="Arial" w:hAnsi="Arial"/>
          <w:sz w:val="18"/>
          <w:szCs w:val="18"/>
          <w:color w:val="auto"/>
        </w:rPr>
      </w:pPr>
    </w:p>
    <w:p>
      <w:pPr>
        <w:ind w:firstLine="648"/>
        <w:spacing w:after="0" w:line="277" w:lineRule="auto"/>
        <w:rPr>
          <w:sz w:val="20"/>
          <w:szCs w:val="20"/>
          <w:color w:val="auto"/>
        </w:rPr>
      </w:pPr>
      <w:r>
        <w:rPr>
          <w:rFonts w:ascii="Arial" w:cs="Arial" w:eastAsia="Arial" w:hAnsi="Arial"/>
          <w:sz w:val="18"/>
          <w:szCs w:val="18"/>
          <w:color w:val="auto"/>
        </w:rPr>
        <w:t>We will provide to each person, including any beneficial owner, to whom this prospectus supplement is delivered, upon written or oral request, at no cost to the requester, a copy of any and all of the information that is incorporated by reference in this prospectus supplement.</w:t>
      </w:r>
    </w:p>
    <w:p>
      <w:pPr>
        <w:spacing w:after="0" w:line="387"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S-44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121" w:right="31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Until March 13, 2020, requests for such documents should be directed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7000 Shoreline Court, Suite 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266-6000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March 13, 2020, requests for such documents should be directed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Fluidigm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Two Tower Place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266-6000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You may also access the documents incorporated by reference in this prospectus supplement through our website at www.fluidigm.com. Except for the specific incorporated documents listed above, no information available on or through our website shall be deemed to be incorporated in this prospectus supplement or the registration statement of which it forms a part.</w:t>
      </w:r>
    </w:p>
    <w:p>
      <w:pPr>
        <w:spacing w:after="0" w:line="3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8"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1438275</wp:posOffset>
            </wp:positionV>
            <wp:extent cx="1809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31750</wp:posOffset>
            </wp:positionV>
            <wp:extent cx="3704590" cy="12350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704590"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 may offer, from time to time,</w:t>
      </w:r>
    </w:p>
    <w:p>
      <w:pPr>
        <w:sectPr>
          <w:pgSz w:w="11900" w:h="16838" w:orient="portrait"/>
          <w:cols w:equalWidth="0" w:num="1">
            <w:col w:w="11420"/>
          </w:cols>
          <w:pgMar w:left="240" w:top="1148" w:right="239" w:bottom="1440" w:gutter="0" w:footer="0" w:header="0"/>
        </w:sectPr>
      </w:pP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debt securities</w:t>
      </w:r>
    </w:p>
    <w:p>
      <w:pPr>
        <w:spacing w:after="0" w:line="222" w:lineRule="exact"/>
        <w:rPr>
          <w:sz w:val="20"/>
          <w:szCs w:val="20"/>
          <w:color w:val="auto"/>
        </w:rPr>
      </w:pPr>
    </w:p>
    <w:p>
      <w:pPr>
        <w:sectPr>
          <w:pgSz w:w="11900" w:h="16838" w:orient="portrait"/>
          <w:cols w:equalWidth="0" w:num="4">
            <w:col w:w="3040" w:space="300"/>
            <w:col w:w="1760" w:space="720"/>
            <w:col w:w="60" w:space="320"/>
            <w:col w:w="5220"/>
          </w:cols>
          <w:pgMar w:left="240" w:top="1148" w:right="2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may from time to time in one or more offerings offer and sell common stock, preferred stock, debt securities, warrants to purchase common stock or preferred stock or debt securities, or any combination of the foregoing, either individually or as units comprised of one or more of the other securities.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offering price of the securities sold pursuant to this prospectus will not exceed $125,000,000.</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the specific amount, price and terms of the applicable offered securities in one or more supplements to this prospectus. You should read this prospectus and any supplement carefully before you purchase any of our securities.</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“FLDM.” On February 13, 2020, the last reported sale price on the Nasdaq Global Select Market was $3.64 per share. There is currently no market for the other securities we may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151765</wp:posOffset>
            </wp:positionV>
            <wp:extent cx="180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Investing in our securities involves risks. Please carefully read the information under the headings “Risk Factors” beginning on page 5 of this prospectus and “Item 1A—Risk Factors” of our most recent report on Form 10-K or 10-Q which is incorporated by reference in this prospectus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20320</wp:posOffset>
            </wp:positionV>
            <wp:extent cx="18097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1"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180"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0"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These securities may be offered and sold to or through one or more underwriters, dealers and agents, or directly to purchasers, on a continuous or delayed basis. If underwriters, dealers, or agents are used to sell the securities, we will name them and describe their compensation in a prospectus supplement. In addition, the underwriters may overallot a portion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158750</wp:posOffset>
            </wp:positionV>
            <wp:extent cx="18097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February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20" w:type="dxa"/>
            <w:vAlign w:val="bottom"/>
            <w:gridSpan w:val="5"/>
          </w:tcPr>
          <w:p>
            <w:pPr>
              <w:ind w:left="94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20" w:type="dxa"/>
            <w:vAlign w:val="bottom"/>
            <w:gridSpan w:val="5"/>
          </w:tcPr>
          <w:p>
            <w:pPr>
              <w:ind w:left="72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91"/>
        </w:trPr>
        <w:tc>
          <w:tcPr>
            <w:tcW w:w="20" w:type="dxa"/>
            <w:vAlign w:val="bottom"/>
            <w:vMerge w:val="restart"/>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About This Prospectus</w:t>
              </w:r>
            </w:hyperlink>
          </w:p>
        </w:tc>
        <w:tc>
          <w:tcPr>
            <w:tcW w:w="76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620" w:type="dxa"/>
            <w:vAlign w:val="bottom"/>
            <w:gridSpan w:val="7"/>
          </w:tcPr>
          <w:p>
            <w:pPr>
              <w:spacing w:after="0" w:line="17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Prospectus Summary</w:t>
              </w:r>
            </w:hyperlink>
          </w:p>
        </w:tc>
        <w:tc>
          <w:tcPr>
            <w:tcW w:w="2180" w:type="dxa"/>
            <w:vAlign w:val="bottom"/>
            <w:gridSpan w:val="7"/>
          </w:tcPr>
          <w:p>
            <w:pPr>
              <w:spacing w:after="0"/>
              <w:rPr>
                <w:sz w:val="15"/>
                <w:szCs w:val="15"/>
                <w:color w:val="auto"/>
              </w:rPr>
            </w:pPr>
          </w:p>
        </w:tc>
        <w:tc>
          <w:tcPr>
            <w:tcW w:w="7600" w:type="dxa"/>
            <w:vAlign w:val="bottom"/>
            <w:gridSpan w:val="4"/>
          </w:tcPr>
          <w:p>
            <w:pPr>
              <w:jc w:val="right"/>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Risk Factors</w:t>
              </w:r>
            </w:hyperlink>
          </w:p>
        </w:tc>
        <w:tc>
          <w:tcPr>
            <w:tcW w:w="2900" w:type="dxa"/>
            <w:vAlign w:val="bottom"/>
            <w:gridSpan w:val="12"/>
            <w:shd w:val="clear" w:color="auto" w:fill="CCEEFF"/>
          </w:tcPr>
          <w:p>
            <w:pPr>
              <w:spacing w:after="0"/>
              <w:rPr>
                <w:sz w:val="15"/>
                <w:szCs w:val="15"/>
                <w:color w:val="auto"/>
              </w:rPr>
            </w:pPr>
          </w:p>
        </w:tc>
        <w:tc>
          <w:tcPr>
            <w:tcW w:w="76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Forward-Looking Statements</w:t>
              </w:r>
            </w:hyperlink>
          </w:p>
        </w:tc>
        <w:tc>
          <w:tcPr>
            <w:tcW w:w="7600" w:type="dxa"/>
            <w:vAlign w:val="bottom"/>
            <w:gridSpan w:val="4"/>
          </w:tcPr>
          <w:p>
            <w:pPr>
              <w:jc w:val="right"/>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gridSpan w:val="4"/>
            <w:shd w:val="clear" w:color="auto" w:fill="CCEEFF"/>
          </w:tcPr>
          <w:p>
            <w:pPr>
              <w:spacing w:after="0" w:line="176" w:lineRule="exact"/>
              <w:rPr>
                <w:rFonts w:ascii="Arial" w:cs="Arial" w:eastAsia="Arial" w:hAnsi="Arial"/>
                <w:sz w:val="18"/>
                <w:szCs w:val="18"/>
                <w:color w:val="0000EE"/>
                <w:w w:val="85"/>
              </w:rPr>
            </w:pPr>
            <w:hyperlink w:anchor="page54">
              <w:r>
                <w:rPr>
                  <w:rFonts w:ascii="Arial" w:cs="Arial" w:eastAsia="Arial" w:hAnsi="Arial"/>
                  <w:sz w:val="18"/>
                  <w:szCs w:val="18"/>
                  <w:color w:val="0000EE"/>
                  <w:w w:val="85"/>
                </w:rPr>
                <w:t>Use of Proceeds</w:t>
              </w:r>
            </w:hyperlink>
          </w:p>
        </w:tc>
        <w:tc>
          <w:tcPr>
            <w:tcW w:w="2640" w:type="dxa"/>
            <w:vAlign w:val="bottom"/>
            <w:gridSpan w:val="10"/>
            <w:shd w:val="clear" w:color="auto" w:fill="CCEEFF"/>
          </w:tcPr>
          <w:p>
            <w:pPr>
              <w:spacing w:after="0"/>
              <w:rPr>
                <w:sz w:val="15"/>
                <w:szCs w:val="15"/>
                <w:color w:val="auto"/>
              </w:rPr>
            </w:pPr>
          </w:p>
        </w:tc>
        <w:tc>
          <w:tcPr>
            <w:tcW w:w="76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Dividend Policy</w:t>
              </w:r>
            </w:hyperlink>
          </w:p>
        </w:tc>
        <w:tc>
          <w:tcPr>
            <w:tcW w:w="7600" w:type="dxa"/>
            <w:vAlign w:val="bottom"/>
            <w:gridSpan w:val="4"/>
          </w:tcPr>
          <w:p>
            <w:pPr>
              <w:jc w:val="right"/>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Description of Our Capital Stock</w:t>
              </w:r>
            </w:hyperlink>
          </w:p>
        </w:tc>
        <w:tc>
          <w:tcPr>
            <w:tcW w:w="7600" w:type="dxa"/>
            <w:vAlign w:val="bottom"/>
            <w:gridSpan w:val="4"/>
            <w:shd w:val="clear" w:color="auto" w:fill="CCEEFF"/>
          </w:tcPr>
          <w:p>
            <w:pPr>
              <w:jc w:val="right"/>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7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00" w:type="dxa"/>
            <w:vAlign w:val="bottom"/>
            <w:gridSpan w:val="14"/>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the Debt Securities</w:t>
              </w:r>
            </w:hyperlink>
          </w:p>
        </w:tc>
        <w:tc>
          <w:tcPr>
            <w:tcW w:w="7600" w:type="dxa"/>
            <w:vAlign w:val="bottom"/>
            <w:gridSpan w:val="4"/>
          </w:tcPr>
          <w:p>
            <w:pPr>
              <w:jc w:val="right"/>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11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9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Description of the Warrants</w:t>
              </w:r>
            </w:hyperlink>
          </w:p>
        </w:tc>
        <w:tc>
          <w:tcPr>
            <w:tcW w:w="1820" w:type="dxa"/>
            <w:vAlign w:val="bottom"/>
            <w:tcBorders>
              <w:bottom w:val="single" w:sz="8" w:color="CCEEFF"/>
            </w:tcBorders>
            <w:gridSpan w:val="6"/>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20</w:t>
              </w:r>
            </w:hyperlink>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14"/>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Plan of Distribution</w:t>
              </w:r>
            </w:hyperlink>
          </w:p>
        </w:tc>
        <w:tc>
          <w:tcPr>
            <w:tcW w:w="7600" w:type="dxa"/>
            <w:vAlign w:val="bottom"/>
            <w:gridSpan w:val="4"/>
          </w:tcPr>
          <w:p>
            <w:pPr>
              <w:jc w:val="right"/>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Legal Matters</w:t>
              </w:r>
            </w:hyperlink>
          </w:p>
        </w:tc>
        <w:tc>
          <w:tcPr>
            <w:tcW w:w="2800" w:type="dxa"/>
            <w:vAlign w:val="bottom"/>
            <w:tcBorders>
              <w:bottom w:val="single" w:sz="8" w:color="CCEEFF"/>
            </w:tcBorders>
            <w:gridSpan w:val="11"/>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25</w:t>
              </w:r>
            </w:hyperlink>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00" w:type="dxa"/>
            <w:vAlign w:val="bottom"/>
            <w:gridSpan w:val="14"/>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Experts</w:t>
              </w:r>
            </w:hyperlink>
          </w:p>
        </w:tc>
        <w:tc>
          <w:tcPr>
            <w:tcW w:w="7600" w:type="dxa"/>
            <w:vAlign w:val="bottom"/>
            <w:gridSpan w:val="4"/>
          </w:tcPr>
          <w:p>
            <w:pPr>
              <w:jc w:val="right"/>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25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1"/>
              </w:rPr>
            </w:pPr>
            <w:hyperlink w:anchor="page73">
              <w:r>
                <w:rPr>
                  <w:rFonts w:ascii="Arial" w:cs="Arial" w:eastAsia="Arial" w:hAnsi="Arial"/>
                  <w:sz w:val="18"/>
                  <w:szCs w:val="18"/>
                  <w:color w:val="0000EE"/>
                  <w:w w:val="91"/>
                </w:rPr>
                <w:t>Where You Can Find More Information</w:t>
              </w:r>
            </w:hyperlink>
          </w:p>
        </w:tc>
        <w:tc>
          <w:tcPr>
            <w:tcW w:w="94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25</w:t>
              </w:r>
            </w:hyperlink>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2820" w:type="dxa"/>
            <w:vAlign w:val="bottom"/>
            <w:tcBorders>
              <w:bottom w:val="single" w:sz="8" w:color="0000EE"/>
            </w:tcBorders>
            <w:gridSpan w:val="12"/>
          </w:tcPr>
          <w:p>
            <w:pPr>
              <w:spacing w:after="0" w:line="17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Information Incorporated by Reference</w:t>
              </w:r>
            </w:hyperlink>
          </w:p>
        </w:tc>
        <w:tc>
          <w:tcPr>
            <w:tcW w:w="980" w:type="dxa"/>
            <w:vAlign w:val="bottom"/>
            <w:gridSpan w:val="2"/>
          </w:tcPr>
          <w:p>
            <w:pPr>
              <w:spacing w:after="0"/>
              <w:rPr>
                <w:sz w:val="15"/>
                <w:szCs w:val="15"/>
                <w:color w:val="auto"/>
              </w:rPr>
            </w:pPr>
          </w:p>
        </w:tc>
        <w:tc>
          <w:tcPr>
            <w:tcW w:w="7420" w:type="dxa"/>
            <w:vAlign w:val="bottom"/>
            <w:gridSpan w:val="2"/>
          </w:tcPr>
          <w:p>
            <w:pPr>
              <w:spacing w:after="0"/>
              <w:rPr>
                <w:sz w:val="15"/>
                <w:szCs w:val="15"/>
                <w:color w:val="auto"/>
              </w:rPr>
            </w:pPr>
          </w:p>
        </w:tc>
        <w:tc>
          <w:tcPr>
            <w:tcW w:w="180" w:type="dxa"/>
            <w:vAlign w:val="bottom"/>
            <w:tcBorders>
              <w:bottom w:val="single" w:sz="8" w:color="0000EE"/>
            </w:tcBorders>
            <w:gridSpan w:val="2"/>
          </w:tcPr>
          <w:p>
            <w:pPr>
              <w:jc w:val="right"/>
              <w:spacing w:after="0" w:line="17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26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registration process, we may, from time to time, offer or sell any combination of the securities described in this prospectus in one or more offerings up to a total amount of $125,000,000.</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this prospectus and, accordingly, to the extent inconsistent, information in this prospectus is superseded by the information in the prospectus supplement.</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 person has been authorized to give any information or make any representations in connection with this offering other than those contained or incorporated by reference in this prospectus, any accompanying prospectus supplement and any related free writing prospectus in connection with the offering described herein and therein.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7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This summary highlights information contained elsewhere in this prospectus or incorporated herein by reference. This summary is not complete and does not contain all of the information that you should consider before deciding to invest in our securities. We urge you to read this entire prospectus and the information incorporated by reference in this prospectus carefully, including the “Risk Factors” section. In this prospectus, unless the context indicates otherwise, the terms “company,” “Fluidigm”, “we,” “us,” and “our” refer to Fluidigm Corporation and its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Fluidigm is a global company that improves life through comprehensive health insight. Our innovative technologies and multi-omic tools are used by researchers to reveal meaningful insights into health and disease, identify biomarkers to inform decisions, and accelerate the development of more effective therapies. We create, manufacture, and market a range of products and services, including instruments, reagents and software that are used by researchers worldwide.</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focus is on the most pressing needs in translational and clinical research, including cancer, immunology and immunotherapy. We use proprietary CyTOF® and microfluidics technologies to develop innovative end-to-end solutions that have the flexibility required to meet the needs of translational research and the robustness to support high-impact clinical research studies.</w:t>
      </w:r>
    </w:p>
    <w:p>
      <w:pPr>
        <w:spacing w:after="0" w:line="18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mass cytometry Helios™ system deeply profiles cell phenotype and function. Referenced by hundreds of peer-reviewed publications around the world, mass cytometry is setting a new standard in human immune profiling. Transforming biological imaging, our Hyperion™ Imaging System enables highly multiplexed protein biomarker detection in tissues and tumors while still preserving tissue architecture and cellular morphology information using Imaging Mass Cytometry™ (IMC™). Our microfluidic systems complement our mass cytometry offerings by providing highly scalable and automated workflows for quantitative polymerase chain reaction (PCR), gene expression, copy number variation analysis, and next-generation sequencing library preparation. Used to detect somatic and genomic variations from a range of different sample types, these automated systems provide the cost efficiencies, flexibility and proven analytical performance that customers need to meet the increasing demands of molecular biomarker analysis.</w:t>
      </w:r>
    </w:p>
    <w:p>
      <w:pPr>
        <w:spacing w:after="0" w:line="16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are a trusted partner of leading academic, government, pharmaceutical, biotechnology, and plant and animal research laboratories worldwide and we strive to increase the quality of life for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were incorporated in California in May 1999 as Mycometrix Corporation, changed our name to Fluidigm Corporation in April 2001 and reincorporated in Delaware in July 2007. Our principal executive offices are located at 7000 Shoreline Court, Suite 100, South San Francisco, California 94080 until March 13, 2020, and thereafter will be located at Two Tower Place, South San Francisco, California 94080. Our telephone number is (650) 266-6000. We maintain an Internet website at www.fluidigm.com. We have not incorporated the information on our website by reference into this prospectus, and you should not consider it to be a part of this prospectus.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right="20" w:firstLine="648"/>
        <w:spacing w:after="0" w:line="255" w:lineRule="auto"/>
        <w:rPr>
          <w:sz w:val="20"/>
          <w:szCs w:val="20"/>
          <w:color w:val="auto"/>
        </w:rPr>
      </w:pPr>
      <w:r>
        <w:rPr>
          <w:rFonts w:ascii="Arial" w:cs="Arial" w:eastAsia="Arial" w:hAnsi="Arial"/>
          <w:sz w:val="18"/>
          <w:szCs w:val="18"/>
          <w:color w:val="auto"/>
        </w:rPr>
        <w:t>Fluidigm®, the Fluidigm logo, 48.Atlas™, Acculift™, Access Array™, Advanta™, Biomark™, Bringing new insights to life™, C1™, Callisto™, Cell-ID™, CyTOF®, D3™, Delta Gene™, Direct™, Digital Array™, Dynamic Array™, EP1™, EQ™, FC1™, Flex Six™, Helios™, High-Precision 96.96 Genotyping™, Hyperion™, IMC™, Imaging Mass Cytometry™, Immune Profiling Assay™, Juno™, Maxpar®, MCD™, MSL®, Nanoflex™, Open App™, Pathsetter™, Polaris™, qdPCR 37K™, Script Builder™, Script Hub™, Singular™, SNP Trace™, and SNP Type™ are trademarks or registered trademarks of Fluidigm Corporation. Other service marks, trademarks and trade names appearing in or incorporated by reference into this prospectus are the property of their respective owners.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offer or sell common stock, preferred stock, debt securities and warrants in one or more offerings and in any combination either individually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or as units comprised of one or more of the other securities. The aggregate offering price of the securities sold pursuant to this prospectus will not exceed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$125,000,000. Each time we offer securities with this prospectus, we will provide a prospectus supplement that will describe the specific amounts, prices and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terms of the securities being offered.</w:t>
      </w:r>
    </w:p>
    <w:p>
      <w:pPr>
        <w:spacing w:after="0" w:line="211" w:lineRule="exact"/>
        <w:rPr>
          <w:sz w:val="20"/>
          <w:szCs w:val="20"/>
          <w:color w:val="auto"/>
        </w:rPr>
      </w:pPr>
    </w:p>
    <w:p>
      <w:pPr>
        <w:ind w:right="480" w:firstLine="648"/>
        <w:spacing w:after="0" w:line="302" w:lineRule="auto"/>
        <w:rPr>
          <w:sz w:val="20"/>
          <w:szCs w:val="20"/>
          <w:color w:val="auto"/>
        </w:rPr>
      </w:pPr>
      <w:r>
        <w:rPr>
          <w:rFonts w:ascii="Arial" w:cs="Arial" w:eastAsia="Arial" w:hAnsi="Arial"/>
          <w:sz w:val="16"/>
          <w:szCs w:val="16"/>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cash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Fluidigm Corporation, voting rights and rights to convert into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may offer secured or unsecured obligations in the form of one or more series of debt securities, which may be senior, senior subordinated or subordinated obligations. Any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debt securities will be issued under an indenture, as supplemented by a resolution of our board of directors, an officer’s certificate or a supplemental indenture, between us and a trustee. We have summarized the general features of the debt securities to be governed by the indenture. The indenture has been filed as an exhibit to the registration statement of which this prospectus forms a part. We encourage you to read the indenture. Instructions on how you can get copies of this document are provided under the heading “Where You Can Find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ind w:left="20" w:right="20" w:firstLine="648"/>
        <w:spacing w:after="0" w:line="277" w:lineRule="auto"/>
        <w:rPr>
          <w:sz w:val="20"/>
          <w:szCs w:val="20"/>
          <w:color w:val="auto"/>
        </w:rPr>
      </w:pPr>
      <w:r>
        <w:rPr>
          <w:rFonts w:ascii="Arial" w:cs="Arial" w:eastAsia="Arial" w:hAnsi="Arial"/>
          <w:sz w:val="18"/>
          <w:szCs w:val="18"/>
          <w:color w:val="auto"/>
        </w:rPr>
        <w:t>We may issue units comprised of one or more of the other classes of securities issued by us as described in this prospectus in any combination. Each unit will be issued so that the holder of the unit is also the holder of each security included in the unit.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or “Part II—Item 1A—Risk Factors” in our Quarterly Reports on Form 10-Q which are incorporated herein by reference, and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This prospectus includes and incorporates by reference forward-looking statements within the meaning of Section 27A of the Securities Act of 1933, as amended, or Securities Act, and Section 21E of the Securities Exchange Act of 1934, as amended, or Exchange Act, that are based on our management’s beliefs and assumptions and on information currently available to our management. Forward-looking statements include information concerning our possible or assumed future results of operations, business strategies, financing plans, competitive position, industry environment, potential growth opportunities and the effects of competition.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Although we believe that we have a reasonable basis for each forward-looking statement contained and incorporated by reference included in this prospectus, we caution you that these statements are based on our projections of the future that are subject to known and unknown risks and uncertainties and other factors that may cause our actual results, level of activity, performance or achievements expressed or implied by these forward-looking statements, to differ. The sections in this prospectus entitled “Risk Factors,” in “Part I—Item 1A—Risk Factors” of our most recent report on Form 10-K or “Part II—Item 1A—Risk Factors” in our Quarterly Reports on Form 10-Q which is incorporated by reference in this prospectus as well as other disclosures included in this prospectus or the supplement hereto, discuss some of the factors that could contribute to these differences.</w:t>
      </w:r>
    </w:p>
    <w:p>
      <w:pPr>
        <w:spacing w:after="0" w:line="16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Other unknown or unpredictable factors also could harm our results. Consequently, actual results or developments anticipated by us may not be realized or, even if substantially realized, may not have the expected consequences to, or effects on, us. Given these uncertainties, prospective investors are cautioned not to place undue reliance on such forward-looking statements. Except as required by law, we undertake no obligation to update or revise publicly any of the forward-looking statements after the date of this prospectus.</w:t>
      </w:r>
    </w:p>
    <w:p>
      <w:pPr>
        <w:spacing w:after="0" w:line="18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This prospectus and the documents incorporated by reference in this prospectus contain market data that we obtained from industry sources, including independent industry publications. In presenting this information, we have also made assumptions based on such data and other similar sources and on our knowledge of, and our experience to date in, the markets for our products. This data involves a number of assumptions and limitations, and you are cautioned not to give undue weight to such estimates. While we believe the market data included in this prospectus is generally reliable, such information is inherently imprecise. In addition, projections, assumptions and estimates of our future performance and the future performance of the industry in which we operate are necessarily subject to a high degree of uncertainty and risk due to a variety of factors, including those described under the heading “Risk Factors” in this prospectus and “Item 1A—Risk Factors” of our most recent report on Form 10-K or 10-Q which is incorporated by reference in this prospectus. These and other factors could cause results to differ materially from those expressed in the estimates made by the independent parties and by us.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Unless we state otherwise in the applicable prospectus supplement, we expect to use the net proceeds that we will receive from the sale of the securities for general corporate purposes, including working capital, capital expenditures, and continued research and development with respect to products and technologies. We may also use a portion of the net proceeds to fund possible investments in or acquisitions of complementary businesses, products, or technologies. As of the date of this prospectus, we have no agreements or commitments to complete any such transaction. Pending these uses, we may invest our net proceeds from this offering primarily in investment-grade, interest-bearing instruments.</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specific allocations of the proceeds we receive from the sale of our securities will be described in the applicable prospectus supplement.</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future earnings for the operation and expansion of our business and, therefore, we do not anticipate declaring or paying cash dividends in the foreseeable future. In addition, we are subject to covenants under debt arrangements that place restrictions on our ability to pay dividends. The payment of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5" w:right="3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The following is a summary of the material provisions of the common stock and the preferred stock contained in our certificate of incorporation and bylaws. For more detailed definition, please refer to our certificate of incorporation and bylaws, each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authorized capital stock consists of 210,000,000 shares, all with a par value of $0.001 per share, of which:</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200,000,000 shares are designated as common stock;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10,000,000 shares are designated as preferred stock.</w:t>
      </w:r>
    </w:p>
    <w:p>
      <w:pPr>
        <w:spacing w:after="0" w:line="21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of January 31, 2020, we had outstanding 70,445,622 shares of common stock held of record by 87 stockholders. In addition, as of January 31, 2020, 5,130,377 shares of our common stock were subject to outstanding awards under our equity incentive plans, of which 1,997,517 shares of common stock were issuable upon exercise of options outstanding as of January 31, 2020, at a weighted average exercise price of $7.81 per share and 3,132,860 shares of common stock were issuable upon the vesting of restricted stock units and performance-based restricted stock units outstanding as of January 31,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holders of our common stock are entitled to one vote per share on all matters to be voted on by our stockholders. Subject to preferences that may be applicable to any outstanding shares of preferred stock, holders of common stock are entitled to receive ratably such dividends as may be declared by our board of directors out of funds legally available for that purpose. In the event of our liquidation, dissolution or winding up, the holders of common stock are entitled to share ratably in all assets remaining after the payment of liabilities, subject to the prior distribution rights of preferred stock then outstanding. Holders of common stock have no preemptive, conversion or subscription rights. There are no redemption or sinking fund provisions applicable to the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 shares of preferred stock are outstanding. Our board of directors has the authority, without further action by our stockholders, to designate and issue up to 10,000,000 shares of preferred stock in one or more series. Our board of directors may also designate the rights, preferences and privileges of each such series of preferred stock, any or all of which may be greater than or senior to those of the common stock. The actual effect of any such issuance on the rights of the holders of common stock will not be known until our board of directors determines the specific rights of the holders of preferred stock; however, the potential effects of such an issuance include:</w:t>
      </w:r>
    </w:p>
    <w:p>
      <w:pPr>
        <w:spacing w:after="0" w:line="18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diluting the voting power of the holders of common stock;</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reducing the likelihood that holders of common stock will receive dividend payments;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55" w:name="page56"/>
    <w:bookmarkEnd w:id="55"/>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reducing the likelihood that holders of common stock will receive payments in the event of our liquidation, dissolution, or winding up; and</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delaying, deterring or preventing a change-in-control or other corporate takeover.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Under the provisions of our certificate of incorporation, holders of our common stock are entitled to one vote for each share of common stock held by such holder on any matter submitted to a vote at a meeting of stockholders. In addition, our certificate of incorporation provides that certain corporate actions require the approval of our stockholders. These actions, and the vote required, are as follows:</w:t>
      </w:r>
    </w:p>
    <w:p>
      <w:pPr>
        <w:spacing w:after="0" w:line="181" w:lineRule="exact"/>
        <w:rPr>
          <w:sz w:val="20"/>
          <w:szCs w:val="20"/>
          <w:color w:val="auto"/>
        </w:rPr>
      </w:pPr>
    </w:p>
    <w:p>
      <w:pPr>
        <w:ind w:left="980" w:right="26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removal of a director requires the vote of a majority of the voting power of our issued and outstanding capital stock entitled to vote in the election of directors; and</w:t>
      </w:r>
    </w:p>
    <w:p>
      <w:pPr>
        <w:spacing w:after="0" w:line="197" w:lineRule="exact"/>
        <w:rPr>
          <w:rFonts w:ascii="Arial" w:cs="Arial" w:eastAsia="Arial" w:hAnsi="Arial"/>
          <w:sz w:val="18"/>
          <w:szCs w:val="18"/>
          <w:color w:val="auto"/>
        </w:rPr>
      </w:pPr>
    </w:p>
    <w:p>
      <w:pPr>
        <w:ind w:left="980" w:right="120" w:hanging="324"/>
        <w:spacing w:after="0" w:line="31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amendment of provisions of our certificate of incorporation relating to blank check preferred stock, the classification of our directors, the removal of directors, the filling of vacancies on our board of directors, cumulative voting, annual and special meetings of our stockholders and the amendment provision in our certificate of incorporation require the vote of 66 2/3% of our then outstanding voting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 Takeover Effects of Delaware Law and Our Certificate of Incorporation and Bylaws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Certain provisions of Delaware law and our certificate of incorporation and bylaws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certificate of incorporation and bylaws include provisions that:</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10,000,000 shares of undesignated preferred stock;</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63" w:lineRule="exact"/>
        <w:rPr>
          <w:rFonts w:ascii="Arial" w:cs="Arial" w:eastAsia="Arial" w:hAnsi="Arial"/>
          <w:sz w:val="17"/>
          <w:szCs w:val="17"/>
          <w:color w:val="auto"/>
        </w:rPr>
      </w:pPr>
    </w:p>
    <w:p>
      <w:pPr>
        <w:ind w:left="980" w:right="3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the board, the chief executive officer or the president;</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56" w:name="page57"/>
    <w:bookmarkEnd w:id="56"/>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directors may be removed only for cause;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the board of directors;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 super majority of votes to amend certain of the above-mentioned provisions.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under certain circumstances, in a business combination with an interested stockholder for a period of three years following the date the person became an interested stockholder unless:</w:t>
      </w:r>
    </w:p>
    <w:p>
      <w:pPr>
        <w:spacing w:after="0" w:line="181" w:lineRule="exact"/>
        <w:rPr>
          <w:sz w:val="20"/>
          <w:szCs w:val="20"/>
          <w:color w:val="auto"/>
        </w:rPr>
      </w:pPr>
    </w:p>
    <w:p>
      <w:pPr>
        <w:ind w:left="980" w:right="1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ind w:left="980" w:hanging="324"/>
        <w:spacing w:after="0" w:line="297"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5" w:lineRule="exact"/>
        <w:rPr>
          <w:rFonts w:ascii="Arial" w:cs="Arial" w:eastAsia="Arial" w:hAnsi="Arial"/>
          <w:sz w:val="16"/>
          <w:szCs w:val="16"/>
          <w:color w:val="auto"/>
        </w:rPr>
      </w:pPr>
    </w:p>
    <w:p>
      <w:pPr>
        <w:jc w:val="both"/>
        <w:ind w:left="980" w:right="2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discourage business combinations or other attempts that might result in a premium over the market price for the shares of common stock held by our stockholders.</w:t>
      </w:r>
    </w:p>
    <w:p>
      <w:pPr>
        <w:spacing w:after="0" w:line="15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provisions of Delaware law and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462 South 4th Street, Suite 1600, Louisville, KY 40202, and its telephone number is (800) 662-7232 or (781) 575-2879.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Select Market under the symbol “FLDM.”</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5" w:right="419" w:bottom="1440" w:gutter="0" w:footer="0" w:header="0"/>
        </w:sectPr>
      </w:pPr>
    </w:p>
    <w:bookmarkStart w:id="58" w:name="page59"/>
    <w:bookmarkEnd w:id="58"/>
    <w:p>
      <w:pPr>
        <w:jc w:val="center"/>
        <w:ind w:right="-59"/>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debt securities will be issued under an indenture between us and a trustee to be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4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66" w:lineRule="exact"/>
        <w:rPr>
          <w:sz w:val="20"/>
          <w:szCs w:val="20"/>
          <w:color w:val="auto"/>
        </w:rPr>
      </w:pPr>
    </w:p>
    <w:p>
      <w:pPr>
        <w:ind w:left="700" w:hanging="287"/>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225" w:lineRule="exact"/>
        <w:rPr>
          <w:rFonts w:ascii="Arial" w:cs="Arial" w:eastAsia="Arial" w:hAnsi="Arial"/>
          <w:sz w:val="18"/>
          <w:szCs w:val="18"/>
          <w:color w:val="auto"/>
        </w:rPr>
      </w:pPr>
    </w:p>
    <w:p>
      <w:pPr>
        <w:ind w:left="700" w:hanging="287"/>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225" w:lineRule="exact"/>
        <w:rPr>
          <w:rFonts w:ascii="Arial" w:cs="Arial" w:eastAsia="Arial" w:hAnsi="Arial"/>
          <w:sz w:val="18"/>
          <w:szCs w:val="18"/>
          <w:color w:val="auto"/>
        </w:rPr>
      </w:pPr>
    </w:p>
    <w:p>
      <w:pPr>
        <w:ind w:left="700" w:hanging="287"/>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25" w:lineRule="exact"/>
        <w:rPr>
          <w:rFonts w:ascii="Arial" w:cs="Arial" w:eastAsia="Arial" w:hAnsi="Arial"/>
          <w:sz w:val="18"/>
          <w:szCs w:val="18"/>
          <w:color w:val="auto"/>
        </w:rPr>
      </w:pPr>
    </w:p>
    <w:p>
      <w:pPr>
        <w:ind w:left="700" w:hanging="287"/>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25" w:lineRule="exact"/>
        <w:rPr>
          <w:rFonts w:ascii="Arial" w:cs="Arial" w:eastAsia="Arial" w:hAnsi="Arial"/>
          <w:sz w:val="18"/>
          <w:szCs w:val="18"/>
          <w:color w:val="auto"/>
        </w:rPr>
      </w:pPr>
    </w:p>
    <w:p>
      <w:pPr>
        <w:ind w:left="700" w:hanging="287"/>
        <w:spacing w:after="0" w:line="312"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ind w:left="287" w:right="400" w:hanging="287"/>
        <w:spacing w:after="0" w:line="264" w:lineRule="auto"/>
        <w:tabs>
          <w:tab w:leader="none" w:pos="2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81" w:lineRule="exact"/>
        <w:rPr>
          <w:rFonts w:ascii="Arial" w:cs="Arial" w:eastAsia="Arial" w:hAnsi="Arial"/>
          <w:sz w:val="18"/>
          <w:szCs w:val="18"/>
          <w:color w:val="auto"/>
        </w:rPr>
      </w:pPr>
    </w:p>
    <w:p>
      <w:pPr>
        <w:ind w:left="287" w:hanging="287"/>
        <w:spacing w:after="0"/>
        <w:tabs>
          <w:tab w:leader="none" w:pos="287"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period or periods within which, the price or prices at which and the terms and conditions upon which we may redeem the debt securities;</w:t>
      </w:r>
    </w:p>
    <w:p>
      <w:pPr>
        <w:spacing w:after="0" w:line="236" w:lineRule="exact"/>
        <w:rPr>
          <w:rFonts w:ascii="Arial" w:cs="Arial" w:eastAsia="Arial" w:hAnsi="Arial"/>
          <w:sz w:val="17"/>
          <w:szCs w:val="17"/>
          <w:color w:val="auto"/>
        </w:rPr>
      </w:pPr>
    </w:p>
    <w:p>
      <w:pPr>
        <w:ind w:left="287" w:right="40" w:hanging="287"/>
        <w:spacing w:after="0" w:line="264" w:lineRule="auto"/>
        <w:tabs>
          <w:tab w:leader="none" w:pos="2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181" w:lineRule="exact"/>
        <w:rPr>
          <w:rFonts w:ascii="Arial" w:cs="Arial" w:eastAsia="Arial" w:hAnsi="Arial"/>
          <w:sz w:val="18"/>
          <w:szCs w:val="18"/>
          <w:color w:val="auto"/>
        </w:rPr>
      </w:pPr>
    </w:p>
    <w:p>
      <w:pPr>
        <w:ind w:left="287" w:hanging="287"/>
        <w:spacing w:after="0" w:line="277" w:lineRule="auto"/>
        <w:tabs>
          <w:tab w:leader="none" w:pos="2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70" w:lineRule="exact"/>
        <w:rPr>
          <w:rFonts w:ascii="Arial" w:cs="Arial" w:eastAsia="Arial" w:hAnsi="Arial"/>
          <w:sz w:val="18"/>
          <w:szCs w:val="18"/>
          <w:color w:val="auto"/>
        </w:rPr>
      </w:pPr>
    </w:p>
    <w:p>
      <w:pPr>
        <w:ind w:left="287" w:hanging="287"/>
        <w:spacing w:after="0"/>
        <w:tabs>
          <w:tab w:leader="none" w:pos="2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225" w:lineRule="exact"/>
        <w:rPr>
          <w:rFonts w:ascii="Arial" w:cs="Arial" w:eastAsia="Arial" w:hAnsi="Arial"/>
          <w:sz w:val="18"/>
          <w:szCs w:val="18"/>
          <w:color w:val="auto"/>
        </w:rPr>
      </w:pPr>
    </w:p>
    <w:p>
      <w:pPr>
        <w:ind w:left="287" w:hanging="287"/>
        <w:spacing w:after="0"/>
        <w:tabs>
          <w:tab w:leader="none" w:pos="2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25" w:lineRule="exact"/>
        <w:rPr>
          <w:rFonts w:ascii="Arial" w:cs="Arial" w:eastAsia="Arial" w:hAnsi="Arial"/>
          <w:sz w:val="18"/>
          <w:szCs w:val="18"/>
          <w:color w:val="auto"/>
        </w:rPr>
      </w:pPr>
    </w:p>
    <w:p>
      <w:pPr>
        <w:ind w:left="287" w:right="600" w:hanging="287"/>
        <w:spacing w:after="0" w:line="277" w:lineRule="auto"/>
        <w:tabs>
          <w:tab w:leader="none" w:pos="2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70" w:lineRule="exact"/>
        <w:rPr>
          <w:rFonts w:ascii="Arial" w:cs="Arial" w:eastAsia="Arial" w:hAnsi="Arial"/>
          <w:sz w:val="18"/>
          <w:szCs w:val="18"/>
          <w:color w:val="auto"/>
        </w:rPr>
      </w:pPr>
    </w:p>
    <w:p>
      <w:pPr>
        <w:ind w:left="287" w:right="900" w:hanging="287"/>
        <w:spacing w:after="0" w:line="342" w:lineRule="auto"/>
        <w:tabs>
          <w:tab w:leader="none" w:pos="287"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23" w:lineRule="exact"/>
        <w:rPr>
          <w:rFonts w:ascii="Arial" w:cs="Arial" w:eastAsia="Arial" w:hAnsi="Arial"/>
          <w:sz w:val="16"/>
          <w:szCs w:val="16"/>
          <w:color w:val="auto"/>
        </w:rPr>
      </w:pPr>
    </w:p>
    <w:p>
      <w:pPr>
        <w:ind w:left="287" w:right="280" w:hanging="287"/>
        <w:spacing w:after="0" w:line="277" w:lineRule="auto"/>
        <w:tabs>
          <w:tab w:leader="none" w:pos="2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70" w:lineRule="exact"/>
        <w:rPr>
          <w:rFonts w:ascii="Arial" w:cs="Arial" w:eastAsia="Arial" w:hAnsi="Arial"/>
          <w:sz w:val="18"/>
          <w:szCs w:val="18"/>
          <w:color w:val="auto"/>
        </w:rPr>
      </w:pPr>
    </w:p>
    <w:p>
      <w:pPr>
        <w:ind w:left="287" w:right="320" w:hanging="287"/>
        <w:spacing w:after="0" w:line="342" w:lineRule="auto"/>
        <w:tabs>
          <w:tab w:leader="none" w:pos="287"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23" w:lineRule="exact"/>
        <w:rPr>
          <w:rFonts w:ascii="Arial" w:cs="Arial" w:eastAsia="Arial" w:hAnsi="Arial"/>
          <w:sz w:val="16"/>
          <w:szCs w:val="16"/>
          <w:color w:val="auto"/>
        </w:rPr>
      </w:pPr>
    </w:p>
    <w:p>
      <w:pPr>
        <w:ind w:left="287" w:right="120" w:hanging="287"/>
        <w:spacing w:after="0" w:line="264" w:lineRule="auto"/>
        <w:tabs>
          <w:tab w:leader="none" w:pos="2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81" w:lineRule="exact"/>
        <w:rPr>
          <w:rFonts w:ascii="Arial" w:cs="Arial" w:eastAsia="Arial" w:hAnsi="Arial"/>
          <w:sz w:val="18"/>
          <w:szCs w:val="18"/>
          <w:color w:val="auto"/>
        </w:rPr>
      </w:pPr>
    </w:p>
    <w:p>
      <w:pPr>
        <w:ind w:left="287" w:hanging="287"/>
        <w:spacing w:after="0"/>
        <w:tabs>
          <w:tab w:leader="none" w:pos="2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25" w:lineRule="exact"/>
        <w:rPr>
          <w:rFonts w:ascii="Arial" w:cs="Arial" w:eastAsia="Arial" w:hAnsi="Arial"/>
          <w:sz w:val="18"/>
          <w:szCs w:val="18"/>
          <w:color w:val="auto"/>
        </w:rPr>
      </w:pPr>
    </w:p>
    <w:p>
      <w:pPr>
        <w:ind w:left="287" w:right="100" w:hanging="287"/>
        <w:spacing w:after="0" w:line="308" w:lineRule="auto"/>
        <w:tabs>
          <w:tab w:leader="none" w:pos="287"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46" w:lineRule="exact"/>
        <w:rPr>
          <w:rFonts w:ascii="Arial" w:cs="Arial" w:eastAsia="Arial" w:hAnsi="Arial"/>
          <w:sz w:val="17"/>
          <w:szCs w:val="17"/>
          <w:color w:val="auto"/>
        </w:rPr>
      </w:pPr>
    </w:p>
    <w:p>
      <w:pPr>
        <w:ind w:left="287" w:hanging="287"/>
        <w:spacing w:after="0"/>
        <w:tabs>
          <w:tab w:leader="none" w:pos="287"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addition to, deletion of or change in the covenants described in this prospectus or in the indenture with respect to the debt securities;</w:t>
      </w:r>
    </w:p>
    <w:p>
      <w:pPr>
        <w:spacing w:after="0" w:line="200" w:lineRule="exact"/>
        <w:rPr>
          <w:sz w:val="20"/>
          <w:szCs w:val="20"/>
          <w:color w:val="auto"/>
        </w:rPr>
      </w:pPr>
    </w:p>
    <w:p>
      <w:pPr>
        <w:spacing w:after="0" w:line="253" w:lineRule="exact"/>
        <w:rPr>
          <w:sz w:val="20"/>
          <w:szCs w:val="20"/>
          <w:color w:val="auto"/>
        </w:rPr>
      </w:pPr>
    </w:p>
    <w:p>
      <w:pPr>
        <w:jc w:val="center"/>
        <w:ind w:right="393"/>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7"/>
          </w:cols>
          <w:pgMar w:left="653" w:top="908" w:right="239" w:bottom="1440" w:gutter="0" w:footer="0" w:header="0"/>
        </w:sectPr>
      </w:pPr>
    </w:p>
    <w:bookmarkStart w:id="60" w:name="page61"/>
    <w:bookmarkEnd w:id="60"/>
    <w:p>
      <w:pPr>
        <w:ind w:left="700" w:hanging="287"/>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225" w:lineRule="exact"/>
        <w:rPr>
          <w:rFonts w:ascii="Arial" w:cs="Arial" w:eastAsia="Arial" w:hAnsi="Arial"/>
          <w:sz w:val="18"/>
          <w:szCs w:val="18"/>
          <w:color w:val="auto"/>
        </w:rPr>
      </w:pPr>
    </w:p>
    <w:p>
      <w:pPr>
        <w:ind w:left="700" w:right="240" w:hanging="287"/>
        <w:spacing w:after="0" w:line="264"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81" w:lineRule="exact"/>
        <w:rPr>
          <w:rFonts w:ascii="Arial" w:cs="Arial" w:eastAsia="Arial" w:hAnsi="Arial"/>
          <w:sz w:val="18"/>
          <w:szCs w:val="18"/>
          <w:color w:val="auto"/>
        </w:rPr>
      </w:pPr>
    </w:p>
    <w:p>
      <w:pPr>
        <w:ind w:left="700" w:right="180" w:hanging="287"/>
        <w:spacing w:after="0" w:line="342" w:lineRule="auto"/>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23" w:lineRule="exact"/>
        <w:rPr>
          <w:rFonts w:ascii="Arial" w:cs="Arial" w:eastAsia="Arial" w:hAnsi="Arial"/>
          <w:sz w:val="16"/>
          <w:szCs w:val="16"/>
          <w:color w:val="auto"/>
        </w:rPr>
      </w:pPr>
    </w:p>
    <w:p>
      <w:pPr>
        <w:ind w:left="700" w:hanging="287"/>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a clearing agency registered under the Exchange Act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8"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Certificated Debt Securities</w:t>
      </w:r>
      <w:r>
        <w:rPr>
          <w:rFonts w:ascii="Arial" w:cs="Arial" w:eastAsia="Arial" w:hAnsi="Arial"/>
          <w:sz w:val="18"/>
          <w:szCs w:val="18"/>
          <w:color w:val="auto"/>
        </w:rPr>
        <w:t>. You may transfer or exchange certificated debt securities at any office we maintain for this purpose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1" w:name="page62"/>
    <w:bookmarkEnd w:id="61"/>
    <w:p>
      <w:pPr>
        <w:ind w:right="20" w:firstLine="648"/>
        <w:spacing w:after="0" w:line="277" w:lineRule="auto"/>
        <w:rPr>
          <w:sz w:val="20"/>
          <w:szCs w:val="20"/>
          <w:color w:val="auto"/>
        </w:rPr>
      </w:pPr>
      <w:r>
        <w:rPr>
          <w:rFonts w:ascii="Arial" w:cs="Arial" w:eastAsia="Arial" w:hAnsi="Arial"/>
          <w:sz w:val="18"/>
          <w:szCs w:val="18"/>
          <w:i w:val="1"/>
          <w:iCs w:val="1"/>
          <w:color w:val="auto"/>
        </w:rPr>
        <w:t>Global Debt Securities and Book-Entry System</w:t>
      </w:r>
      <w:r>
        <w:rPr>
          <w:rFonts w:ascii="Arial" w:cs="Arial" w:eastAsia="Arial" w:hAnsi="Arial"/>
          <w:sz w:val="18"/>
          <w:szCs w:val="18"/>
          <w:color w:val="auto"/>
        </w:rPr>
        <w:t>. Each global debt security representing book-entry debt securities will be deposited with, or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Depositary, and registered in the name of the Depositary or a nominee of the Depositary.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70" w:lineRule="exact"/>
        <w:rPr>
          <w:sz w:val="20"/>
          <w:szCs w:val="20"/>
          <w:color w:val="auto"/>
        </w:rPr>
      </w:pPr>
    </w:p>
    <w:p>
      <w:pPr>
        <w:ind w:left="700" w:right="80" w:hanging="287"/>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170" w:lineRule="exact"/>
        <w:rPr>
          <w:rFonts w:ascii="Arial" w:cs="Arial" w:eastAsia="Arial" w:hAnsi="Arial"/>
          <w:sz w:val="18"/>
          <w:szCs w:val="18"/>
          <w:color w:val="auto"/>
        </w:rPr>
      </w:pPr>
    </w:p>
    <w:p>
      <w:pPr>
        <w:ind w:left="700" w:hanging="287"/>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25" w:lineRule="exact"/>
        <w:rPr>
          <w:sz w:val="20"/>
          <w:szCs w:val="20"/>
          <w:color w:val="auto"/>
        </w:rPr>
      </w:pPr>
    </w:p>
    <w:p>
      <w:pPr>
        <w:ind w:left="700" w:right="160" w:hanging="287"/>
        <w:spacing w:after="0" w:line="264"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81" w:lineRule="exact"/>
        <w:rPr>
          <w:rFonts w:ascii="Arial" w:cs="Arial" w:eastAsia="Arial" w:hAnsi="Arial"/>
          <w:sz w:val="18"/>
          <w:szCs w:val="18"/>
          <w:color w:val="auto"/>
        </w:rPr>
      </w:pPr>
    </w:p>
    <w:p>
      <w:pPr>
        <w:ind w:left="700" w:hanging="287"/>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225" w:lineRule="exact"/>
        <w:rPr>
          <w:rFonts w:ascii="Arial" w:cs="Arial" w:eastAsia="Arial" w:hAnsi="Arial"/>
          <w:sz w:val="18"/>
          <w:szCs w:val="18"/>
          <w:color w:val="auto"/>
        </w:rPr>
      </w:pPr>
    </w:p>
    <w:p>
      <w:pPr>
        <w:ind w:left="700" w:hanging="287"/>
        <w:spacing w:after="0" w:line="259"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ind w:left="700" w:hanging="287"/>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us; and</w:t>
      </w:r>
    </w:p>
    <w:p>
      <w:pPr>
        <w:spacing w:after="0" w:line="225" w:lineRule="exact"/>
        <w:rPr>
          <w:rFonts w:ascii="Arial" w:cs="Arial" w:eastAsia="Arial" w:hAnsi="Arial"/>
          <w:sz w:val="18"/>
          <w:szCs w:val="18"/>
          <w:color w:val="auto"/>
        </w:rPr>
      </w:pPr>
    </w:p>
    <w:p>
      <w:pPr>
        <w:ind w:left="700" w:hanging="287"/>
        <w:spacing w:after="0"/>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other Event of Default provided with respect to debt securities of that series that is described in the applicable prospectus supplement.</w:t>
      </w:r>
    </w:p>
    <w:p>
      <w:pPr>
        <w:spacing w:after="0" w:line="23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6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70" w:lineRule="exact"/>
        <w:rPr>
          <w:sz w:val="20"/>
          <w:szCs w:val="20"/>
          <w:color w:val="auto"/>
        </w:rPr>
      </w:pPr>
    </w:p>
    <w:p>
      <w:pPr>
        <w:ind w:left="700" w:hanging="287"/>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that holder has previously given to the trustee written notice of a continuing Event of Default with respect to debt securities of that series; and</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5560"/>
        <w:spacing w:after="0"/>
        <w:rPr>
          <w:rFonts w:ascii="Arial" w:cs="Arial" w:eastAsia="Arial" w:hAnsi="Arial"/>
          <w:sz w:val="17"/>
          <w:szCs w:val="17"/>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63" w:name="page64"/>
    <w:bookmarkEnd w:id="63"/>
    <w:p>
      <w:pPr>
        <w:ind w:left="700" w:hanging="287"/>
        <w:spacing w:after="0" w:line="259"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8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and the trustee may modify, amend or supplement the indenture or the debt securities of any series without the consent of any holder of any debt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w:t>
      </w:r>
    </w:p>
    <w:p>
      <w:pPr>
        <w:spacing w:after="0" w:line="211" w:lineRule="exact"/>
        <w:rPr>
          <w:sz w:val="20"/>
          <w:szCs w:val="20"/>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left="1300" w:hanging="320"/>
        <w:spacing w:after="0"/>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the indenture under the Trust Indenture Act.</w:t>
      </w:r>
    </w:p>
    <w:p>
      <w:pPr>
        <w:spacing w:after="0" w:line="23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181" w:lineRule="exact"/>
        <w:rPr>
          <w:sz w:val="20"/>
          <w:szCs w:val="20"/>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225" w:lineRule="exact"/>
        <w:rPr>
          <w:rFonts w:ascii="Arial" w:cs="Arial" w:eastAsia="Arial" w:hAnsi="Arial"/>
          <w:sz w:val="18"/>
          <w:szCs w:val="18"/>
          <w:color w:val="auto"/>
        </w:rPr>
      </w:pPr>
    </w:p>
    <w:p>
      <w:pPr>
        <w:ind w:left="1300" w:right="60" w:hanging="320"/>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25" w:lineRule="exact"/>
        <w:rPr>
          <w:rFonts w:ascii="Arial" w:cs="Arial" w:eastAsia="Arial" w:hAnsi="Arial"/>
          <w:sz w:val="18"/>
          <w:szCs w:val="18"/>
          <w:color w:val="auto"/>
        </w:rPr>
      </w:pPr>
    </w:p>
    <w:p>
      <w:pPr>
        <w:ind w:left="1300" w:right="140" w:hanging="320"/>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make the principal of or premium or interest on any debt security payable in currency other than that stated in the debt security;</w:t>
      </w:r>
    </w:p>
    <w:p>
      <w:pPr>
        <w:spacing w:after="0" w:line="236" w:lineRule="exact"/>
        <w:rPr>
          <w:rFonts w:ascii="Arial" w:cs="Arial" w:eastAsia="Arial" w:hAnsi="Arial"/>
          <w:sz w:val="17"/>
          <w:szCs w:val="17"/>
          <w:color w:val="auto"/>
        </w:rPr>
      </w:pPr>
    </w:p>
    <w:p>
      <w:pPr>
        <w:ind w:left="1300" w:right="40" w:hanging="320"/>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5" w:name="page66"/>
    <w:bookmarkEnd w:id="65"/>
    <w:p>
      <w:pPr>
        <w:ind w:right="20" w:firstLine="648"/>
        <w:spacing w:after="0" w:line="273" w:lineRule="auto"/>
        <w:rPr>
          <w:sz w:val="20"/>
          <w:szCs w:val="20"/>
          <w:color w:val="auto"/>
        </w:rPr>
      </w:pPr>
      <w:r>
        <w:rPr>
          <w:rFonts w:ascii="Arial" w:cs="Arial" w:eastAsia="Arial" w:hAnsi="Arial"/>
          <w:sz w:val="17"/>
          <w:szCs w:val="17"/>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i w:val="1"/>
          <w:iCs w:val="1"/>
          <w:color w:val="auto"/>
        </w:rPr>
        <w:t>Legal Defeasance</w:t>
      </w:r>
      <w:r>
        <w:rPr>
          <w:rFonts w:ascii="Arial" w:cs="Arial" w:eastAsia="Arial" w:hAnsi="Arial"/>
          <w:sz w:val="18"/>
          <w:szCs w:val="18"/>
          <w:color w:val="auto"/>
        </w:rPr>
        <w:t>. The indenture provides that, unless otherwise provided by the terms of the applicable series of debt securities, we may be</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7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compliance with certain conditions:</w:t>
      </w:r>
    </w:p>
    <w:p>
      <w:pPr>
        <w:spacing w:after="0" w:line="170" w:lineRule="exact"/>
        <w:rPr>
          <w:sz w:val="20"/>
          <w:szCs w:val="20"/>
          <w:color w:val="auto"/>
        </w:rPr>
      </w:pPr>
    </w:p>
    <w:p>
      <w:pPr>
        <w:ind w:left="1300" w:right="280" w:hanging="320"/>
        <w:spacing w:after="0" w:line="264"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208" w:lineRule="exact"/>
        <w:rPr>
          <w:rFonts w:ascii="Arial" w:cs="Arial" w:eastAsia="Arial" w:hAnsi="Arial"/>
          <w:sz w:val="18"/>
          <w:szCs w:val="18"/>
          <w:color w:val="auto"/>
        </w:rPr>
      </w:pPr>
    </w:p>
    <w:p>
      <w:pPr>
        <w:ind w:left="1300" w:right="160" w:hanging="320"/>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conditions include:</w:t>
      </w:r>
    </w:p>
    <w:p>
      <w:pPr>
        <w:spacing w:after="0" w:line="225" w:lineRule="exact"/>
        <w:rPr>
          <w:sz w:val="20"/>
          <w:szCs w:val="20"/>
          <w:color w:val="auto"/>
        </w:rPr>
      </w:pPr>
    </w:p>
    <w:p>
      <w:pPr>
        <w:ind w:left="700" w:right="140" w:hanging="287"/>
        <w:spacing w:after="0" w:line="255"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left="700" w:hanging="287"/>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such deposit will not result in a breach or violation of, or constitute a default under the indenture or any other agreement to which we are a party;</w:t>
      </w:r>
    </w:p>
    <w:p>
      <w:pPr>
        <w:spacing w:after="0" w:line="248" w:lineRule="exact"/>
        <w:rPr>
          <w:rFonts w:ascii="Arial" w:cs="Arial" w:eastAsia="Arial" w:hAnsi="Arial"/>
          <w:sz w:val="16"/>
          <w:szCs w:val="16"/>
          <w:color w:val="auto"/>
        </w:rPr>
      </w:pPr>
    </w:p>
    <w:p>
      <w:pPr>
        <w:ind w:left="700" w:right="80" w:hanging="287"/>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applicable series of debt securities shall have occurred or is continuing on the date of such deposit; and</w:t>
      </w:r>
    </w:p>
    <w:p>
      <w:pPr>
        <w:spacing w:after="0" w:line="170" w:lineRule="exact"/>
        <w:rPr>
          <w:rFonts w:ascii="Arial" w:cs="Arial" w:eastAsia="Arial" w:hAnsi="Arial"/>
          <w:sz w:val="18"/>
          <w:szCs w:val="18"/>
          <w:color w:val="auto"/>
        </w:rPr>
      </w:pPr>
    </w:p>
    <w:p>
      <w:pPr>
        <w:ind w:left="700" w:right="80" w:hanging="287"/>
        <w:spacing w:after="0" w:line="255"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DESCRIPTION OF THE WARRANTS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issue warrants for the purchase of common stock, preferred stock or debt securities or any combination thereof. Warrants may be issued independently or together with common stock, preferred stock or debt securities and may be attached to or separate from any offered securities. Each series of warrants will be issued under a separate warrant agreement. This summary of some provisions of the warrants is not complete. You should refer to the warrant agreement relating to the specific warrants being offered for the complete terms of the warrants.</w:t>
      </w:r>
    </w:p>
    <w:p>
      <w:pPr>
        <w:spacing w:after="0" w:line="18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225" w:lineRule="exact"/>
        <w:rPr>
          <w:sz w:val="20"/>
          <w:szCs w:val="20"/>
          <w:color w:val="auto"/>
        </w:rPr>
      </w:pPr>
    </w:p>
    <w:p>
      <w:pPr>
        <w:ind w:left="980" w:right="36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197"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252"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equity warrants will not be entitled:</w:t>
      </w:r>
    </w:p>
    <w:p>
      <w:pPr>
        <w:spacing w:after="0" w:line="225"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exercise any rights as stockholders of Fluidigm.</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Debt warrant certificates may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center"/>
        <w:ind w:right="-7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of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underwriting discounts, commissions or agency fees and other items constituting underwriters’ or agents’ compensation;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initial price to public;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5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may issue to the holders of our common stock on a pro rata basis for no consideration, subscription rights to purchase shares of our common stock or preferred stock. These subscription rights may or may not be transferable by stockholders. The applicable prospectus supplement will describe the specific terms of any offering of our common or preferred stock through the issuance of subscription rights, including the terms of the subscription rights offering, the terms, procedures and limitations relating to the exchange and exercise of the subscription rights and, if applicable, the material terms of any standby underwriting or purchase arrangement entered into by us in connection with the offering of common or preferred stock through the issuance of subscription rights.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(other than any securities purchased upon exercise of any option to purchase additional securities). In connection with any offering of common stock pursuant to this prospectus, underwriters may have an option to purchase additional shares of common stock from us. We will provide information regarding any such option to purchase additional shares of common stock from us in the applicable prospectus supplement. The underwriters may change from time to time any initial public offering price and any discounts or concessions allowed or reallowed or paid to dealers. The prospectus supplement will include the names of the principal underwriters, the respective amount of securities underwritten, the nature of the obligation of the underwriters to take the securities and the nature of any material relationship between an underwriter and us.</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5" w:right="319" w:bottom="1440" w:gutter="0" w:footer="0" w:header="0"/>
        </w:sectPr>
      </w:pPr>
    </w:p>
    <w:bookmarkStart w:id="69" w:name="page70"/>
    <w:bookmarkEnd w:id="69"/>
    <w:p>
      <w:pPr>
        <w:ind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by us.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To the extent that we make sales through one or more underwriters or agents in at-the-market offerings, we will do so pursuant to the terms of a sales agency financing agreement or other at-the-market offering arrangement between us, on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in each case in a manner that constitutes an “at the market” offering as defined in Rule 415(a)(4) of the Securities Act. Any such agreement will provide that any securities sold will be sold at prices related to the then prevailing market prices for our securities. Therefore, exact figures regarding proceeds that will be raised or commissions to be paid cannot be determined as of the date of this prospectus.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or prospectus supplement.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Exchange Act. Over-allotment or short sales involve sales by persons participating in the offering of more securities than were sold to them. In these circumstances, these persons would cover such over-allotments or short positions by making purchases in the open market or by exercising their over-allotment option, if any.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93"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will want to pay particular attention to the description of that system we will provide in a prospectus supplement.</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 Of course, many pricing methods can and may also be used.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71" w:name="page72"/>
    <w:bookmarkEnd w:id="71"/>
    <w:p>
      <w:pPr>
        <w:ind w:firstLine="648"/>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 In no event will the total amount of compensation paid to the agents, underwriters and dealers upon completion of any offering exceed 8.0% of the gross proceeds of such offering.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Certain legal matters will be passed upon for us by Wilson Sonsini Goodrich &amp; Rosati, Professional Corporation, Palo Alto, California. Additional legal matters may be passed on for us, or any underwriters, dealers or agents, by counsel that we will name in the applicable prospectus supplement.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648"/>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w:t>
      </w:r>
      <w:hyperlink r:id="rId56">
        <w:r>
          <w:rPr>
            <w:rFonts w:ascii="Arial" w:cs="Arial" w:eastAsia="Arial" w:hAnsi="Arial"/>
            <w:sz w:val="18"/>
            <w:szCs w:val="18"/>
            <w:color w:val="auto"/>
          </w:rPr>
          <w:t xml:space="preserve">Management’s 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w:t>
        </w:r>
      </w:hyperlink>
      <w:r>
        <w:rPr>
          <w:rFonts w:ascii="Arial" w:cs="Arial" w:eastAsia="Arial" w:hAnsi="Arial"/>
          <w:sz w:val="18"/>
          <w:szCs w:val="18"/>
          <w:color w:val="auto"/>
        </w:rPr>
        <w:t xml:space="preserve"> </w:t>
      </w:r>
      <w:hyperlink r:id="rId56">
        <w:r>
          <w:rPr>
            <w:rFonts w:ascii="Arial" w:cs="Arial" w:eastAsia="Arial" w:hAnsi="Arial"/>
            <w:sz w:val="18"/>
            <w:szCs w:val="18"/>
            <w:u w:val="single" w:color="auto"/>
            <w:color w:val="0000EE"/>
          </w:rPr>
          <w:t>year ended December 31, 2018</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 PricewaterhouseCoopers LLP, an independent registered public</w:t>
        </w:r>
      </w:hyperlink>
      <w:r>
        <w:rPr>
          <w:rFonts w:ascii="Arial" w:cs="Arial" w:eastAsia="Arial" w:hAnsi="Arial"/>
          <w:sz w:val="18"/>
          <w:szCs w:val="18"/>
          <w:color w:val="0000EE"/>
        </w:rPr>
        <w:t xml:space="preserve"> </w:t>
      </w:r>
      <w:r>
        <w:rPr>
          <w:rFonts w:ascii="Arial" w:cs="Arial" w:eastAsia="Arial" w:hAnsi="Arial"/>
          <w:sz w:val="18"/>
          <w:szCs w:val="18"/>
          <w:color w:val="000000"/>
        </w:rPr>
        <w:t>accounting firm, given on the authority of said firm as experts in auditing and accounting.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charge through the investor relations page of our website located at http://investors.fluidigm.com/sec.cfm. These filings will be available as soon as reasonably practicable after we electronically file such material with, or furnish it to, the SEC. Information contained on our website is not part of this prospectus.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SEC allows us to incorporate by reference the information we file with it, which means that we can disclose important information to you by referring you to another document that we have filed separately with the SEC. You should read the information incorporated by reference because it is an important part of this prospectus. We incorporate by reference the following information or documents that we have filed with the SEC (excluding those portions of any Form 8-K that are not deemed “filed” pursuant to the General Instructions of Form 8-K):</w:t>
      </w:r>
    </w:p>
    <w:p>
      <w:pPr>
        <w:spacing w:after="0" w:line="171" w:lineRule="exact"/>
        <w:rPr>
          <w:sz w:val="20"/>
          <w:szCs w:val="20"/>
          <w:color w:val="auto"/>
        </w:rPr>
      </w:pPr>
    </w:p>
    <w:p>
      <w:pPr>
        <w:ind w:left="980" w:right="320" w:hanging="324"/>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2018 filed with the SEC on </w:t>
      </w:r>
      <w:hyperlink r:id="rId56">
        <w:r>
          <w:rPr>
            <w:rFonts w:ascii="Arial" w:cs="Arial" w:eastAsia="Arial" w:hAnsi="Arial"/>
            <w:sz w:val="18"/>
            <w:szCs w:val="18"/>
            <w:u w:val="single" w:color="auto"/>
            <w:color w:val="0000EE"/>
          </w:rPr>
          <w:t>March 18, 2019</w:t>
        </w:r>
      </w:hyperlink>
      <w:r>
        <w:rPr>
          <w:rFonts w:ascii="Arial" w:cs="Arial" w:eastAsia="Arial" w:hAnsi="Arial"/>
          <w:sz w:val="18"/>
          <w:szCs w:val="18"/>
          <w:color w:val="auto"/>
        </w:rPr>
        <w:t xml:space="preserve">, including the information specifically incorporated by reference into the Form 10-K from our definitive proxy statement for the 2019 Annual Meeting of Stockholders filed on </w:t>
      </w:r>
      <w:hyperlink r:id="rId92">
        <w:r>
          <w:rPr>
            <w:rFonts w:ascii="Arial" w:cs="Arial" w:eastAsia="Arial" w:hAnsi="Arial"/>
            <w:sz w:val="18"/>
            <w:szCs w:val="18"/>
            <w:u w:val="single" w:color="auto"/>
            <w:color w:val="0000EE"/>
          </w:rPr>
          <w:t>April 23, 2019</w:t>
        </w:r>
      </w:hyperlink>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period ended March 31, 2019 filed on </w:t>
      </w:r>
      <w:hyperlink r:id="rId93">
        <w:r>
          <w:rPr>
            <w:rFonts w:ascii="Arial" w:cs="Arial" w:eastAsia="Arial" w:hAnsi="Arial"/>
            <w:sz w:val="18"/>
            <w:szCs w:val="18"/>
            <w:u w:val="single" w:color="auto"/>
            <w:color w:val="0000EE"/>
          </w:rPr>
          <w:t>May 7,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period ended June 30, 2019 filed on </w:t>
      </w:r>
      <w:hyperlink r:id="rId94">
        <w:r>
          <w:rPr>
            <w:rFonts w:ascii="Arial" w:cs="Arial" w:eastAsia="Arial" w:hAnsi="Arial"/>
            <w:sz w:val="18"/>
            <w:szCs w:val="18"/>
            <w:u w:val="single" w:color="auto"/>
            <w:color w:val="0000EE"/>
          </w:rPr>
          <w:t>August 7,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period ended September 30, 2019 filed on </w:t>
      </w:r>
      <w:hyperlink r:id="rId95">
        <w:r>
          <w:rPr>
            <w:rFonts w:ascii="Arial" w:cs="Arial" w:eastAsia="Arial" w:hAnsi="Arial"/>
            <w:sz w:val="18"/>
            <w:szCs w:val="18"/>
            <w:u w:val="single" w:color="auto"/>
            <w:color w:val="0000EE"/>
          </w:rPr>
          <w:t>November 8,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43"/>
        </w:numPr>
        <w:rPr>
          <w:rFonts w:ascii="Arial" w:cs="Arial" w:eastAsia="Arial" w:hAnsi="Arial"/>
          <w:sz w:val="18"/>
          <w:szCs w:val="18"/>
          <w:color w:val="0000EE"/>
        </w:rPr>
      </w:pPr>
      <w:hyperlink r:id="rId57">
        <w:r>
          <w:rPr>
            <w:rFonts w:ascii="Arial" w:cs="Arial" w:eastAsia="Arial" w:hAnsi="Arial"/>
            <w:sz w:val="18"/>
            <w:szCs w:val="18"/>
            <w:color w:val="auto"/>
          </w:rPr>
          <w:t xml:space="preserve">the description of our common stock contained in our Registration Statement on Form 8-A (File No. 001-34180) filed with the SEC on </w:t>
        </w:r>
        <w:r>
          <w:rPr>
            <w:rFonts w:ascii="Arial" w:cs="Arial" w:eastAsia="Arial" w:hAnsi="Arial"/>
            <w:sz w:val="18"/>
            <w:szCs w:val="18"/>
            <w:u w:val="single" w:color="auto"/>
            <w:color w:val="0000EE"/>
          </w:rPr>
          <w:t>February</w:t>
        </w:r>
      </w:hyperlink>
      <w:r>
        <w:rPr>
          <w:rFonts w:ascii="Arial" w:cs="Arial" w:eastAsia="Arial" w:hAnsi="Arial"/>
          <w:sz w:val="18"/>
          <w:szCs w:val="18"/>
          <w:color w:val="auto"/>
        </w:rPr>
        <w:t xml:space="preserve"> </w:t>
      </w:r>
      <w:hyperlink r:id="rId57">
        <w:r>
          <w:rPr>
            <w:rFonts w:ascii="Arial" w:cs="Arial" w:eastAsia="Arial" w:hAnsi="Arial"/>
            <w:sz w:val="18"/>
            <w:szCs w:val="18"/>
            <w:u w:val="single" w:color="auto"/>
            <w:color w:val="0000EE"/>
          </w:rPr>
          <w:t>7, 2011</w:t>
        </w:r>
        <w:r>
          <w:rPr>
            <w:rFonts w:ascii="Arial" w:cs="Arial" w:eastAsia="Arial" w:hAnsi="Arial"/>
            <w:sz w:val="18"/>
            <w:szCs w:val="18"/>
            <w:color w:val="000000"/>
          </w:rPr>
          <w:t>, pursuant to Section 12(b) of the Exchange Act, including any amendment or report filed for the purpose of updating such description;</w:t>
        </w:r>
      </w:hyperlink>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181" w:lineRule="exact"/>
        <w:rPr>
          <w:rFonts w:ascii="Arial" w:cs="Arial" w:eastAsia="Arial" w:hAnsi="Arial"/>
          <w:sz w:val="18"/>
          <w:szCs w:val="18"/>
          <w:color w:val="0000EE"/>
        </w:rPr>
      </w:pPr>
    </w:p>
    <w:p>
      <w:pPr>
        <w:ind w:left="980" w:right="40" w:hanging="324"/>
        <w:spacing w:after="0" w:line="286" w:lineRule="auto"/>
        <w:tabs>
          <w:tab w:leader="none" w:pos="980" w:val="left"/>
        </w:tabs>
        <w:numPr>
          <w:ilvl w:val="0"/>
          <w:numId w:val="43"/>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but only to the extent that the information set forth therein is “filed” rather than “furnished” under the SEC’s </w:t>
      </w:r>
      <w:hyperlink r:id="rId96">
        <w:r>
          <w:rPr>
            <w:rFonts w:ascii="Arial" w:cs="Arial" w:eastAsia="Arial" w:hAnsi="Arial"/>
            <w:sz w:val="17"/>
            <w:szCs w:val="17"/>
            <w:color w:val="auto"/>
          </w:rPr>
          <w:t xml:space="preserve">rules, filed on </w:t>
        </w:r>
        <w:r>
          <w:rPr>
            <w:rFonts w:ascii="Arial" w:cs="Arial" w:eastAsia="Arial" w:hAnsi="Arial"/>
            <w:sz w:val="17"/>
            <w:szCs w:val="17"/>
            <w:u w:val="single" w:color="auto"/>
            <w:color w:val="0000EE"/>
          </w:rPr>
          <w:t>February 7, 2019</w:t>
        </w:r>
        <w:r>
          <w:rPr>
            <w:rFonts w:ascii="Arial" w:cs="Arial" w:eastAsia="Arial" w:hAnsi="Arial"/>
            <w:sz w:val="17"/>
            <w:szCs w:val="17"/>
            <w:color w:val="auto"/>
          </w:rPr>
          <w:t xml:space="preserve"> (excluding information furnished thereunder), </w:t>
        </w:r>
        <w:r>
          <w:rPr>
            <w:rFonts w:ascii="Arial" w:cs="Arial" w:eastAsia="Arial" w:hAnsi="Arial"/>
            <w:sz w:val="17"/>
            <w:szCs w:val="17"/>
            <w:u w:val="single" w:color="auto"/>
            <w:color w:val="0000EE"/>
          </w:rPr>
          <w:t>February 14, 2019</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21, 2019</w:t>
        </w:r>
        <w:r>
          <w:rPr>
            <w:rFonts w:ascii="Arial" w:cs="Arial" w:eastAsia="Arial" w:hAnsi="Arial"/>
            <w:sz w:val="17"/>
            <w:szCs w:val="17"/>
            <w:color w:val="auto"/>
          </w:rPr>
          <w:t xml:space="preserve">, </w:t>
        </w:r>
        <w:r>
          <w:rPr>
            <w:rFonts w:ascii="Arial" w:cs="Arial" w:eastAsia="Arial" w:hAnsi="Arial"/>
            <w:sz w:val="17"/>
            <w:szCs w:val="17"/>
            <w:u w:val="single" w:color="auto"/>
            <w:color w:val="0000EE"/>
          </w:rPr>
          <w:t>February 28, 2019</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March</w:t>
        </w:r>
      </w:hyperlink>
      <w:r>
        <w:rPr>
          <w:rFonts w:ascii="Arial" w:cs="Arial" w:eastAsia="Arial" w:hAnsi="Arial"/>
          <w:sz w:val="17"/>
          <w:szCs w:val="17"/>
          <w:color w:val="auto"/>
        </w:rPr>
        <w:t xml:space="preserve"> </w:t>
      </w:r>
      <w:hyperlink r:id="rId96">
        <w:r>
          <w:rPr>
            <w:rFonts w:ascii="Arial" w:cs="Arial" w:eastAsia="Arial" w:hAnsi="Arial"/>
            <w:sz w:val="17"/>
            <w:szCs w:val="17"/>
            <w:u w:val="single" w:color="auto"/>
            <w:color w:val="0000EE"/>
          </w:rPr>
          <w:t>22, 2019</w:t>
        </w:r>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97">
        <w:r>
          <w:rPr>
            <w:rFonts w:ascii="Arial" w:cs="Arial" w:eastAsia="Arial" w:hAnsi="Arial"/>
            <w:sz w:val="17"/>
            <w:szCs w:val="17"/>
            <w:u w:val="single" w:color="auto"/>
            <w:color w:val="0000EE"/>
          </w:rPr>
          <w:t>April 24, 2019</w:t>
        </w:r>
      </w:hyperlink>
      <w:hyperlink r:id="rId9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98">
        <w:r>
          <w:rPr>
            <w:rFonts w:ascii="Arial" w:cs="Arial" w:eastAsia="Arial" w:hAnsi="Arial"/>
            <w:sz w:val="17"/>
            <w:szCs w:val="17"/>
            <w:u w:val="single" w:color="auto"/>
            <w:color w:val="0000EE"/>
          </w:rPr>
          <w:t>June 5, 2019</w:t>
        </w:r>
      </w:hyperlink>
      <w:hyperlink r:id="rId96">
        <w:r>
          <w:rPr>
            <w:rFonts w:ascii="Arial" w:cs="Arial" w:eastAsia="Arial" w:hAnsi="Arial"/>
            <w:sz w:val="17"/>
            <w:szCs w:val="17"/>
            <w:color w:val="000000"/>
          </w:rPr>
          <w:t>,</w:t>
        </w:r>
        <w:r>
          <w:rPr>
            <w:rFonts w:ascii="Arial" w:cs="Arial" w:eastAsia="Arial" w:hAnsi="Arial"/>
            <w:sz w:val="17"/>
            <w:szCs w:val="17"/>
            <w:color w:val="0000EE"/>
          </w:rPr>
          <w:t xml:space="preserve"> </w:t>
        </w:r>
      </w:hyperlink>
      <w:hyperlink r:id="rId99">
        <w:r>
          <w:rPr>
            <w:rFonts w:ascii="Arial" w:cs="Arial" w:eastAsia="Arial" w:hAnsi="Arial"/>
            <w:sz w:val="17"/>
            <w:szCs w:val="17"/>
            <w:u w:val="single" w:color="auto"/>
            <w:color w:val="0000EE"/>
          </w:rPr>
          <w:t xml:space="preserve">July 25, 2019 </w:t>
        </w:r>
      </w:hyperlink>
      <w:hyperlink r:id="rId96">
        <w:r>
          <w:rPr>
            <w:rFonts w:ascii="Arial" w:cs="Arial" w:eastAsia="Arial" w:hAnsi="Arial"/>
            <w:sz w:val="17"/>
            <w:szCs w:val="17"/>
            <w:color w:val="000000"/>
          </w:rPr>
          <w:t>(as amended</w:t>
        </w:r>
        <w:r>
          <w:rPr>
            <w:rFonts w:ascii="Arial" w:cs="Arial" w:eastAsia="Arial" w:hAnsi="Arial"/>
            <w:sz w:val="17"/>
            <w:szCs w:val="17"/>
            <w:color w:val="0000EE"/>
          </w:rPr>
          <w:t xml:space="preserve"> </w:t>
        </w:r>
      </w:hyperlink>
      <w:hyperlink r:id="rId100">
        <w:r>
          <w:rPr>
            <w:rFonts w:ascii="Arial" w:cs="Arial" w:eastAsia="Arial" w:hAnsi="Arial"/>
            <w:sz w:val="17"/>
            <w:szCs w:val="17"/>
            <w:u w:val="single" w:color="auto"/>
            <w:color w:val="0000EE"/>
          </w:rPr>
          <w:t>September 6, 2019</w:t>
        </w:r>
      </w:hyperlink>
      <w:hyperlink r:id="rId96">
        <w:r>
          <w:rPr>
            <w:rFonts w:ascii="Arial" w:cs="Arial" w:eastAsia="Arial" w:hAnsi="Arial"/>
            <w:sz w:val="17"/>
            <w:szCs w:val="17"/>
            <w:color w:val="000000"/>
          </w:rPr>
          <w:t>), and</w:t>
        </w:r>
        <w:r>
          <w:rPr>
            <w:rFonts w:ascii="Arial" w:cs="Arial" w:eastAsia="Arial" w:hAnsi="Arial"/>
            <w:sz w:val="17"/>
            <w:szCs w:val="17"/>
            <w:color w:val="0000EE"/>
          </w:rPr>
          <w:t xml:space="preserve"> </w:t>
        </w:r>
      </w:hyperlink>
      <w:hyperlink r:id="rId101">
        <w:r>
          <w:rPr>
            <w:rFonts w:ascii="Arial" w:cs="Arial" w:eastAsia="Arial" w:hAnsi="Arial"/>
            <w:sz w:val="17"/>
            <w:szCs w:val="17"/>
            <w:u w:val="single" w:color="auto"/>
            <w:color w:val="0000EE"/>
          </w:rPr>
          <w:t>November 22, 2019</w:t>
        </w:r>
      </w:hyperlink>
      <w:hyperlink r:id="rId96">
        <w:r>
          <w:rPr>
            <w:rFonts w:ascii="Arial" w:cs="Arial" w:eastAsia="Arial" w:hAnsi="Arial"/>
            <w:sz w:val="17"/>
            <w:szCs w:val="17"/>
            <w:color w:val="000000"/>
          </w:rPr>
          <w:t>.</w:t>
        </w:r>
      </w:hyperlink>
    </w:p>
    <w:p>
      <w:pPr>
        <w:spacing w:after="0" w:line="166" w:lineRule="exact"/>
        <w:rPr>
          <w:rFonts w:ascii="Arial" w:cs="Arial" w:eastAsia="Arial" w:hAnsi="Arial"/>
          <w:sz w:val="17"/>
          <w:szCs w:val="17"/>
          <w:color w:val="0000EE"/>
        </w:rPr>
      </w:pPr>
    </w:p>
    <w:p>
      <w:pPr>
        <w:ind w:right="100" w:firstLine="648"/>
        <w:spacing w:after="0" w:line="279" w:lineRule="auto"/>
        <w:rPr>
          <w:sz w:val="20"/>
          <w:szCs w:val="20"/>
          <w:color w:val="auto"/>
        </w:rPr>
      </w:pPr>
      <w:r>
        <w:rPr>
          <w:rFonts w:ascii="Arial" w:cs="Arial" w:eastAsia="Arial" w:hAnsi="Arial"/>
          <w:sz w:val="17"/>
          <w:szCs w:val="17"/>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71" w:lineRule="exact"/>
        <w:rPr>
          <w:rFonts w:ascii="Arial" w:cs="Arial" w:eastAsia="Arial" w:hAnsi="Arial"/>
          <w:sz w:val="17"/>
          <w:szCs w:val="17"/>
          <w:color w:val="0000EE"/>
        </w:rPr>
      </w:pPr>
    </w:p>
    <w:p>
      <w:pPr>
        <w:ind w:right="120" w:firstLine="648"/>
        <w:spacing w:after="0" w:line="286" w:lineRule="auto"/>
        <w:rPr>
          <w:sz w:val="20"/>
          <w:szCs w:val="20"/>
          <w:color w:val="auto"/>
        </w:rPr>
      </w:pPr>
      <w:r>
        <w:rPr>
          <w:rFonts w:ascii="Arial" w:cs="Arial" w:eastAsia="Arial" w:hAnsi="Arial"/>
          <w:sz w:val="17"/>
          <w:szCs w:val="17"/>
          <w:color w:val="auto"/>
        </w:rPr>
        <w:t>Any statement contained in any document incorporated by reference herein shall be deemed to be modified or superseded for purposes of this prospectus to the extent that a statement contained in this prospectus or any prospectus supplement modifies or supersedes such statement. Any statement so modified or superseded shall not be deemed, except as so modified or superseded, to constitute a part of this prospectus.</w:t>
      </w:r>
    </w:p>
    <w:p>
      <w:pPr>
        <w:spacing w:after="0" w:line="166" w:lineRule="exact"/>
        <w:rPr>
          <w:rFonts w:ascii="Arial" w:cs="Arial" w:eastAsia="Arial" w:hAnsi="Arial"/>
          <w:sz w:val="17"/>
          <w:szCs w:val="17"/>
          <w:color w:val="0000EE"/>
        </w:rPr>
      </w:pPr>
    </w:p>
    <w:p>
      <w:pPr>
        <w:ind w:right="240" w:firstLine="648"/>
        <w:spacing w:after="0" w:line="277" w:lineRule="auto"/>
        <w:rPr>
          <w:sz w:val="20"/>
          <w:szCs w:val="20"/>
          <w:color w:val="auto"/>
        </w:rPr>
      </w:pPr>
      <w:r>
        <w:rPr>
          <w:rFonts w:ascii="Arial" w:cs="Arial" w:eastAsia="Arial" w:hAnsi="Arial"/>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387" w:lineRule="exact"/>
        <w:rPr>
          <w:rFonts w:ascii="Arial" w:cs="Arial" w:eastAsia="Arial" w:hAnsi="Arial"/>
          <w:sz w:val="17"/>
          <w:szCs w:val="17"/>
          <w:color w:val="0000EE"/>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rFonts w:ascii="Arial" w:cs="Arial" w:eastAsia="Arial" w:hAnsi="Arial"/>
          <w:sz w:val="17"/>
          <w:szCs w:val="17"/>
          <w:color w:val="0000EE"/>
        </w:rPr>
      </w:pPr>
      <w:r>
        <w:rPr>
          <w:rFonts w:ascii="Arial" w:cs="Arial" w:eastAsia="Arial" w:hAnsi="Arial"/>
          <w:sz w:val="17"/>
          <w:szCs w:val="17"/>
          <w:color w:val="0000EE"/>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4" w:name="page75"/>
    <w:bookmarkEnd w:id="74"/>
    <w:p>
      <w:pPr>
        <w:ind w:firstLine="648"/>
        <w:spacing w:after="0" w:line="257"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written or oral request, a copy of any or all documents that are incorporated by reference into this prospectus, but not delivered with the prospectus, other than exhibits to such documents unless such exhibits are specifically incorporated by reference into the documents that this prospectus incorporates. You should direct written requests to: Fluidigm Corporation, 7000 Shoreline Court, Suite 100, South San Francisco, CA 94080, Attention: Investor Relations, or you may call us at (650) 266-6000.</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5"/>
          <w:szCs w:val="25"/>
          <w:b w:val="1"/>
          <w:bCs w:val="1"/>
          <w:color w:val="auto"/>
        </w:rPr>
        <w:t>$50,000,000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158115</wp:posOffset>
            </wp:positionV>
            <wp:extent cx="3627755" cy="12261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362775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158115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113665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Jefferies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11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jpe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jpe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55" Type="http://schemas.openxmlformats.org/officeDocument/2006/relationships/hyperlink" Target="http://www.sec.gov/Archives/edgar/data/1162194/000116219420000016/fye2019form10-k.htm" TargetMode="External"/><Relationship Id="rId56" Type="http://schemas.openxmlformats.org/officeDocument/2006/relationships/hyperlink" Target="http://www.sec.gov/Archives/edgar/data/1162194/000116219419000020/fye2018form10-k.htm" TargetMode="External"/><Relationship Id="rId57" Type="http://schemas.openxmlformats.org/officeDocument/2006/relationships/hyperlink" Target="http://www.sec.gov/Archives/edgar/data/1162194/000119312511025057/d8a12b.htm" TargetMode="External"/><Relationship Id="rId92" Type="http://schemas.openxmlformats.org/officeDocument/2006/relationships/hyperlink" Target="http://www.sec.gov/Archives/edgar/data/1162194/000114420419020746/tv519105-def14a.htm" TargetMode="External"/><Relationship Id="rId93" Type="http://schemas.openxmlformats.org/officeDocument/2006/relationships/hyperlink" Target="http://www.sec.gov/Archives/edgar/data/1162194/000116219419000033/a033119q1form10q.htm" TargetMode="External"/><Relationship Id="rId94" Type="http://schemas.openxmlformats.org/officeDocument/2006/relationships/hyperlink" Target="http://www.sec.gov/Archives/edgar/data/1162194/000116219419000068/a063019q2form10q.htm" TargetMode="External"/><Relationship Id="rId95" Type="http://schemas.openxmlformats.org/officeDocument/2006/relationships/hyperlink" Target="http://www.sec.gov/Archives/edgar/data/1162194/000116219419000088/a093019q3form10q.htm" TargetMode="External"/><Relationship Id="rId96" Type="http://schemas.openxmlformats.org/officeDocument/2006/relationships/hyperlink" Target="http://www.sec.gov/Archives/edgar/data/1162194/000117184319001916/f8k_032219.htm" TargetMode="External"/><Relationship Id="rId97" Type="http://schemas.openxmlformats.org/officeDocument/2006/relationships/hyperlink" Target="http://www.sec.gov/Archives/edgar/data/1162194/000117184319002590/f8k_042419.htm" TargetMode="External"/><Relationship Id="rId98" Type="http://schemas.openxmlformats.org/officeDocument/2006/relationships/hyperlink" Target="http://www.sec.gov/Archives/edgar/data/1162194/000117184319003846/f8k_060419.htm" TargetMode="External"/><Relationship Id="rId99" Type="http://schemas.openxmlformats.org/officeDocument/2006/relationships/hyperlink" Target="http://www.sec.gov/Archives/edgar/data/1162194/000117184319004882/f8k_072519.htm" TargetMode="External"/><Relationship Id="rId100" Type="http://schemas.openxmlformats.org/officeDocument/2006/relationships/hyperlink" Target="http://www.sec.gov/Archives/edgar/data/1162194/000117184319005845/f8ka_090619.htm" TargetMode="External"/><Relationship Id="rId101" Type="http://schemas.openxmlformats.org/officeDocument/2006/relationships/hyperlink" Target="http://www.sec.gov/Archives/edgar/data/1162194/000110465919066659/tm1923592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2020-03-05T05:05:19Z</dcterms:created>
  <dcterms:modified xsi:type="dcterms:W3CDTF">2020-03-05T05:05:19Z</dcterms:modified>
</cp:coreProperties>
</file>