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color w:val="auto"/>
        </w:rPr>
        <w:t>April 28, 2017</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Amanda Ravitz</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Brian Soares</w:t>
      </w:r>
    </w:p>
    <w:p>
      <w:pPr>
        <w:spacing w:after="0" w:line="234"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Re: Fluidigm Corporation</w:t>
      </w:r>
    </w:p>
    <w:p>
      <w:pPr>
        <w:spacing w:after="0" w:line="27"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Originally filed March 8, 2017, as amended on April 28, 2017</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 No. 333-216542</w:t>
      </w:r>
    </w:p>
    <w:p>
      <w:pPr>
        <w:sectPr>
          <w:pgSz w:w="11900" w:h="16838" w:orient="portrait"/>
          <w:cols w:equalWidth="0" w:num="1">
            <w:col w:w="11340"/>
          </w:cols>
          <w:pgMar w:left="240" w:top="233" w:right="319" w:bottom="1440" w:gutter="0" w:footer="0" w:header="0"/>
        </w:sectPr>
      </w:pPr>
    </w:p>
    <w:p>
      <w:pPr>
        <w:spacing w:after="0" w:line="207" w:lineRule="exact"/>
        <w:rPr>
          <w:sz w:val="24"/>
          <w:szCs w:val="24"/>
          <w:color w:val="auto"/>
        </w:rPr>
      </w:pPr>
    </w:p>
    <w:p>
      <w:pPr>
        <w:jc w:val="both"/>
        <w:ind w:left="2240" w:hanging="1174"/>
        <w:spacing w:after="0" w:line="314" w:lineRule="auto"/>
        <w:rPr>
          <w:sz w:val="20"/>
          <w:szCs w:val="20"/>
          <w:color w:val="auto"/>
        </w:rPr>
      </w:pPr>
      <w:r>
        <w:rPr>
          <w:rFonts w:ascii="Arial" w:cs="Arial" w:eastAsia="Arial" w:hAnsi="Arial"/>
          <w:sz w:val="16"/>
          <w:szCs w:val="16"/>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May 2, 2017</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4:00 P.M. Eastern Time</w:t>
      </w:r>
    </w:p>
    <w:p>
      <w:pPr>
        <w:spacing w:after="0" w:line="233" w:lineRule="exact"/>
        <w:rPr>
          <w:sz w:val="24"/>
          <w:szCs w:val="24"/>
          <w:color w:val="auto"/>
        </w:rPr>
      </w:pPr>
    </w:p>
    <w:p>
      <w:pPr>
        <w:sectPr>
          <w:pgSz w:w="11900" w:h="16838" w:orient="portrait"/>
          <w:cols w:equalWidth="0" w:num="2">
            <w:col w:w="3540" w:space="460"/>
            <w:col w:w="7340"/>
          </w:cols>
          <w:pgMar w:left="240" w:top="233" w:right="3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Pursuant to Rule 461 under the Securities Act of 1933, as amended, Fluidigm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above-referenced Registration Statement on Form S-3 (File No. 333-216542)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Professional Corporation, by calling Robert F. Kornegay at (858) 350-2389.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340"/>
          </w:cols>
          <w:pgMar w:left="240" w:top="233" w:right="319" w:bottom="1440" w:gutter="0" w:footer="0" w:header="0"/>
          <w:type w:val="continuous"/>
        </w:sectPr>
      </w:pPr>
    </w:p>
    <w:bookmarkStart w:id="1" w:name="page2"/>
    <w:bookmarkEnd w:id="1"/>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7"/>
          <w:szCs w:val="17"/>
          <w:color w:val="auto"/>
        </w:rPr>
        <w:t>FLUIDIGM CORPORATION</w:t>
      </w:r>
    </w:p>
    <w:p>
      <w:pPr>
        <w:spacing w:after="0" w:line="237"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452" w:right="2979" w:hanging="452"/>
        <w:spacing w:after="0" w:line="342"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Stephen Christopher Linthwaite, President and Chief Executive Officer, Fluidigm Corporation Robert F. Kornegay, Wilson Sonsini Goodrich &amp; Rosati, Professional Corporation</w:t>
      </w:r>
    </w:p>
    <w:sectPr>
      <w:pgSz w:w="11900" w:h="16838" w:orient="portrait"/>
      <w:cols w:equalWidth="0" w:num="1">
        <w:col w:w="10211"/>
      </w:cols>
      <w:pgMar w:left="248"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2019-12-06T17:10:16Z</dcterms:created>
  <dcterms:modified xsi:type="dcterms:W3CDTF">2019-12-06T17:10:16Z</dcterms:modified>
</cp:coreProperties>
</file>