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sd00322lab_05262023.htm"/>
      <w:bookmarkStart w:id="1" w:name="kssd00322lab_05262023"/>
      <w:bookmarkStart w:id="2" w:name="sd00322lab_05262023.htm"/>
      <w:bookmarkStart w:id="3" w:name="kssd00322lab_05262023"/>
      <w:bookmarkEnd w:id="2"/>
      <w:bookmarkEnd w:id="3"/>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20" w:after="20"/>
              <w:jc w:val="left"/>
              <w:rPr>
                <w:bdr w:val="single" w:sz="4" w:space="1" w:color="000000"/>
              </w:rPr>
            </w:pPr>
            <w:r>
              <w:rPr>
                <w:bdr w:val="single" w:sz="4" w:space="1" w:color="000000"/>
              </w:rPr>
              <w:t> </w:t>
            </w:r>
          </w:p>
        </w:tc>
      </w:tr>
      <w:tr>
        <w:trPr/>
        <w:tc>
          <w:tcPr>
            <w:tcW w:w="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91" w:after="91"/>
        <w:ind w:left="2247" w:right="225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w:t>
      </w:r>
      <w:r>
        <w:rPr>
          <w:rFonts w:ascii="Times New Roman;Times;Serif" w:hAnsi="Times New Roman;Times;Serif"/>
          <w:b/>
          <w:i w:val="false"/>
          <w:caps w:val="false"/>
          <w:smallCaps w:val="false"/>
          <w:spacing w:val="-2"/>
          <w:sz w:val="20"/>
        </w:rPr>
        <w:t>STATES</w:t>
      </w:r>
    </w:p>
    <w:p>
      <w:pPr>
        <w:pStyle w:val="TextBody"/>
        <w:bidi w:val="0"/>
        <w:spacing w:before="77" w:after="77"/>
        <w:ind w:left="2247" w:right="225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w:t>
      </w:r>
      <w:r>
        <w:rPr>
          <w:rFonts w:ascii="Times New Roman;Times;Serif" w:hAnsi="Times New Roman;Times;Serif"/>
          <w:b/>
          <w:i w:val="false"/>
          <w:caps w:val="false"/>
          <w:smallCaps w:val="false"/>
          <w:spacing w:val="-2"/>
          <w:sz w:val="20"/>
        </w:rPr>
        <w:t>COMMISSION</w:t>
      </w:r>
    </w:p>
    <w:p>
      <w:pPr>
        <w:pStyle w:val="TextBody"/>
        <w:bidi w:val="0"/>
        <w:spacing w:before="140" w:after="140"/>
        <w:ind w:left="2247" w:right="225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w:t>
      </w:r>
      <w:r>
        <w:rPr>
          <w:rFonts w:ascii="Times New Roman;Times;Serif" w:hAnsi="Times New Roman;Times;Serif"/>
          <w:b/>
          <w:i w:val="false"/>
          <w:caps w:val="false"/>
          <w:smallCaps w:val="false"/>
          <w:spacing w:val="-2"/>
          <w:sz w:val="20"/>
        </w:rPr>
        <w:t>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w:t>
      </w:r>
    </w:p>
    <w:p>
      <w:pPr>
        <w:pStyle w:val="TextBody"/>
        <w:bidi w:val="0"/>
        <w:spacing w:before="9" w:after="9"/>
        <w:ind w:left="9" w:right="9" w:hanging="0"/>
        <w:jc w:val="left"/>
        <w:rPr>
          <w:caps w:val="false"/>
          <w:smallCaps w:val="false"/>
        </w:rPr>
      </w:pPr>
      <w:r>
        <w:rPr>
          <w:caps w:val="false"/>
          <w:smallCaps w:val="false"/>
        </w:rPr>
        <w:t> </w:t>
      </w:r>
    </w:p>
    <w:p>
      <w:pPr>
        <w:pStyle w:val="TextBody"/>
        <w:bidi w:val="0"/>
        <w:spacing w:before="91" w:after="91"/>
        <w:ind w:left="2247" w:right="225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r>
        <w:rPr>
          <w:rFonts w:ascii="Times New Roman;Times;Serif" w:hAnsi="Times New Roman;Times;Serif"/>
          <w:b/>
          <w:i w:val="false"/>
          <w:caps w:val="false"/>
          <w:smallCaps w:val="false"/>
          <w:spacing w:val="-5"/>
          <w:sz w:val="20"/>
        </w:rPr>
        <w:t>SD</w:t>
      </w:r>
    </w:p>
    <w:p>
      <w:pPr>
        <w:pStyle w:val="TextBody"/>
        <w:bidi w:val="0"/>
        <w:spacing w:before="234" w:after="234"/>
        <w:ind w:left="2247" w:right="225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SPECIALIZED DISCLOSURE </w:t>
      </w:r>
      <w:r>
        <w:rPr>
          <w:rFonts w:ascii="Times New Roman;Times;Serif" w:hAnsi="Times New Roman;Times;Serif"/>
          <w:b/>
          <w:i w:val="false"/>
          <w:caps w:val="false"/>
          <w:smallCaps w:val="false"/>
          <w:spacing w:val="-2"/>
          <w:sz w:val="20"/>
        </w:rPr>
        <w:t>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w:t>
      </w:r>
    </w:p>
    <w:p>
      <w:pPr>
        <w:pStyle w:val="TextBody"/>
        <w:bidi w:val="0"/>
        <w:spacing w:before="7" w:after="7"/>
        <w:ind w:left="7" w:right="7" w:hanging="0"/>
        <w:jc w:val="left"/>
        <w:rPr>
          <w:caps w:val="false"/>
          <w:smallCaps w:val="false"/>
        </w:rPr>
      </w:pPr>
      <w:r>
        <w:rPr>
          <w:caps w:val="false"/>
          <w:smallCaps w:val="false"/>
        </w:rPr>
        <w:t> </w:t>
      </w:r>
    </w:p>
    <w:p>
      <w:pPr>
        <w:pStyle w:val="TextBody"/>
        <w:bidi w:val="0"/>
        <w:spacing w:before="84" w:after="84"/>
        <w:ind w:left="2247" w:right="2256"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Standard BioTools </w:t>
      </w:r>
      <w:r>
        <w:rPr>
          <w:rFonts w:ascii="Times New Roman;Times;Serif" w:hAnsi="Times New Roman;Times;Serif"/>
          <w:b/>
          <w:i w:val="false"/>
          <w:caps w:val="false"/>
          <w:smallCaps w:val="false"/>
          <w:spacing w:val="-4"/>
          <w:sz w:val="36"/>
        </w:rPr>
        <w:t>Inc.</w:t>
      </w:r>
    </w:p>
    <w:p>
      <w:pPr>
        <w:pStyle w:val="TextBody"/>
        <w:bidi w:val="0"/>
        <w:spacing w:before="117" w:after="117"/>
        <w:ind w:left="2247" w:right="225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the registrant as specified in its </w:t>
      </w:r>
      <w:r>
        <w:rPr>
          <w:rFonts w:ascii="Times New Roman;Times;Serif" w:hAnsi="Times New Roman;Times;Serif"/>
          <w:b/>
          <w:i w:val="false"/>
          <w:caps w:val="false"/>
          <w:smallCaps w:val="false"/>
          <w:spacing w:val="-2"/>
          <w:sz w:val="20"/>
        </w:rPr>
        <w:t>charter)</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w:t>
      </w:r>
    </w:p>
    <w:p>
      <w:pPr>
        <w:pStyle w:val="TextBody"/>
        <w:bidi w:val="0"/>
        <w:jc w:val="left"/>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pBdr>
                <w:bottom w:val="single" w:sz="4" w:space="1" w:color="000000"/>
              </w:pBdr>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2300" w:type="dxa"/>
            <w:tcBorders/>
            <w:vAlign w:val="center"/>
          </w:tcPr>
          <w:p>
            <w:pPr>
              <w:pStyle w:val="TableContents"/>
              <w:pBdr>
                <w:bottom w:val="single" w:sz="4" w:space="1" w:color="000000"/>
              </w:pBdr>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001-34180</w:t>
            </w:r>
          </w:p>
        </w:tc>
        <w:tc>
          <w:tcPr>
            <w:tcW w:w="2885" w:type="dxa"/>
            <w:tcBorders/>
            <w:vAlign w:val="center"/>
          </w:tcPr>
          <w:p>
            <w:pPr>
              <w:pStyle w:val="TableContents"/>
              <w:pBdr>
                <w:bottom w:val="single" w:sz="4" w:space="1" w:color="000000"/>
              </w:pBdr>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77-0513190</w:t>
            </w:r>
          </w:p>
        </w:tc>
      </w:tr>
      <w:tr>
        <w:trPr/>
        <w:tc>
          <w:tcPr>
            <w:tcW w:w="37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28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r>
        <w:trPr/>
        <w:tc>
          <w:tcPr>
            <w:tcW w:w="6070" w:type="dxa"/>
            <w:gridSpan w:val="2"/>
            <w:tcBorders/>
            <w:vAlign w:val="center"/>
          </w:tcPr>
          <w:p>
            <w:pPr>
              <w:pStyle w:val="TableContents"/>
              <w:pBdr>
                <w:bottom w:val="single" w:sz="4" w:space="1" w:color="000000"/>
              </w:pBdr>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Tower Place, Suite 2000, South San Francisco, California</w:t>
            </w:r>
          </w:p>
        </w:tc>
        <w:tc>
          <w:tcPr>
            <w:tcW w:w="2885" w:type="dxa"/>
            <w:tcBorders/>
            <w:vAlign w:val="center"/>
          </w:tcPr>
          <w:p>
            <w:pPr>
              <w:pStyle w:val="TableContents"/>
              <w:pBdr>
                <w:bottom w:val="single" w:sz="4" w:space="1" w:color="000000"/>
              </w:pBdr>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94080</w:t>
            </w:r>
          </w:p>
        </w:tc>
      </w:tr>
      <w:tr>
        <w:trPr/>
        <w:tc>
          <w:tcPr>
            <w:tcW w:w="6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288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jc w:val="left"/>
        <w:rPr>
          <w:caps w:val="false"/>
          <w:smallCaps w:val="false"/>
        </w:rPr>
      </w:pPr>
      <w:r>
        <w:rPr>
          <w:caps w:val="false"/>
          <w:smallCaps w:val="false"/>
        </w:rPr>
        <w:t> </w:t>
      </w:r>
    </w:p>
    <w:p>
      <w:pPr>
        <w:pStyle w:val="TextBody"/>
        <w:bidi w:val="0"/>
        <w:spacing w:lineRule="auto" w:line="278" w:before="50" w:after="50"/>
        <w:ind w:left="3525" w:right="318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Agnieszka Gallagher</w:t>
      </w:r>
    </w:p>
    <w:p>
      <w:pPr>
        <w:pStyle w:val="TextBody"/>
        <w:bidi w:val="0"/>
        <w:spacing w:lineRule="auto" w:line="278" w:before="50" w:after="50"/>
        <w:ind w:left="3525" w:right="318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 Chief Legal Officer, and Secretary</w:t>
        <w:br/>
        <w:t>(650) 266-6000</w:t>
      </w:r>
    </w:p>
    <w:p>
      <w:pPr>
        <w:pStyle w:val="TextBody"/>
        <w:bidi w:val="0"/>
        <w:spacing w:before="12" w:after="12"/>
        <w:ind w:left="2247" w:right="225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and telephone number, including area code, of the person to contact in connection with this </w:t>
      </w:r>
      <w:r>
        <w:rPr>
          <w:rFonts w:ascii="Times New Roman;Times;Serif" w:hAnsi="Times New Roman;Times;Serif"/>
          <w:b/>
          <w:i w:val="false"/>
          <w:caps w:val="false"/>
          <w:smallCaps w:val="false"/>
          <w:spacing w:val="-2"/>
          <w:sz w:val="20"/>
        </w:rPr>
        <w:t>report.)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w:t>
      </w:r>
    </w:p>
    <w:p>
      <w:pPr>
        <w:pStyle w:val="TextBody"/>
        <w:bidi w:val="0"/>
        <w:spacing w:before="10" w:after="10"/>
        <w:ind w:left="10" w:right="10" w:hanging="0"/>
        <w:jc w:val="left"/>
        <w:rPr>
          <w:caps w:val="false"/>
          <w:smallCaps w:val="false"/>
        </w:rPr>
      </w:pPr>
      <w:r>
        <w:rPr>
          <w:caps w:val="false"/>
          <w:smallCaps w:val="false"/>
        </w:rPr>
        <w:t> </w:t>
      </w:r>
    </w:p>
    <w:p>
      <w:pPr>
        <w:pStyle w:val="TextBody"/>
        <w:bidi w:val="0"/>
        <w:spacing w:before="92" w:after="92"/>
        <w:ind w:left="107" w:right="9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the appropriate box to indicate the rule pursuant to which this form is being </w:t>
      </w:r>
      <w:r>
        <w:rPr>
          <w:rFonts w:ascii="Times New Roman;Times;Serif" w:hAnsi="Times New Roman;Times;Serif"/>
          <w:b w:val="false"/>
          <w:i w:val="false"/>
          <w:caps w:val="false"/>
          <w:smallCaps w:val="false"/>
          <w:spacing w:val="-2"/>
          <w:sz w:val="20"/>
        </w:rPr>
        <w:t>filed:</w:t>
      </w:r>
    </w:p>
    <w:p>
      <w:pPr>
        <w:pStyle w:val="TextBody"/>
        <w:bidi w:val="0"/>
        <w:spacing w:before="10" w:after="10"/>
        <w:ind w:left="10" w:right="1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pacing w:val="-10"/>
              </w:rPr>
            </w:pPr>
            <w:r>
              <w:rPr>
                <w:spacing w:val="-10"/>
              </w:rPr>
              <w:t>☒</w:t>
            </w:r>
          </w:p>
        </w:tc>
        <w:tc>
          <w:tcPr>
            <w:tcW w:w="9938" w:type="dxa"/>
            <w:tcBorders/>
            <w:vAlign w:val="center"/>
          </w:tcPr>
          <w:p>
            <w:pPr>
              <w:pStyle w:val="TableContents"/>
              <w:bidi w:val="0"/>
              <w:spacing w:before="0" w:after="283"/>
              <w:jc w:val="left"/>
              <w:rPr/>
            </w:pPr>
            <w:r>
              <w:rPr/>
              <w:t xml:space="preserve">Rule 13p-1 under the Securities Exchange Act (17 CFR 240.13p-1) for the reporting period from January 1 to December 31, </w:t>
            </w:r>
            <w:r>
              <w:rPr>
                <w:spacing w:val="-2"/>
              </w:rPr>
              <w:t>2022.</w:t>
            </w:r>
          </w:p>
        </w:tc>
      </w:tr>
    </w:tbl>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pPr>
            <w:r>
              <w:rPr/>
              <w:t xml:space="preserve">Rule 13q-1 under the Securities Exchange Act (17 CFR 240.13q-1) for the fiscal year ended December 31, </w:t>
            </w:r>
            <w:r>
              <w:rPr>
                <w:spacing w:val="-2"/>
              </w:rPr>
              <w:t>2022.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20" w:after="20"/>
              <w:jc w:val="left"/>
              <w:rPr>
                <w:bdr w:val="single" w:sz="4" w:space="1" w:color="000000"/>
              </w:rPr>
            </w:pPr>
            <w:r>
              <w:rPr>
                <w:bdr w:val="single" w:sz="4" w:space="1" w:color="000000"/>
              </w:rPr>
              <w:t> </w:t>
            </w:r>
          </w:p>
        </w:tc>
      </w:tr>
      <w:tr>
        <w:trPr/>
        <w:tc>
          <w:tcPr>
            <w:tcW w:w="9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11" w:after="11"/>
        <w:ind w:left="11" w:right="11"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 Conflict Minerals Disclosure</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i w:val="false"/>
          <w:caps w:val="false"/>
          <w:smallCaps w:val="false"/>
          <w:spacing w:val="39"/>
          <w:sz w:val="20"/>
        </w:rPr>
        <w:t>  </w:t>
      </w:r>
      <w:r>
        <w:rPr>
          <w:rFonts w:ascii="Times New Roman;Times;Serif" w:hAnsi="Times New Roman;Times;Serif"/>
          <w:b/>
          <w:i w:val="false"/>
          <w:caps w:val="false"/>
          <w:smallCaps w:val="false"/>
          <w:sz w:val="20"/>
        </w:rPr>
        <w:t xml:space="preserve">Conflict Minerals Disclosure and </w:t>
      </w:r>
      <w:r>
        <w:rPr>
          <w:rFonts w:ascii="Times New Roman;Times;Serif" w:hAnsi="Times New Roman;Times;Serif"/>
          <w:b/>
          <w:i w:val="false"/>
          <w:caps w:val="false"/>
          <w:smallCaps w:val="false"/>
          <w:spacing w:val="-2"/>
          <w:sz w:val="20"/>
        </w:rPr>
        <w:t>Report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Specialized Disclosure Report on Form SD of Standard BioTools Inc. (the “Company”) is being filed in accordance with Rule 13p-1 promulgated under the Securities Exchange Act of 1934, as amended, </w:t>
      </w:r>
      <w:r>
        <w:rPr>
          <w:rFonts w:ascii="Times New Roman;Times;Serif" w:hAnsi="Times New Roman;Times;Serif"/>
          <w:b w:val="false"/>
          <w:i w:val="false"/>
          <w:caps w:val="false"/>
          <w:smallCaps w:val="false"/>
          <w:spacing w:val="-2"/>
          <w:sz w:val="20"/>
        </w:rPr>
        <w:t xml:space="preserve">for the reporting period from January 1, 2022 to December 31, 2022. </w:t>
      </w:r>
      <w:r>
        <w:rPr>
          <w:rFonts w:ascii="Times New Roman;Times;Serif" w:hAnsi="Times New Roman;Times;Serif"/>
          <w:b w:val="false"/>
          <w:i w:val="false"/>
          <w:caps w:val="false"/>
          <w:smallCaps w:val="false"/>
          <w:sz w:val="20"/>
        </w:rPr>
        <w:t xml:space="preserve">The Company is </w:t>
      </w:r>
      <w:r>
        <w:rPr>
          <w:rFonts w:ascii="Times New Roman;Times;Serif" w:hAnsi="Times New Roman;Times;Serif"/>
          <w:b w:val="false"/>
          <w:i w:val="false"/>
          <w:caps w:val="false"/>
          <w:smallCaps w:val="false"/>
          <w:spacing w:val="-1"/>
          <w:sz w:val="20"/>
        </w:rPr>
        <w:t xml:space="preserve">also </w:t>
      </w:r>
      <w:r>
        <w:rPr>
          <w:rFonts w:ascii="Times New Roman;Times;Serif" w:hAnsi="Times New Roman;Times;Serif"/>
          <w:b w:val="false"/>
          <w:i w:val="false"/>
          <w:caps w:val="false"/>
          <w:smallCaps w:val="false"/>
          <w:sz w:val="20"/>
        </w:rPr>
        <w:t>filing a Conflict Minerals Report, which is attached as Exhibit 1.01 hereto. A copy of this Form SD and the Conflict Minerals Report are publicly available at https://investors.standardbio.com/sec-filings.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on, or that can be accessed through, the Company’s website, does not constitute part of, and is not incorporated by reference into, this Form SD and inclusion of the Company’s website address in this Form SD is an inactive textual reference only.</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w:t>
      </w:r>
      <w:r>
        <w:rPr>
          <w:rFonts w:ascii="Times New Roman;Times;Serif" w:hAnsi="Times New Roman;Times;Serif"/>
          <w:b/>
          <w:i w:val="false"/>
          <w:caps w:val="false"/>
          <w:smallCaps w:val="false"/>
          <w:spacing w:val="43"/>
          <w:sz w:val="20"/>
        </w:rPr>
        <w:t>  </w:t>
      </w:r>
      <w:r>
        <w:rPr>
          <w:rFonts w:ascii="Times New Roman;Times;Serif" w:hAnsi="Times New Roman;Times;Serif"/>
          <w:b/>
          <w:i w:val="false"/>
          <w:caps w:val="false"/>
          <w:smallCaps w:val="false"/>
          <w:spacing w:val="-2"/>
          <w:sz w:val="20"/>
        </w:rPr>
        <w:t>Exhibit</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Rule 13p-1, and this Form SD, the Company is filing its Conflict Minerals Report, which is attached as Exhibit 1.01 to this </w:t>
      </w:r>
      <w:r>
        <w:rPr>
          <w:rFonts w:ascii="Times New Roman;Times;Serif" w:hAnsi="Times New Roman;Times;Serif"/>
          <w:b w:val="false"/>
          <w:i w:val="false"/>
          <w:caps w:val="false"/>
          <w:smallCaps w:val="false"/>
          <w:spacing w:val="-4"/>
          <w:sz w:val="20"/>
        </w:rPr>
        <w:t xml:space="preserve">Form </w:t>
      </w:r>
      <w:r>
        <w:rPr>
          <w:rFonts w:ascii="Times New Roman;Times;Serif" w:hAnsi="Times New Roman;Times;Serif"/>
          <w:b w:val="false"/>
          <w:i w:val="false"/>
          <w:caps w:val="false"/>
          <w:smallCaps w:val="false"/>
          <w:spacing w:val="-5"/>
          <w:sz w:val="20"/>
        </w:rPr>
        <w:t>SD.</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caps w:val="false"/>
          <w:smallCaps w:val="false"/>
          <w:spacing w:val="43"/>
          <w:sz w:val="20"/>
        </w:rPr>
        <w:t xml:space="preserve">- </w:t>
      </w:r>
      <w:r>
        <w:rPr>
          <w:rFonts w:ascii="Times New Roman;Times;Serif" w:hAnsi="Times New Roman;Times;Serif"/>
          <w:b/>
          <w:i w:val="false"/>
          <w:caps w:val="false"/>
          <w:smallCaps w:val="false"/>
          <w:spacing w:val="-2"/>
          <w:sz w:val="20"/>
        </w:rPr>
        <w:t xml:space="preserve">Exhibits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w:t>
      </w:r>
      <w:r>
        <w:rPr>
          <w:rFonts w:ascii="Times New Roman;Times;Serif" w:hAnsi="Times New Roman;Times;Serif"/>
          <w:b/>
          <w:i w:val="false"/>
          <w:caps w:val="false"/>
          <w:smallCaps w:val="false"/>
          <w:spacing w:val="43"/>
          <w:sz w:val="20"/>
        </w:rPr>
        <w:t>  </w:t>
      </w:r>
      <w:r>
        <w:rPr>
          <w:rFonts w:ascii="Times New Roman;Times;Serif" w:hAnsi="Times New Roman;Times;Serif"/>
          <w:b/>
          <w:i w:val="false"/>
          <w:caps w:val="false"/>
          <w:smallCaps w:val="false"/>
          <w:spacing w:val="-2"/>
          <w:sz w:val="20"/>
        </w:rPr>
        <w:t>Exhibits</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exhibit is filed as part of this Form </w:t>
      </w:r>
      <w:r>
        <w:rPr>
          <w:rFonts w:ascii="Times New Roman;Times;Serif" w:hAnsi="Times New Roman;Times;Serif"/>
          <w:b w:val="false"/>
          <w:i w:val="false"/>
          <w:caps w:val="false"/>
          <w:smallCaps w:val="false"/>
          <w:spacing w:val="-5"/>
          <w:sz w:val="20"/>
        </w:rPr>
        <w:t>SD.</w:t>
      </w:r>
    </w:p>
    <w:tbl>
      <w:tblPr>
        <w:tblW w:w="9125" w:type="dxa"/>
        <w:jc w:val="left"/>
        <w:tblInd w:w="0" w:type="dxa"/>
        <w:tblLayout w:type="fixed"/>
        <w:tblCellMar>
          <w:top w:w="0" w:type="dxa"/>
          <w:left w:w="0" w:type="dxa"/>
          <w:bottom w:w="0" w:type="dxa"/>
          <w:right w:w="0" w:type="dxa"/>
        </w:tblCellMar>
      </w:tblPr>
      <w:tblGrid>
        <w:gridCol w:w="970"/>
        <w:gridCol w:w="8155"/>
      </w:tblGrid>
      <w:tr>
        <w:trPr/>
        <w:tc>
          <w:tcPr>
            <w:tcW w:w="970"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w:t>
            </w:r>
            <w:r>
              <w:rPr>
                <w:rFonts w:ascii="Times New Roman;Times;Serif" w:hAnsi="Times New Roman;Times;Serif"/>
                <w:b w:val="false"/>
                <w:i w:val="false"/>
                <w:caps w:val="false"/>
                <w:smallCaps w:val="false"/>
                <w:spacing w:val="-5"/>
                <w:sz w:val="20"/>
              </w:rPr>
              <w:t>No.</w:t>
            </w:r>
          </w:p>
        </w:tc>
        <w:tc>
          <w:tcPr>
            <w:tcW w:w="8155" w:type="dxa"/>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70" w:type="dxa"/>
            <w:tcBorders/>
            <w:vAlign w:val="center"/>
          </w:tcPr>
          <w:p>
            <w:pPr>
              <w:pStyle w:val="TableContents"/>
              <w:bidi w:val="0"/>
              <w:spacing w:before="0" w:after="283"/>
              <w:jc w:val="left"/>
              <w:rPr/>
            </w:pPr>
            <w:hyperlink w:anchor="ex101tosd00322lab_05262023.htm">
              <w:r>
                <w:rPr>
                  <w:rStyle w:val="InternetLink"/>
                  <w:rFonts w:ascii="Times New Roman;Times;Serif" w:hAnsi="Times New Roman;Times;Serif"/>
                  <w:b w:val="false"/>
                  <w:i w:val="false"/>
                  <w:caps w:val="false"/>
                  <w:smallCaps w:val="false"/>
                  <w:sz w:val="20"/>
                </w:rPr>
                <w:t>1.01</w:t>
              </w:r>
            </w:hyperlink>
          </w:p>
        </w:tc>
        <w:tc>
          <w:tcPr>
            <w:tcW w:w="8155" w:type="dxa"/>
            <w:tcBorders/>
            <w:vAlign w:val="center"/>
          </w:tcPr>
          <w:p>
            <w:pPr>
              <w:pStyle w:val="TableContents"/>
              <w:bidi w:val="0"/>
              <w:spacing w:before="0" w:after="283"/>
              <w:jc w:val="left"/>
              <w:rPr/>
            </w:pPr>
            <w:hyperlink w:anchor="ex101tosd00322lab_05262023.htm">
              <w:r>
                <w:rPr>
                  <w:rStyle w:val="InternetLink"/>
                  <w:rFonts w:ascii="Times New Roman;Times;Serif" w:hAnsi="Times New Roman;Times;Serif"/>
                  <w:b w:val="false"/>
                  <w:i w:val="false"/>
                  <w:caps w:val="false"/>
                  <w:smallCaps w:val="false"/>
                  <w:sz w:val="20"/>
                </w:rPr>
                <w:t xml:space="preserve">Standard BioTools Inc. Conflict Minerals Report as required by Items 1.01 and 1.02 of this Form </w:t>
              </w:r>
            </w:hyperlink>
            <w:hyperlink w:anchor="ex101tosd00322lab_05262023.htm">
              <w:r>
                <w:rPr>
                  <w:rStyle w:val="InternetLink"/>
                  <w:rFonts w:ascii="Times New Roman;Times;Serif" w:hAnsi="Times New Roman;Times;Serif"/>
                  <w:b w:val="false"/>
                  <w:i w:val="false"/>
                  <w:caps w:val="false"/>
                  <w:smallCaps w:val="false"/>
                  <w:spacing w:val="-5"/>
                  <w:sz w:val="20"/>
                </w:rPr>
                <w:t>SD.</w:t>
              </w:r>
            </w:hyperlink>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duly authorized undersigned.</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STANDARD BIOTOOLS </w:t>
      </w:r>
      <w:r>
        <w:rPr>
          <w:rFonts w:ascii="Times New Roman;Times;Serif" w:hAnsi="Times New Roman;Times;Serif"/>
          <w:b w:val="false"/>
          <w:i w:val="false"/>
          <w:caps w:val="false"/>
          <w:smallCaps w:val="false"/>
          <w:spacing w:val="-4"/>
          <w:sz w:val="20"/>
        </w:rPr>
        <w:t>INC.</w:t>
      </w:r>
    </w:p>
    <w:p>
      <w:pPr>
        <w:pStyle w:val="TextBody"/>
        <w:bidi w:val="0"/>
        <w:spacing w:before="0" w:after="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w:t>
      </w:r>
    </w:p>
    <w:tbl>
      <w:tblPr>
        <w:tblW w:w="7078" w:type="dxa"/>
        <w:jc w:val="left"/>
        <w:tblInd w:w="0" w:type="dxa"/>
        <w:tblLayout w:type="fixed"/>
        <w:tblCellMar>
          <w:top w:w="0" w:type="dxa"/>
          <w:left w:w="0" w:type="dxa"/>
          <w:bottom w:w="0" w:type="dxa"/>
          <w:right w:w="0" w:type="dxa"/>
        </w:tblCellMar>
      </w:tblPr>
      <w:tblGrid>
        <w:gridCol w:w="380"/>
        <w:gridCol w:w="3950"/>
        <w:gridCol w:w="1514"/>
        <w:gridCol w:w="60"/>
        <w:gridCol w:w="361"/>
        <w:gridCol w:w="361"/>
        <w:gridCol w:w="452"/>
      </w:tblGrid>
      <w:tr>
        <w:trPr/>
        <w:tc>
          <w:tcPr>
            <w:tcW w:w="380" w:type="dxa"/>
            <w:tcBorders/>
            <w:vAlign w:val="center"/>
          </w:tcPr>
          <w:p>
            <w:pPr>
              <w:pStyle w:val="TableContents"/>
              <w:bidi w:val="0"/>
              <w:spacing w:before="0" w:after="283"/>
              <w:jc w:val="left"/>
              <w:rPr/>
            </w:pPr>
            <w:r>
              <w:rPr/>
              <w:t>By:</w:t>
            </w:r>
          </w:p>
        </w:tc>
        <w:tc>
          <w:tcPr>
            <w:tcW w:w="5464" w:type="dxa"/>
            <w:gridSpan w:val="2"/>
            <w:tcBorders/>
            <w:vAlign w:val="center"/>
          </w:tcPr>
          <w:p>
            <w:pPr>
              <w:pStyle w:val="TableContents"/>
              <w:pBdr>
                <w:bottom w:val="single" w:sz="4" w:space="1" w:color="000000"/>
              </w:pBdr>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Agnieszka Gallagher</w:t>
            </w:r>
          </w:p>
        </w:tc>
        <w:tc>
          <w:tcPr>
            <w:tcW w:w="60" w:type="dxa"/>
            <w:tcBorders/>
            <w:vAlign w:val="center"/>
          </w:tcPr>
          <w:p>
            <w:pPr>
              <w:pStyle w:val="TableContents"/>
              <w:bidi w:val="0"/>
              <w:spacing w:before="0" w:after="283"/>
              <w:jc w:val="left"/>
              <w:rPr/>
            </w:pPr>
            <w:r>
              <w:rPr/>
              <w:t> </w:t>
            </w:r>
          </w:p>
        </w:tc>
        <w:tc>
          <w:tcPr>
            <w:tcW w:w="1174" w:type="dxa"/>
            <w:gridSpan w:val="3"/>
            <w:tcBorders/>
            <w:vAlign w:val="center"/>
          </w:tcPr>
          <w:p>
            <w:pPr>
              <w:pStyle w:val="TableContents"/>
              <w:pBdr>
                <w:bottom w:val="single" w:sz="4" w:space="1" w:color="000000"/>
              </w:pBdr>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26, 2023</w:t>
            </w:r>
          </w:p>
        </w:tc>
      </w:tr>
      <w:tr>
        <w:trPr/>
        <w:tc>
          <w:tcPr>
            <w:tcW w:w="380"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Agnieszka Gallagher</w:t>
            </w:r>
          </w:p>
        </w:tc>
        <w:tc>
          <w:tcPr>
            <w:tcW w:w="60" w:type="dxa"/>
            <w:tcBorders/>
            <w:vAlign w:val="center"/>
          </w:tcPr>
          <w:p>
            <w:pPr>
              <w:pStyle w:val="TableContents"/>
              <w:bidi w:val="0"/>
              <w:spacing w:before="0" w:after="283"/>
              <w:jc w:val="left"/>
              <w:rPr/>
            </w:pPr>
            <w:r>
              <w:rPr/>
              <w:t> </w:t>
            </w:r>
          </w:p>
        </w:tc>
        <w:tc>
          <w:tcPr>
            <w:tcW w:w="1174" w:type="dxa"/>
            <w:gridSpan w:val="3"/>
            <w:tcBorders/>
            <w:vAlign w:val="center"/>
          </w:tcPr>
          <w:p>
            <w:pPr>
              <w:pStyle w:val="TableContents"/>
              <w:bidi w:val="0"/>
              <w:spacing w:before="0" w:after="283"/>
              <w:jc w:val="center"/>
              <w:rPr/>
            </w:pPr>
            <w:r>
              <w:rPr/>
              <w:t>(Date)</w:t>
            </w:r>
          </w:p>
        </w:tc>
      </w:tr>
      <w:tr>
        <w:trPr/>
        <w:tc>
          <w:tcPr>
            <w:tcW w:w="380"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Senior Vice President, Chief Legal Officer, and Secretary</w:t>
            </w:r>
          </w:p>
        </w:tc>
        <w:tc>
          <w:tcPr>
            <w:tcW w:w="60" w:type="dxa"/>
            <w:tcBorders/>
            <w:vAlign w:val="center"/>
          </w:tcPr>
          <w:p>
            <w:pPr>
              <w:pStyle w:val="TableContents"/>
              <w:bidi w:val="0"/>
              <w:spacing w:before="0" w:after="283"/>
              <w:jc w:val="left"/>
              <w:rPr/>
            </w:pPr>
            <w:r>
              <w:rPr/>
              <w:t> </w:t>
            </w:r>
          </w:p>
        </w:tc>
        <w:tc>
          <w:tcPr>
            <w:tcW w:w="1174" w:type="dxa"/>
            <w:gridSpan w:val="3"/>
            <w:tcBorders/>
            <w:vAlign w:val="center"/>
          </w:tcPr>
          <w:p>
            <w:pPr>
              <w:pStyle w:val="TableContents"/>
              <w:bidi w:val="0"/>
              <w:spacing w:before="0" w:after="283"/>
              <w:jc w:val="center"/>
              <w:rPr/>
            </w:pPr>
            <w:r>
              <w:rPr/>
              <w:t> </w:t>
            </w:r>
          </w:p>
        </w:tc>
      </w:tr>
      <w:tr>
        <w:trPr/>
        <w:tc>
          <w:tcPr>
            <w:tcW w:w="380" w:type="dxa"/>
            <w:tcBorders/>
            <w:vAlign w:val="center"/>
          </w:tcPr>
          <w:p>
            <w:pPr>
              <w:pStyle w:val="TableContents"/>
              <w:bidi w:val="0"/>
              <w:spacing w:before="0" w:after="283"/>
              <w:jc w:val="left"/>
              <w:rPr/>
            </w:pPr>
            <w:r>
              <w:rPr/>
              <w:t> </w:t>
            </w:r>
          </w:p>
        </w:tc>
        <w:tc>
          <w:tcPr>
            <w:tcW w:w="3950" w:type="dxa"/>
            <w:tcBorders/>
            <w:vAlign w:val="center"/>
          </w:tcPr>
          <w:p>
            <w:pPr>
              <w:pStyle w:val="TableContents"/>
              <w:bidi w:val="0"/>
              <w:spacing w:before="0" w:after="283"/>
              <w:jc w:val="left"/>
              <w:rPr/>
            </w:pPr>
            <w:r>
              <w:rPr/>
              <w:t> </w:t>
            </w:r>
          </w:p>
        </w:tc>
        <w:tc>
          <w:tcPr>
            <w:tcW w:w="15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452"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right"/>
        <w:rPr/>
      </w:pPr>
      <w:bookmarkStart w:id="4" w:name="ex101tosd00322lab_05262023.htm"/>
      <w:bookmarkStart w:id="5" w:name="ksex101tosd00322lab_05262023"/>
      <w:bookmarkEnd w:id="4"/>
      <w:bookmarkEnd w:id="5"/>
      <w:r>
        <w:rPr/>
        <w:t>Exhibit 1.01</w:t>
      </w:r>
      <w:r>
        <w:br w:type="page"/>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 (formerly, Fluidigm Corporation)</w:t>
        <w:br/>
        <w:t>Conflict Minerals Report</w:t>
        <w:br/>
        <w:t xml:space="preserve">For The Reporting Period from January 1, 2022 to December 31, </w:t>
      </w:r>
      <w:r>
        <w:rPr>
          <w:rFonts w:ascii="Times New Roman;Times;Serif" w:hAnsi="Times New Roman;Times;Serif"/>
          <w:b/>
          <w:i w:val="false"/>
          <w:caps w:val="false"/>
          <w:smallCaps w:val="false"/>
          <w:spacing w:val="-4"/>
          <w:sz w:val="20"/>
        </w:rPr>
        <w:t>2022</w:t>
      </w:r>
    </w:p>
    <w:p>
      <w:pPr>
        <w:pStyle w:val="TextBody"/>
        <w:bidi w:val="0"/>
        <w:spacing w:before="0" w:after="24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Concerning Forward-Looking Statements: This Conflict Minerals Report contains forward-looking statements within the meaning of federal securities laws. These forward-looking statements include statements concerning Standard BioTools Inc.’s objectives for its conflict minerals policy and compliance initiatives and actions it intends to take relating to conflict minerals. Forward-looking statements involve substantial risks and uncertainties that could cause actual results to differ materially from currently anticipated results. When considering forward-looking statements, you should consider, among other factors, the risk factors described in the reports and other filings that Standard BioTools Inc. files with the United States Securities and Exchange Commission, including Standard BioTools Inc.’s Annual Report on Form 10-K for the year ended December 31, 2022 and its subsequent Quarterly Reports on Form 10-Q. The risk factors included in these filings are not exhaustive, and risks that are not identified therein could materially affect whether Standard BioTools Inc. realizes the results anticipated or implied by any forward-looking statements contained in this Conflict Minerals Report. Except as required by law, Standard BioTools Inc. disclaims any obligation to update these forward-looking statements, whether as a result of new information, future events, or otherwise.</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Conflict Minerals Report (this “Report”) for Standard BioTools Inc. (“Standard BioTools”, the “Company”, “we” or “our”) covers the reporting period from January 1, 2022 to December 31, 2022 and is presented in accordance with Rule 13p-1 promulgated under the Securities Exchange Act of 1934, as amended (“Rule 13p-1”). This Report is filed as Exhibit 1.01 to our Specialized Disclosure Report on Form SD (the “Form SD”). A copy of this Report and the Form SD are publicly available on our website at https://investors.standardbio.com/sec-filings. Information contained on, or that can be accessed through, our website does not constitute part of this Report and inclusion of our website address in this Report is an inactive textual reference </w:t>
      </w:r>
      <w:r>
        <w:rPr>
          <w:rFonts w:ascii="Times New Roman;Times;Serif" w:hAnsi="Times New Roman;Times;Serif"/>
          <w:b w:val="false"/>
          <w:i w:val="false"/>
          <w:caps w:val="false"/>
          <w:smallCaps w:val="false"/>
          <w:spacing w:val="-2"/>
          <w:sz w:val="20"/>
        </w:rPr>
        <w:t>only.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2010, the United States enacted the Dodd-Frank Wall Street Reform and Consumer Protection Act (the “Act”). Section 1502 of the Act relates to conflict minerals and requires companies subject to the Act to file a Form SD annually with the United States Securities and Exchange Commission (“SEC”) to disclose whether columbite-tantalite (coltan), cassiterite, gold, wolframite, and their derivatives, limited to tungsten, tantalum, tin, and gold (referred to as the “3TG minerals” or “conflict minerals”), used in their products benefited, directly or indirectly, armed groups in the Democratic Republic of the Congo and adjoining countries (collectively, the “Covered Countries”). This Report, which is an exhibit to our Form SD, describes the design and implementation of our conflict minerals due diligence measures undertaken, including a description of how these measures were designed to determine, to our knowledge, the source mines, countries of origin, and processing facilities for 3TG minerals contained in components used in our products.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Standard BioTools Background and Covered </w:t>
      </w:r>
      <w:r>
        <w:rPr>
          <w:rFonts w:ascii="Times New Roman;Times;Serif" w:hAnsi="Times New Roman;Times;Serif"/>
          <w:b/>
          <w:i w:val="false"/>
          <w:caps w:val="false"/>
          <w:smallCaps w:val="false"/>
          <w:spacing w:val="-2"/>
          <w:sz w:val="20"/>
        </w:rPr>
        <w:t>Products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Standard BioTools is driven by a bold vision – unleashing tools to accelerate breakthroughs in human health. We have an established portfolio of essential, standardized next-generation technologies that help biomedical researchers develop medicines faster and better. As a leading solutions provider, we endeavor to provide reliable and repeatable insights in health and disease using our proprietary mass cytometry and microfluidics technologies, respectively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 Our facility in Singapore manufactures our integrated fluidic circuits (IFCs) as well as our microfluidics instruments. Our mass cytometry instruments, assays and reagents are manufactured at our facility in Canada.</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that one or more of the 3TG minerals (tin, tantalum, tungsten, and gold) may be necessary to the functionality or production of the following products we manufactured, or contracted to manufacture, as applicable, during 2022: our Access Array™, AccuLift™ Laser Capture Microdissection systems, Biomark™ HD, Biomark X™, C1™, CyTOF®, CyTOF XT™, EP1™, Flow Conductor™ sample prep, Helios™, Hyperion™ Imaging, Juno™ and X9™, Dynamic Array ™, Advanta ™, Flex Six ™, Digital Array ™, qdPCR ™ , 48.Atlas ™ (collectively, “covered products”).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supply chain with respect to the covered products is complex, and there are many third parties in the supply chain between the original source of the 3TG minerals and the manufacture of the covered products. We do not purchase raw ore or unrefined 3TG minerals directly and make no purchases in the Covered Countries. As a result and as described more fully below, we rely on our suppliers to provide information on the origin of the conflict minerals contained in our products.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Standard BioTools Reasonable Country of Origin </w:t>
      </w:r>
      <w:r>
        <w:rPr>
          <w:rFonts w:ascii="Times New Roman;Times;Serif" w:hAnsi="Times New Roman;Times;Serif"/>
          <w:b/>
          <w:i w:val="false"/>
          <w:caps w:val="false"/>
          <w:smallCaps w:val="false"/>
          <w:spacing w:val="-2"/>
          <w:sz w:val="20"/>
        </w:rPr>
        <w:t>Inquiry</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13p-1 and Form SD, we determined that one or more of the 3TG minerals may be necessary to the functionality or production of our systems and IFCs and that such 3TG minerals are incorporated into our products during the manufacturing process. Accordingly, we undertook a reasonable country of origin inquiry (“RCOI”). This good faith RCOI was reasonably designed to determine whether any of the 3TG minerals incorporated into our products originated in the Covered Countries.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RCOI consisted principally of submitting the conflict minerals reporting template (the “RMI Template”) prepared by the Responsible Minerals Initiative (“RMI”) to suppliers of components for our products that are considered necessary to the functionality or production of our products and for which any 3TG minerals may be included (“first tier suppliers”). We reviewed all responses for completeness, reasonableness, and consistency, and we followed up for corrections and clarifications as we determined appropriate.</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Standard BioTools’s Due Diligence </w:t>
      </w:r>
      <w:r>
        <w:rPr>
          <w:rFonts w:ascii="Times New Roman;Times;Serif" w:hAnsi="Times New Roman;Times;Serif"/>
          <w:b/>
          <w:i w:val="false"/>
          <w:caps w:val="false"/>
          <w:smallCaps w:val="false"/>
          <w:spacing w:val="-2"/>
          <w:sz w:val="20"/>
        </w:rPr>
        <w:t>Process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due diligence measures were designed to conform, in all material respects, with the framework in the Organisation for Economic Co-operation and Development (“OECD”) Due Diligence Guidance for Responsible Supply Chains of Minerals from Conflict-Affected and High-Risk Areas (the “OECD Framework”). The objectives of our diligence initiative were to determine, to the best of our ability, whether any of the 3TG minerals are incorporated into our products; whether any such 3TG minerals incorporated into our products were necessary for the functionality and/or production of our products; the source and chain of custody of the 3TG minerals necessary for the functionality and/or production of our products; and whether any such 3TG minerals originated in the Covered Countries. In the event that 3TG minerals from the Covered Countries are found in our supply chain, we will take appropriate actions in a timely manner to resolve the situation.</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Due diligence measures that we implemented included, but were not limited, to the </w:t>
      </w:r>
      <w:r>
        <w:rPr>
          <w:rFonts w:ascii="Times New Roman;Times;Serif" w:hAnsi="Times New Roman;Times;Serif"/>
          <w:b w:val="false"/>
          <w:i w:val="false"/>
          <w:caps w:val="false"/>
          <w:smallCaps w:val="false"/>
          <w:spacing w:val="-2"/>
          <w:sz w:val="20"/>
        </w:rPr>
        <w:t>following:</w:t>
      </w:r>
    </w:p>
    <w:tbl>
      <w:tblPr>
        <w:tblW w:w="5000" w:type="pct"/>
        <w:jc w:val="left"/>
        <w:tblInd w:w="0" w:type="dxa"/>
        <w:tblLayout w:type="fixed"/>
        <w:tblCellMar>
          <w:top w:w="0" w:type="dxa"/>
          <w:left w:w="0" w:type="dxa"/>
          <w:bottom w:w="0" w:type="dxa"/>
          <w:right w:w="0" w:type="dxa"/>
        </w:tblCellMar>
      </w:tblPr>
      <w:tblGrid>
        <w:gridCol w:w="81"/>
        <w:gridCol w:w="430"/>
        <w:gridCol w:w="9694"/>
      </w:tblGrid>
      <w:tr>
        <w:trPr/>
        <w:tc>
          <w:tcPr>
            <w:tcW w:w="8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pacing w:val="-1"/>
              </w:rPr>
            </w:pPr>
            <w:r>
              <w:rPr>
                <w:spacing w:val="-1"/>
              </w:rPr>
              <w:t>1.</w:t>
            </w:r>
          </w:p>
        </w:tc>
        <w:tc>
          <w:tcPr>
            <w:tcW w:w="9694" w:type="dxa"/>
            <w:tcBorders/>
            <w:vAlign w:val="center"/>
          </w:tcPr>
          <w:p>
            <w:pPr>
              <w:pStyle w:val="TableContents"/>
              <w:bidi w:val="0"/>
              <w:spacing w:before="0" w:after="283"/>
              <w:jc w:val="left"/>
              <w:rPr>
                <w:u w:val="single"/>
              </w:rPr>
            </w:pPr>
            <w:r>
              <w:rPr>
                <w:u w:val="single"/>
              </w:rPr>
              <w:t xml:space="preserve">Establishment of Internal Management </w:t>
            </w:r>
            <w:r>
              <w:rPr>
                <w:spacing w:val="-2"/>
                <w:u w:val="single"/>
              </w:rPr>
              <w:t>Systems</w:t>
            </w:r>
          </w:p>
        </w:tc>
      </w:tr>
    </w:tbl>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pacing w:val="-1"/>
              </w:rPr>
            </w:pPr>
            <w:r>
              <w:rPr>
                <w:spacing w:val="-1"/>
              </w:rPr>
              <w:t>a.</w:t>
            </w:r>
          </w:p>
        </w:tc>
        <w:tc>
          <w:tcPr>
            <w:tcW w:w="9984" w:type="dxa"/>
            <w:tcBorders/>
            <w:vAlign w:val="center"/>
          </w:tcPr>
          <w:p>
            <w:pPr>
              <w:pStyle w:val="TableContents"/>
              <w:bidi w:val="0"/>
              <w:spacing w:before="0" w:after="283"/>
              <w:jc w:val="left"/>
              <w:rPr/>
            </w:pPr>
            <w:r>
              <w:rPr>
                <w:i/>
              </w:rPr>
              <w:t>Conflict Minerals Policy</w:t>
            </w:r>
            <w:r>
              <w:rPr/>
              <w:t>. In 2013, we adopted a written policy relating to the use of conflict minerals in our supply chain. We have communicated this written policy to each of our first tier suppliers. A copy of the Standard BioTools Conflict Minerals Policy is publicly available at https://investors.standardbio.com/social-responsibility.</w:t>
            </w:r>
          </w:p>
        </w:tc>
      </w:tr>
    </w:tbl>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pacing w:val="-1"/>
              </w:rPr>
            </w:pPr>
            <w:r>
              <w:rPr>
                <w:spacing w:val="-1"/>
              </w:rPr>
              <w:t>b.</w:t>
            </w:r>
          </w:p>
        </w:tc>
        <w:tc>
          <w:tcPr>
            <w:tcW w:w="9969" w:type="dxa"/>
            <w:tcBorders/>
            <w:vAlign w:val="center"/>
          </w:tcPr>
          <w:p>
            <w:pPr>
              <w:pStyle w:val="TableContents"/>
              <w:bidi w:val="0"/>
              <w:spacing w:before="0" w:after="283"/>
              <w:jc w:val="left"/>
              <w:rPr/>
            </w:pPr>
            <w:r>
              <w:rPr>
                <w:i/>
              </w:rPr>
              <w:t>Internal Management to Support Supply Chain Due Diligence</w:t>
            </w:r>
            <w:r>
              <w:rPr/>
              <w:t>. Our legal department has collaborated with members from our operations team in Singapore, Canada, and the United States in Conflict Minerals due diligent process.</w:t>
            </w:r>
          </w:p>
        </w:tc>
      </w:tr>
    </w:tbl>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pacing w:val="-1"/>
              </w:rPr>
            </w:pPr>
            <w:r>
              <w:rPr>
                <w:spacing w:val="-1"/>
              </w:rPr>
              <w:t>c.</w:t>
            </w:r>
          </w:p>
        </w:tc>
        <w:tc>
          <w:tcPr>
            <w:tcW w:w="9984" w:type="dxa"/>
            <w:tcBorders/>
            <w:vAlign w:val="center"/>
          </w:tcPr>
          <w:p>
            <w:pPr>
              <w:pStyle w:val="TableContents"/>
              <w:bidi w:val="0"/>
              <w:spacing w:before="0" w:after="283"/>
              <w:jc w:val="left"/>
              <w:rPr/>
            </w:pPr>
            <w:r>
              <w:rPr>
                <w:i/>
              </w:rPr>
              <w:t>Controls and Transparency</w:t>
            </w:r>
            <w:r>
              <w:rPr/>
              <w:t>. As described above, we undertook an RCOI with respect to conflict minerals in our supply chain by providing the RMI Template to each of our first tier suppliers to gather information about their use of 3TG minerals, the smelters and refiners in their supply chain that are included in our products, and the countries of origin for 3TG minerals used in our products. We reviewed all responses for completeness, reasonableness, and consistency. We followed up for corrections and clarifications as we determined appropriate.</w:t>
            </w:r>
          </w:p>
        </w:tc>
      </w:tr>
    </w:tbl>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pacing w:val="-1"/>
              </w:rPr>
            </w:pPr>
            <w:r>
              <w:rPr>
                <w:spacing w:val="-1"/>
              </w:rPr>
              <w:t>d.</w:t>
            </w:r>
          </w:p>
        </w:tc>
        <w:tc>
          <w:tcPr>
            <w:tcW w:w="9969" w:type="dxa"/>
            <w:tcBorders/>
            <w:vAlign w:val="center"/>
          </w:tcPr>
          <w:p>
            <w:pPr>
              <w:pStyle w:val="TableContents"/>
              <w:bidi w:val="0"/>
              <w:spacing w:before="0" w:after="283"/>
              <w:jc w:val="left"/>
              <w:rPr/>
            </w:pPr>
            <w:r>
              <w:rPr>
                <w:i/>
              </w:rPr>
              <w:t>Supplier Engagement</w:t>
            </w:r>
            <w:r>
              <w:rPr/>
              <w:t>. We continue to engage actively with our first tier suppliers to strengthen our relationship with them. We have communicated to our suppliers our commitment to source conflict minerals in a manner that does not, directly or indirectly, benefit armed groups in the Covered Countries. We will consider alternative arrangements for our supply needs if our suppliers are unable to cooperate in our due diligence efforts. In particular, as part of our supplier qualification process, we generally request conflict minerals information from each new supplier of potentially applicable products.</w:t>
            </w:r>
          </w:p>
        </w:tc>
      </w:tr>
    </w:tbl>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pacing w:val="-1"/>
              </w:rPr>
            </w:pPr>
            <w:r>
              <w:rPr>
                <w:spacing w:val="-1"/>
              </w:rPr>
              <w:t>e.</w:t>
            </w:r>
          </w:p>
        </w:tc>
        <w:tc>
          <w:tcPr>
            <w:tcW w:w="9984" w:type="dxa"/>
            <w:tcBorders/>
            <w:vAlign w:val="center"/>
          </w:tcPr>
          <w:p>
            <w:pPr>
              <w:pStyle w:val="TableContents"/>
              <w:bidi w:val="0"/>
              <w:spacing w:before="0" w:after="283"/>
              <w:jc w:val="left"/>
              <w:rPr/>
            </w:pPr>
            <w:r>
              <w:rPr>
                <w:i/>
              </w:rPr>
              <w:t>Grievance Mechanism</w:t>
            </w:r>
            <w:r>
              <w:rPr/>
              <w:t>. Our code of conduct includes procedures for reporting violations of our policies, including our Conflict Minerals Policy. We provide mechanisms for anonymous reporting of violations or concerns about the conduct of our business, including the implementation and enforcement of our Conflict Minerals Policy.</w:t>
            </w:r>
          </w:p>
        </w:tc>
      </w:tr>
    </w:tbl>
    <w:tbl>
      <w:tblPr>
        <w:tblW w:w="5000" w:type="pct"/>
        <w:jc w:val="left"/>
        <w:tblInd w:w="0" w:type="dxa"/>
        <w:tblLayout w:type="fixed"/>
        <w:tblCellMar>
          <w:top w:w="0" w:type="dxa"/>
          <w:left w:w="0" w:type="dxa"/>
          <w:bottom w:w="0" w:type="dxa"/>
          <w:right w:w="0" w:type="dxa"/>
        </w:tblCellMar>
      </w:tblPr>
      <w:tblGrid>
        <w:gridCol w:w="66"/>
        <w:gridCol w:w="347"/>
        <w:gridCol w:w="9792"/>
      </w:tblGrid>
      <w:tr>
        <w:trPr/>
        <w:tc>
          <w:tcPr>
            <w:tcW w:w="6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pacing w:val="-1"/>
              </w:rPr>
            </w:pPr>
            <w:r>
              <w:rPr>
                <w:spacing w:val="-1"/>
              </w:rPr>
              <w:t>2.</w:t>
            </w:r>
          </w:p>
        </w:tc>
        <w:tc>
          <w:tcPr>
            <w:tcW w:w="9792" w:type="dxa"/>
            <w:tcBorders/>
            <w:vAlign w:val="center"/>
          </w:tcPr>
          <w:p>
            <w:pPr>
              <w:pStyle w:val="TableContents"/>
              <w:bidi w:val="0"/>
              <w:spacing w:before="0" w:after="283"/>
              <w:jc w:val="left"/>
              <w:rPr>
                <w:u w:val="single"/>
              </w:rPr>
            </w:pPr>
            <w:r>
              <w:rPr>
                <w:u w:val="single"/>
              </w:rPr>
              <w:t xml:space="preserve">Identification and Assessment of Risks in the Supply </w:t>
            </w:r>
            <w:r>
              <w:rPr>
                <w:spacing w:val="-4"/>
                <w:u w:val="single"/>
              </w:rPr>
              <w:t>Chain</w:t>
            </w:r>
          </w:p>
        </w:tc>
      </w:tr>
    </w:tbl>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identified our first tier suppliers and relied on them to provide the necessary information about the use of 3TG minerals in the products we purchase and incorporate into the manufacture of our systems and IFCs, and the source of such 3TG minerals. Similarly, our first tier suppliers rely on information provided by their suppliers to provide information regarding the country of origin of 3TG minerals included in our products.</w:t>
      </w:r>
    </w:p>
    <w:tbl>
      <w:tblPr>
        <w:tblW w:w="5000" w:type="pct"/>
        <w:jc w:val="left"/>
        <w:tblInd w:w="0" w:type="dxa"/>
        <w:tblLayout w:type="fixed"/>
        <w:tblCellMar>
          <w:top w:w="0" w:type="dxa"/>
          <w:left w:w="0" w:type="dxa"/>
          <w:bottom w:w="0" w:type="dxa"/>
          <w:right w:w="0" w:type="dxa"/>
        </w:tblCellMar>
      </w:tblPr>
      <w:tblGrid>
        <w:gridCol w:w="54"/>
        <w:gridCol w:w="290"/>
        <w:gridCol w:w="9861"/>
      </w:tblGrid>
      <w:tr>
        <w:trPr/>
        <w:tc>
          <w:tcPr>
            <w:tcW w:w="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pacing w:val="-1"/>
              </w:rPr>
            </w:pPr>
            <w:r>
              <w:rPr>
                <w:spacing w:val="-1"/>
              </w:rPr>
              <w:t>3.</w:t>
            </w:r>
          </w:p>
        </w:tc>
        <w:tc>
          <w:tcPr>
            <w:tcW w:w="9861" w:type="dxa"/>
            <w:tcBorders/>
            <w:vAlign w:val="center"/>
          </w:tcPr>
          <w:p>
            <w:pPr>
              <w:pStyle w:val="TableContents"/>
              <w:bidi w:val="0"/>
              <w:spacing w:before="0" w:after="283"/>
              <w:jc w:val="left"/>
              <w:rPr>
                <w:u w:val="single"/>
              </w:rPr>
            </w:pPr>
            <w:r>
              <w:rPr>
                <w:u w:val="single"/>
              </w:rPr>
              <w:t xml:space="preserve">Design and Implementation </w:t>
            </w:r>
            <w:r>
              <w:rPr>
                <w:spacing w:val="-4"/>
                <w:u w:val="single"/>
              </w:rPr>
              <w:t xml:space="preserve">of </w:t>
            </w:r>
            <w:r>
              <w:rPr>
                <w:u w:val="single"/>
              </w:rPr>
              <w:t xml:space="preserve">a Strategy to Respond to Identified </w:t>
            </w:r>
            <w:r>
              <w:rPr>
                <w:spacing w:val="-4"/>
                <w:u w:val="single"/>
              </w:rPr>
              <w:t>Risks</w:t>
            </w:r>
          </w:p>
        </w:tc>
      </w:tr>
    </w:tbl>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developed a formal risk management plan through which our conflict minerals program is managed and monitored. As part of this risk management plan, where applicable, we will review circumstances in which certain suppliers are unable to provide us with complete or reliable responses to the RMI Template including, without limitation, considering whether to continue such contract or relationship or find a replacement </w:t>
      </w:r>
      <w:r>
        <w:rPr>
          <w:rFonts w:ascii="Times New Roman;Times;Serif" w:hAnsi="Times New Roman;Times;Serif"/>
          <w:b w:val="false"/>
          <w:i w:val="false"/>
          <w:caps w:val="false"/>
          <w:smallCaps w:val="false"/>
          <w:spacing w:val="-2"/>
          <w:sz w:val="20"/>
        </w:rPr>
        <w:t>supplier.</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pacing w:val="-1"/>
              </w:rPr>
            </w:pPr>
            <w:r>
              <w:rPr>
                <w:spacing w:val="-1"/>
              </w:rPr>
              <w:t>4.</w:t>
            </w:r>
          </w:p>
        </w:tc>
        <w:tc>
          <w:tcPr>
            <w:tcW w:w="9964" w:type="dxa"/>
            <w:tcBorders/>
            <w:vAlign w:val="center"/>
          </w:tcPr>
          <w:p>
            <w:pPr>
              <w:pStyle w:val="TableContents"/>
              <w:bidi w:val="0"/>
              <w:spacing w:before="0" w:after="283"/>
              <w:jc w:val="left"/>
              <w:rPr>
                <w:u w:val="single"/>
              </w:rPr>
            </w:pPr>
            <w:r>
              <w:rPr>
                <w:u w:val="single"/>
              </w:rPr>
              <w:t xml:space="preserve">Independent Third-Party Audit of Supply Chain Due Diligence at Identified Points in the Supply </w:t>
            </w:r>
            <w:r>
              <w:rPr>
                <w:spacing w:val="-2"/>
                <w:u w:val="single"/>
              </w:rPr>
              <w:t>Chain</w:t>
            </w:r>
          </w:p>
        </w:tc>
      </w:tr>
    </w:tbl>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direct relationship with any smelters or refiners in our supply chain. As a result, we do not and cannot conduct any audits directly. Instead, we support the development and implementation of independent third party audits of smelters such as the Responsible Minerals Assurance Process (“RMAP”) by encouraging our suppliers to purchase materials from audited, conflict-free smelters and determining whether the smelters that were used to process these minerals were validated as conflict-free by the RMAP.</w:t>
      </w:r>
    </w:p>
    <w:tbl>
      <w:tblPr>
        <w:tblW w:w="5000" w:type="pct"/>
        <w:jc w:val="left"/>
        <w:tblInd w:w="0" w:type="dxa"/>
        <w:tblLayout w:type="fixed"/>
        <w:tblCellMar>
          <w:top w:w="0" w:type="dxa"/>
          <w:left w:w="0" w:type="dxa"/>
          <w:bottom w:w="0" w:type="dxa"/>
          <w:right w:w="0" w:type="dxa"/>
        </w:tblCellMar>
      </w:tblPr>
      <w:tblGrid>
        <w:gridCol w:w="96"/>
        <w:gridCol w:w="510"/>
        <w:gridCol w:w="9599"/>
      </w:tblGrid>
      <w:tr>
        <w:trPr/>
        <w:tc>
          <w:tcPr>
            <w:tcW w:w="9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pacing w:val="-1"/>
              </w:rPr>
            </w:pPr>
            <w:r>
              <w:rPr>
                <w:spacing w:val="-1"/>
              </w:rPr>
              <w:t>5.</w:t>
            </w:r>
          </w:p>
        </w:tc>
        <w:tc>
          <w:tcPr>
            <w:tcW w:w="9599" w:type="dxa"/>
            <w:tcBorders/>
            <w:vAlign w:val="center"/>
          </w:tcPr>
          <w:p>
            <w:pPr>
              <w:pStyle w:val="TableContents"/>
              <w:bidi w:val="0"/>
              <w:spacing w:before="0" w:after="283"/>
              <w:jc w:val="left"/>
              <w:rPr>
                <w:u w:val="single"/>
              </w:rPr>
            </w:pPr>
            <w:r>
              <w:rPr>
                <w:u w:val="single"/>
              </w:rPr>
              <w:t xml:space="preserve">Report on Supply Chain Due </w:t>
            </w:r>
            <w:r>
              <w:rPr>
                <w:spacing w:val="-2"/>
                <w:u w:val="single"/>
              </w:rPr>
              <w:t>Diligence</w:t>
            </w:r>
          </w:p>
        </w:tc>
      </w:tr>
    </w:tbl>
    <w:p>
      <w:pPr>
        <w:pStyle w:val="TextBody"/>
        <w:bidi w:val="0"/>
        <w:spacing w:before="0" w:after="24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publicly filed the Form SD and this Report with the SEC. A copy of this Report and the Form SD are publicly available at https://investors.standardbio.com/sec-filings.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Smelters and Refiners in Standard BioTools’s Supply </w:t>
      </w:r>
      <w:r>
        <w:rPr>
          <w:rFonts w:ascii="Times New Roman;Times;Serif" w:hAnsi="Times New Roman;Times;Serif"/>
          <w:b/>
          <w:i w:val="false"/>
          <w:caps w:val="false"/>
          <w:smallCaps w:val="false"/>
          <w:spacing w:val="-2"/>
          <w:sz w:val="20"/>
        </w:rPr>
        <w:t>Chain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RMI’s industry approach to trace back the origin of 3TG minerals by identifying smelters, refineries, or recyclers and scrap supplier sources. We have leveraged industry initiatives such as the RMAP, which is a voluntary initiative in which an independent third party audits smelters and refiners to determine if all of the minerals processed by the smelter or refiner originated from conflict free sources. Participation in the RMAP provides us with verified information about the sourcing activities of the smelters and refiners in our supply chain.</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above, we submitted the RMI Template to our first tier suppliers. Most of the responses received from our first tier suppliers provided information at company/division levels, rather than specific product/part number levels. As a result, we were unable to determine whether or to what extent any of the 3TG minerals reported as used by these first tier suppliers were contained specifically in components supplied to us. We also were unable to validate whether the smelters or refiners reported by such first tier suppliers are actually in our supply chain. Accordingly, based on information that was provided by our first tier suppliers or that was otherwise obtained through our due diligence process, we are unable to determine and describe all facilities used to process the 3TG minerals contained in our covered </w:t>
      </w:r>
      <w:r>
        <w:rPr>
          <w:rFonts w:ascii="Times New Roman;Times;Serif" w:hAnsi="Times New Roman;Times;Serif"/>
          <w:b w:val="false"/>
          <w:i w:val="false"/>
          <w:caps w:val="false"/>
          <w:smallCaps w:val="false"/>
          <w:spacing w:val="-2"/>
          <w:sz w:val="20"/>
        </w:rPr>
        <w:t>products.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information that was provided by our suppliers and otherwise obtained through the due diligence process, we believe that, to the extent reasonably determinable, the facilities that were used to process the 3TG minerals contained in the covered products included the smelters and refiners listed in Annex A attached hereto. This table excludes facilities that are not listed in the RMI Smelter Reference List as of May 15, 2023.</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RMI Smelter Reference List generally did not indicate individual countries of origin of the conflict minerals processed by smelters and refiners, we were not able to determine the countries of origin of the 3TG minerals processed by the listed smelters and refiners with greater specificity. Furthermore, as stated earlier, submission of these smelters by our first-tier suppliers does not guarantee that these smelters or refiners are present in Standard BioTools’s supply chain as our first tier suppliers were generally only able to provide company-level RMI Templates and were not able to provide product-level RMI Templates directly linking those smelters or refiners to such covered products. Therefore, based on our due diligence efforts, we do not have sufficient information to conclusively determine the countries of origin of the 3TG minerals contained in the covered products.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Risk </w:t>
      </w:r>
      <w:r>
        <w:rPr>
          <w:rFonts w:ascii="Times New Roman;Times;Serif" w:hAnsi="Times New Roman;Times;Serif"/>
          <w:b/>
          <w:i w:val="false"/>
          <w:caps w:val="false"/>
          <w:smallCaps w:val="false"/>
          <w:spacing w:val="-2"/>
          <w:sz w:val="20"/>
        </w:rPr>
        <w:t>Factors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above are based on the RCOI process and due diligence performed in good faith by Standard BioTools. These statements are based on the infrastructure and information available at the time. A number of factors could introduce errors or otherwise affect our 3TG mineral status. These factors include, but are not limited to, gaps in supplier data; gaps in smelter data; errors or omissions by suppliers; errors or omissions by smelters; all instances of 3TG minerals necessary to the functionality or manufacturing of our products not yet having been identified; gaps in supplier education and knowledge; timeliness of data; public information not discovered during a reasonable search; errors in public data; language barriers and translation; supplier and smelter unfamiliarity with the protocols for identifying and sourcing potential 3TG minerals; oversight or errors in conflict free smelter audits; Covered Countries sourced materials being declared secondary materials; companies going out of business in 2022; certification programs being not equally advanced for all industry segments and metals; and smuggling of 3TG minerals from the Covered Countries to other countries; and the effects of COVID-19 and similar pandemics.</w:t>
      </w:r>
    </w:p>
    <w:p>
      <w:pPr>
        <w:pStyle w:val="TextBody"/>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Future </w:t>
      </w:r>
      <w:r>
        <w:rPr>
          <w:rFonts w:ascii="Times New Roman;Times;Serif" w:hAnsi="Times New Roman;Times;Serif"/>
          <w:b/>
          <w:i w:val="false"/>
          <w:caps w:val="false"/>
          <w:smallCaps w:val="false"/>
          <w:spacing w:val="-2"/>
          <w:sz w:val="20"/>
        </w:rPr>
        <w:t>Steps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communicated our expectations to our first tier suppliers regarding our commitment to sourcing minerals for our products in a manner that does not, directly or indirectly, finance or benefit armed groups in the Covered Countries. Over the next year, we expect to continue to take steps to mitigate the risk that the necessary conflict minerals in our products could benefit armed groups in the Covered Countries. These steps include further engagement with our relevant suppliers over the next year to build their knowledge and capacity so they are able to provide us with more complete and accurate information on the source and chain of custody of the 3TG minerals included in components and parts purchased by us and incorporated into our products. We also plan to continue to investigate other minerals of concern, including cobalt and mica, and other global regions of high risk.</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Annex </w:t>
      </w:r>
      <w:r>
        <w:rPr>
          <w:rFonts w:ascii="Times New Roman;Times;Serif" w:hAnsi="Times New Roman;Times;Serif"/>
          <w:b/>
          <w:i w:val="false"/>
          <w:caps w:val="false"/>
          <w:smallCaps w:val="false"/>
          <w:spacing w:val="-10"/>
          <w:sz w:val="20"/>
        </w:rPr>
        <w:t>A</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2022 Facility and Country </w:t>
      </w:r>
      <w:r>
        <w:rPr>
          <w:rFonts w:ascii="Times New Roman;Times;Serif" w:hAnsi="Times New Roman;Times;Serif"/>
          <w:b/>
          <w:i w:val="false"/>
          <w:caps w:val="false"/>
          <w:smallCaps w:val="false"/>
          <w:spacing w:val="-4"/>
          <w:sz w:val="20"/>
        </w:rPr>
        <w:t>List</w:t>
      </w:r>
    </w:p>
    <w:tbl>
      <w:tblPr>
        <w:tblW w:w="9975" w:type="dxa"/>
        <w:jc w:val="left"/>
        <w:tblInd w:w="0" w:type="dxa"/>
        <w:tblLayout w:type="fixed"/>
        <w:tblCellMar>
          <w:top w:w="0" w:type="dxa"/>
          <w:left w:w="0" w:type="dxa"/>
          <w:bottom w:w="28" w:type="dxa"/>
          <w:right w:w="0" w:type="dxa"/>
        </w:tblCellMar>
      </w:tblPr>
      <w:tblGrid>
        <w:gridCol w:w="815"/>
        <w:gridCol w:w="7385"/>
        <w:gridCol w:w="1775"/>
      </w:tblGrid>
      <w:tr>
        <w:trPr/>
        <w:tc>
          <w:tcPr>
            <w:tcW w:w="815" w:type="dxa"/>
            <w:tcBorders>
              <w:bottom w:val="single" w:sz="8" w:space="0" w:color="000000"/>
            </w:tcBorders>
            <w:vAlign w:val="center"/>
          </w:tcPr>
          <w:p>
            <w:pPr>
              <w:pStyle w:val="TableContents"/>
              <w:bidi w:val="0"/>
              <w:spacing w:before="0" w:after="283"/>
              <w:jc w:val="left"/>
              <w:rPr>
                <w:b/>
                <w:sz w:val="20"/>
              </w:rPr>
            </w:pPr>
            <w:r>
              <w:rPr>
                <w:b/>
                <w:sz w:val="20"/>
              </w:rPr>
              <w:t>Metal</w:t>
            </w:r>
          </w:p>
        </w:tc>
        <w:tc>
          <w:tcPr>
            <w:tcW w:w="7385" w:type="dxa"/>
            <w:tcBorders>
              <w:bottom w:val="single" w:sz="8" w:space="0" w:color="000000"/>
            </w:tcBorders>
            <w:vAlign w:val="center"/>
          </w:tcPr>
          <w:p>
            <w:pPr>
              <w:pStyle w:val="TableContents"/>
              <w:bidi w:val="0"/>
              <w:spacing w:before="0" w:after="283"/>
              <w:jc w:val="left"/>
              <w:rPr>
                <w:b/>
                <w:sz w:val="20"/>
              </w:rPr>
            </w:pPr>
            <w:r>
              <w:rPr>
                <w:b/>
                <w:sz w:val="20"/>
              </w:rPr>
              <w:t>Facility Name</w:t>
            </w:r>
          </w:p>
        </w:tc>
        <w:tc>
          <w:tcPr>
            <w:tcW w:w="1775" w:type="dxa"/>
            <w:tcBorders>
              <w:bottom w:val="single" w:sz="8" w:space="0" w:color="000000"/>
            </w:tcBorders>
            <w:vAlign w:val="center"/>
          </w:tcPr>
          <w:p>
            <w:pPr>
              <w:pStyle w:val="TableContents"/>
              <w:bidi w:val="0"/>
              <w:spacing w:before="0" w:after="283"/>
              <w:jc w:val="left"/>
              <w:rPr>
                <w:b/>
                <w:sz w:val="20"/>
              </w:rPr>
            </w:pPr>
            <w:r>
              <w:rPr>
                <w:b/>
                <w:sz w:val="20"/>
              </w:rPr>
              <w:t>Smelter Country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8853 S.p.A.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Italy</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ABC Refinery Pty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Australia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Abington Reldan Metals, LLC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Advanced Chemical Company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African Gold Refinery</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Uganda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Aida Chemical Industries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Al Etihad Gold Refinery DMCC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Arab Emirates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Albino Mountinho Lda.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Portugal</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Alexy Metals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Allgemeine Gold-und Silberscheideanstalt A.G.</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Almalyk Mining and Metallurgical Complex (AMMC)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Uzbekistan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AngloGold Ashanti Corrego do Sitio Mineracao</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Argor-Heraeus 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Switzerland</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Asahi Pretec Corp.</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Asahi Refining Canada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Canada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Asahi Refining USA Inc.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Asaka Riken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Atasay Kuyumculuk Sanayi Ve Ticaret A.S.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Turkey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AU Traders and Refiners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South Africa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Augmont Enterprises Private Limited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Aurubis AG</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Bangalore Refinery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Bangko Sentral ng Pilipinas (Central Bank of the Philippines)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Philippines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Boliden AB</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Sweden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 Hafner GmbH + Co. KG</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C.I Metales Procesados Industriales SAS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Colombia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Caridad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Mexico</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CCR Refinery - Glencore Canada Corporation</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Canada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Cendres + Metaux 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Switzerland</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CGR Metalloys Pvt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Chimet S.p.A.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Italy</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Chugai Mining</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Daye Non-Ferrous Metals Mining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Degussa Sonne / Mond Goldhandel GmbH</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Dijllah Gold Refinery FZC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Arab Emirates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Dongwu Gold Group</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Dowa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DSC (Do Sung Corporation)</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Eco-System Recycling Co., Ltd. East Plant</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Eco-System Recycling Co., Ltd. North Plant</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Eco-System Recycling Co., Ltd. West Plant</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Emerald Jewel Industry India Limited (Unit 1)</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Emerald Jewel Industry India Limited (Unit 2)</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Emerald Jewel Industry India Limited (Unit 3)</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Emerald Jewel Industry India Limited (Unit 4)</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Emirates Gold DMCC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Arab Emirates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Fidelity Printers and Refiners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Zimbabwe</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Fujairah Gold FZC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Arab Emirates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Geib Refining Corporation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GGC Gujrat Gold Centre Pvt.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Gold by Gold Colombia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Colombia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Gold Coast Refinery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Ghana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Gold Refinery of Zijin Mining Group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Great Wall Precious Metals Co., Ltd. of CBPM</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Guangdong Jinding Gold Limited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Guoda Safina High-Tech Environmental Refinery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Hangzhou Fuchunjiang Smelting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Heimerle + Meule GmbH</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Heraeus Metals Hong Kong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Heraeus Precious Metals GmbH &amp; Co. KG</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Hunan Chenzhou Mining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Hunan Guiyang yinxing Nonferrous Smelting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HwaSeong CJ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Industrial Refining Company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Belgium</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Inner Mongolia Qiankun Gold and Silver Refinery Share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International Precious Metal Refiners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Arab Emirates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Ishifuku Metal Industry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Istanbul Gold Refinery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Turkey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Italpreziosi</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Italy</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JALAN &amp; Company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Japan Mint</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Jiangxi Copper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JSC Ekaterinburg Non-Ferrous Metal Processing Plant</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JSC Uralelectromed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JX Nippon Mining &amp; Metals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K.A. Rasmussen</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Norway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Kaloti Precious Metals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Arab Emirates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Kazakhmys Smelting LLC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Kazakhstan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Kazzinc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Kazakhstan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Kennecott Utah Copper LLC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KGHM Polska Miedz Spolka Akcyjna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Poland</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Kojima Chemicals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Korea Zinc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Kundan Care Products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Kyrgyzaltyn JSC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Kyrgyzstan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Kyshtym Copper-Electrolytic Plant ZAO</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L'azurde Company For Jewelry</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Saudi Arabia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Lingbao Gold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Lingbao Jinyuan Tonghui Refinery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L'Orfebre S.A.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Andorra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LS-NIKKO Copper Inc.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LT Metal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Luoyang Zijin Yinhui Gold Refinery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Marsam Metals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Materion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Matsuda Sangyo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MD Overseas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Metal Concentrators SA (Pty)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South Africa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Metallix Refining Inc.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Metalor Technologies (Hong Kong)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Metalor Technologies (Singapore) Pte.,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Singapore</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Metalor Technologies (Suzhou)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Metalor Technologies 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Switzerland</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Metalor USA Refining Corporation</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Metalurgica Met-Mex Penoles S.A. De C.V.</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Mexico</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Mitsubishi Materials Corporation</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Mitsui Mining and Smelting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MMTC-PAMP India Pvt.,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Modeltech Sdn Bhd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Malaysia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Morris and Watson</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New Zealand</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Moscow Special Alloys Processing Plant</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Nadir Metal Rafineri San. Ve Tic. A.S.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Turkey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Navoi Mining and Metallurgical Combinat</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Uzbekistan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NH Recytech Company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Nihon Material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Ogussa Osterreichische Gold- und Silber-Scheideanstalt GmbH</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Austria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Ohura Precious Metal Industry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OJSC "The Gulidov Krasnoyarsk Non-Ferrous Metals Plant" (OJSC Krastsvetmet)</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OJSC Novosibirsk Refinery</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PAMP S.A.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Switzerland</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Pease &amp; Curren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Penglai Penggang Gold Industry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Planta Recuperadora de Metales SpA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Chile</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Prioksky Plant of Non-Ferrous Metals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Aneka Tambang (Persero) Tbk</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PX Precinox S.A.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Switzerland</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QG Refining, LLC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Rand Refinery (Pty)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South Africa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Refinery of Seemine Gold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REMONDIS PMR B.V.</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Netherlands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Royal Canadian Mint</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Canada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SAAMP</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France</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Sabin Metal Corp.</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Safimet S.p.A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Italy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SAFINA A.S.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Czech Republic</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Sai Refinery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Samduck Precious Metals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SAMWON METALS Corp.</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Sancus ZFS (L’Orfebre, 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Colombia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Sellem Industries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Mauritania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SEMPSA Joyeria Plateria 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Spain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Shandong Gold Smelting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Shandong Humon Smelting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Shandong Tiancheng Biological Gold Industrial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Shandong Zhaojin Gold &amp; Silver Refinery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Shenzhen CuiLu Gold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Shenzhen Zhonghenglong Real Industry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Shirpur Gold Refinery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Sichuan Tianze Precious Metals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Singway Technology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Taiwan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SOE Shyolkovsky Factory of Secondary Precious Metals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Solar Applied Materials Technology Corp.</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Taiwan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Sovereign Metals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State Research Institute Center for Physical Sciences and Technology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Lithuania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Sudan Gold Refinery</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Sudan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Sumitomo Metal Mining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SungEel HiMetal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Super Dragon Technology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Taiwan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T.C.A S.p.A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Italy</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Tanaka Kikinzoku Kogyo K.K.</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Tokuriki Honten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Tongling Nonferrous Metals Group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TOO Tau-Ken-Altyn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Kazakhstan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Torecom</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Umicore Precious Metals Thailand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Thailand</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Umicore S.A. Business Unit Precious Metals Refining</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Belgium</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United Precious Metal Refining, Inc.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Valcambi S.A.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Switzerland</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WEEEREFINING</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France</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Western Australian Mint (T/a The Perth Mint)</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Australia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WIELAND Edelmetalle GmbH</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Yamakin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Yokohama Metal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Yunnan Copper Industry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Gold</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Zhongyuan Gold Smelter of Zhongjin Gold Corporation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5D Production OU</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Estonia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AMG Brasil</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Changsha South Tantalum Niobium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D Block Metals, LLC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F&amp;X Electro-Materials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FIR Metals &amp; Resource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Global Advanced Metals Aizu</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Global Advanced Metals Boyertown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H.C. Starck Inc.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Hengyang King Xing Lifeng New Materials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Jiangxi Dinghai Tantalum &amp; Niobium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Jiangxi Tuohong New Raw Material</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JiuJiang JinXin Nonferrous Metals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Jiujiang Tanbre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Jiujiang Zhongao Tantalum &amp; Niobium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KEMET de Mexico</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Mexico</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Metallurgical Products India Pvt.,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Ningxia Orient Tantalum Industry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NPM Silmet AS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Estonia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QuantumClean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RFH Yancheng Jinye New Material Technology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Solikamsk Magnesium Works OAO</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Taki Chemical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TANIOBIS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Thailand</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TANIOBIS GmbH</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TANIOBIS Japan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Telex Metals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Ulba Metallurgical Plant JSC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Kazakhstan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XIMEI RESOURCES (GUANGDONG) LIMITED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XinXing Haorong Electronic Material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Tantalum</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Yanling Jincheng Tantalum &amp; Niobium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Alpha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An Vinh Joint Stock Mineral Processing Company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Viet Nam</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Chenzhou Yunxiang Mining and Metallurgy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Chifeng Dajingzi Tin Industry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China Tin Group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CRM Fundicao De Metais E Comercio De Equipamentos Eletronicos Do Brasil Ltda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CRM Synergies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Spain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CV Ayi Jaya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CV Venus Inti Perkasa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Dongguan CiEXPO Environmental Engineering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DS Myanmar</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Myanmar</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Electro-Mechanical Facility of the Cao Bang Minerals &amp; Metallurgy Joint Stock Company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Viet Nam</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EM Vinto</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Bolivia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Estanho de Rondonia S.A.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Fabrica Auricchio Industria e Comercio Ltda.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Fenix Metals</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Poland</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Gejiu City Fuxiang Industry and Trade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Gejiu Kai Meng Industry and Trade LLC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Gejiu Non-Ferrous Metal Processing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Gejiu Yunxin Nonferrous Electrolysis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Gejiu Zili Mining And Metallurgy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Guangdong Hanhe Non-Ferrous Metal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Jiangxi New Nanshan Technology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Luna Smelter,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Rwanda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Magnu's Minerais Metais e Ligas Ltda.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Malaysia Smelting Corporation (MSC)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Malaysia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Melt Metais e Ligas 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Metallic Resources, Inc.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Metallo Belgium N.V.</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Belgium</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Metallo Spain S.L.U.</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Spain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Mineracao Taboca 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Minsur</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Peru</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Nghe Tinh Non-Ferrous Metals Joint Stock Company</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Viet Nam</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Novosibirsk Processing Plant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O.M. Manufacturing (Thailand)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Thailand</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O.M. Manufacturing Philippines, Inc.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Philippines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Operaciones Metalurgicas 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Bolivia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Pongpipat Company Limited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Myanmar</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Precious Minerals and Smelting Limited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Aries Kencana Sejahtera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Artha Cipta Langgeng</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ATD Makmur Mandiri Jaya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Babel Inti Perkasa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Babel Surya Alam Lestari</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Bangka Prima Tin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Bangka Serumpun</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Bangka Tin Industry</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Belitung Industri Sejahtera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Bukit Timah</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Cipta Persada Mulia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Menara Cipta Mulia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Mitra Stania Prima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Mitra Sukses Globalindo</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Panca Mega Persada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Premium Tin Indonesia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Prima Timah Utama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Putera Sarana Shakti (PT PSS)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Rajawali Rimba Perkasa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Refined Bangka Tin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Sariwiguna Binasentosa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Stanindo Inti Perkasa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Sukses Inti Makmur</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Timah Nusantara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Timah Tbk Kundur</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Timah Tbk Mentok</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Tinindo Inter Nusa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PT Tirus Putra Mandiri</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PT Tommy Utama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Indonesia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Resind Industria e Comercio Ltda.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Rui Da Hung</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Taiwan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Super Ligas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Thaisarco</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Thailand</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Tin Technology &amp; Refining</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Tuyen Quang Non-Ferrous Metals Joint Stock Company</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Viet Nam</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VQB Mineral and Trading Group JSC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Viet Nam</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White Solder Metalurgia e Mineracao Ltda.</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Yunnan Chengfeng Non-ferrous Metals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Yunnan Tin Company Limited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Tin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Yunnan Yunfan Non-ferrous Metals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A.L.M.T. TUNGSTEN Corp.</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ACL Metais Eireli</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Albasteel Industria e Comercio de Ligas Para Fundicao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Artek LLC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Asia Tungsten Products Vietnam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Viet Nam</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Chenzhou Diamond Tungsten Products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China Molybdenum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Chongyi Zhangyuan Tungsten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CNMC (Guangxi) PGMA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Cronimet Brasil Ltda</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Brazil</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Fujian Ganmin RareMetal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Fujian Xinlu Tungsten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Ganzhou Haichuang Tungsten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Ganzhou Huaxing Tungsten Products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Ganzhou Jiangwu Ferrotungsten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Ganzhou Seadragon W &amp; Mo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Global Tungsten &amp; Powders Corp.</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Guangdong Xianglu Tungsten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H.C. Starck Tungsten GmbH</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HANNAE FOR T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Korea, Republic of</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Hunan Chunchang Nonferrous Metals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Hydrometallurg, JSC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Japan New Metals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Japan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Jiangwu H.C. Starck Tungsten Products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Jiangxi Gan Bei Tungsten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Jiangxi Minmetals Gao'an Non-ferrous Metals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Jiangxi Tonggu Non-ferrous Metallurgical &amp; Chemical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Jiangxi Xinsheng Tungsten Industry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Jiangxi Yaosheng Tungsten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Jingmen Dewei GEM Tungsten Resources Recycling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JSC "Kirovgrad Hard Alloys Plant"</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Kennametal Fallon</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Kennametal Huntsville</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Lianyou Metals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Taiwan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Malipo Haiyu Tungsten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Masan High-Tech Materials</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Viet Nam</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Moliren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Niagara Refining LLC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United States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NPP Tyazhmetprom LLC</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OOO “Technolom” 1</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OOO “Technolom” 2</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Philippine Chuangxin Industrial Co., Inc.</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Philippines</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TANIOBIS Smelting GmbH &amp; Co. KG</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Germany</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Unecha Refractory Metals Plant</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Russian Federation</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Wolfram Bergbau und Hutten AG</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Austria</w:t>
            </w:r>
          </w:p>
        </w:tc>
      </w:tr>
      <w:tr>
        <w:trPr/>
        <w:tc>
          <w:tcPr>
            <w:tcW w:w="815" w:type="dxa"/>
            <w:tcBorders/>
            <w:shd w:fill="CCEE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CCEEFF" w:val="clear"/>
            <w:tcMar>
              <w:bottom w:w="0" w:type="dxa"/>
            </w:tcMar>
            <w:vAlign w:val="center"/>
          </w:tcPr>
          <w:p>
            <w:pPr>
              <w:pStyle w:val="TableContents"/>
              <w:bidi w:val="0"/>
              <w:spacing w:before="0" w:after="283"/>
              <w:jc w:val="left"/>
              <w:rPr>
                <w:sz w:val="20"/>
              </w:rPr>
            </w:pPr>
            <w:r>
              <w:rPr>
                <w:sz w:val="20"/>
              </w:rPr>
              <w:t>Xiamen Tungsten (H.C.) Co., Ltd.</w:t>
            </w:r>
          </w:p>
        </w:tc>
        <w:tc>
          <w:tcPr>
            <w:tcW w:w="1775" w:type="dxa"/>
            <w:tcBorders/>
            <w:shd w:fill="CCEE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shd w:fill="FFFFFF" w:val="clear"/>
            <w:tcMar>
              <w:bottom w:w="0" w:type="dxa"/>
            </w:tcMar>
            <w:vAlign w:val="center"/>
          </w:tcPr>
          <w:p>
            <w:pPr>
              <w:pStyle w:val="TableContents"/>
              <w:bidi w:val="0"/>
              <w:spacing w:before="0" w:after="283"/>
              <w:jc w:val="left"/>
              <w:rPr>
                <w:sz w:val="20"/>
              </w:rPr>
            </w:pPr>
            <w:r>
              <w:rPr>
                <w:sz w:val="20"/>
              </w:rPr>
              <w:t>Tungsten</w:t>
            </w:r>
          </w:p>
        </w:tc>
        <w:tc>
          <w:tcPr>
            <w:tcW w:w="7385" w:type="dxa"/>
            <w:tcBorders/>
            <w:shd w:fill="FFFFFF" w:val="clear"/>
            <w:tcMar>
              <w:bottom w:w="0" w:type="dxa"/>
            </w:tcMar>
            <w:vAlign w:val="center"/>
          </w:tcPr>
          <w:p>
            <w:pPr>
              <w:pStyle w:val="TableContents"/>
              <w:bidi w:val="0"/>
              <w:spacing w:before="0" w:after="283"/>
              <w:jc w:val="left"/>
              <w:rPr>
                <w:sz w:val="20"/>
              </w:rPr>
            </w:pPr>
            <w:r>
              <w:rPr>
                <w:sz w:val="20"/>
              </w:rPr>
              <w:t>Xiamen Tungsten Co., Ltd.</w:t>
            </w:r>
          </w:p>
        </w:tc>
        <w:tc>
          <w:tcPr>
            <w:tcW w:w="1775" w:type="dxa"/>
            <w:tcBorders/>
            <w:shd w:fill="FFFFFF" w:val="clear"/>
            <w:tcMar>
              <w:bottom w:w="0" w:type="dxa"/>
            </w:tcMar>
            <w:vAlign w:val="center"/>
          </w:tcPr>
          <w:p>
            <w:pPr>
              <w:pStyle w:val="TableContents"/>
              <w:bidi w:val="0"/>
              <w:spacing w:before="0" w:after="283"/>
              <w:jc w:val="left"/>
              <w:rPr>
                <w:sz w:val="20"/>
              </w:rPr>
            </w:pPr>
            <w:r>
              <w:rPr>
                <w:sz w:val="20"/>
              </w:rPr>
              <w:t>China</w:t>
            </w:r>
          </w:p>
        </w:tc>
      </w:tr>
      <w:tr>
        <w:trPr/>
        <w:tc>
          <w:tcPr>
            <w:tcW w:w="815" w:type="dxa"/>
            <w:tcBorders>
              <w:bottom w:val="single" w:sz="8" w:space="0" w:color="4472C4"/>
            </w:tcBorders>
            <w:shd w:fill="CCEEFF" w:val="clear"/>
            <w:vAlign w:val="center"/>
          </w:tcPr>
          <w:p>
            <w:pPr>
              <w:pStyle w:val="TableContents"/>
              <w:bidi w:val="0"/>
              <w:spacing w:before="0" w:after="283"/>
              <w:jc w:val="left"/>
              <w:rPr>
                <w:sz w:val="20"/>
              </w:rPr>
            </w:pPr>
            <w:r>
              <w:rPr>
                <w:sz w:val="20"/>
              </w:rPr>
              <w:t>Tungsten</w:t>
            </w:r>
          </w:p>
        </w:tc>
        <w:tc>
          <w:tcPr>
            <w:tcW w:w="7385" w:type="dxa"/>
            <w:tcBorders>
              <w:bottom w:val="single" w:sz="8" w:space="0" w:color="4472C4"/>
            </w:tcBorders>
            <w:shd w:fill="CCEEFF" w:val="clear"/>
            <w:vAlign w:val="center"/>
          </w:tcPr>
          <w:p>
            <w:pPr>
              <w:pStyle w:val="TableContents"/>
              <w:bidi w:val="0"/>
              <w:spacing w:before="0" w:after="283"/>
              <w:jc w:val="left"/>
              <w:rPr>
                <w:sz w:val="20"/>
              </w:rPr>
            </w:pPr>
            <w:r>
              <w:rPr>
                <w:sz w:val="20"/>
              </w:rPr>
              <w:t>YUDU ANSHENG TUNGSTEN CO., LTD.</w:t>
            </w:r>
          </w:p>
        </w:tc>
        <w:tc>
          <w:tcPr>
            <w:tcW w:w="1775" w:type="dxa"/>
            <w:tcBorders>
              <w:bottom w:val="single" w:sz="8" w:space="0" w:color="4472C4"/>
            </w:tcBorders>
            <w:shd w:fill="CCEEFF" w:val="clear"/>
            <w:vAlign w:val="center"/>
          </w:tcPr>
          <w:p>
            <w:pPr>
              <w:pStyle w:val="TableContents"/>
              <w:bidi w:val="0"/>
              <w:spacing w:before="0" w:after="283"/>
              <w:jc w:val="left"/>
              <w:rPr>
                <w:sz w:val="20"/>
              </w:rPr>
            </w:pPr>
            <w:r>
              <w:rPr>
                <w:sz w:val="20"/>
              </w:rPr>
              <w:t>China</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5157</Words>
  <Characters>29441</Characters>
  <CharactersWithSpaces>33542</CharactersWithSpaces>
  <Paragraphs>1151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