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__________________________</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1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May 7, 2015</w:t>
      </w:r>
    </w:p>
    <w:p>
      <w:pPr>
        <w:spacing w:after="0" w:line="168"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82" w:lineRule="exact"/>
        <w:rPr>
          <w:sz w:val="24"/>
          <w:szCs w:val="24"/>
          <w:color w:val="auto"/>
        </w:rPr>
      </w:pPr>
    </w:p>
    <w:tbl>
      <w:tblPr>
        <w:tblLayout w:type="fixed"/>
        <w:tblInd w:w="68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5460" w:type="dxa"/>
            <w:vAlign w:val="bottom"/>
          </w:tcPr>
          <w:p>
            <w:pPr>
              <w:jc w:val="right"/>
              <w:ind w:right="1558"/>
              <w:spacing w:after="0"/>
              <w:rPr>
                <w:sz w:val="20"/>
                <w:szCs w:val="20"/>
                <w:color w:val="auto"/>
              </w:rPr>
            </w:pPr>
            <w:r>
              <w:rPr>
                <w:rFonts w:ascii="Arial" w:cs="Arial" w:eastAsia="Arial" w:hAnsi="Arial"/>
                <w:sz w:val="18"/>
                <w:szCs w:val="18"/>
                <w:color w:val="auto"/>
              </w:rPr>
              <w:t>__________________________</w:t>
            </w:r>
          </w:p>
        </w:tc>
        <w:tc>
          <w:tcPr>
            <w:tcW w:w="2040" w:type="dxa"/>
            <w:vAlign w:val="bottom"/>
          </w:tcPr>
          <w:p>
            <w:pPr>
              <w:spacing w:after="0"/>
              <w:rPr>
                <w:sz w:val="20"/>
                <w:szCs w:val="20"/>
                <w:color w:val="auto"/>
              </w:rPr>
            </w:pPr>
          </w:p>
        </w:tc>
      </w:tr>
      <w:tr>
        <w:trPr>
          <w:trHeight w:val="378"/>
        </w:trPr>
        <w:tc>
          <w:tcPr>
            <w:tcW w:w="2380" w:type="dxa"/>
            <w:vAlign w:val="bottom"/>
          </w:tcPr>
          <w:p>
            <w:pPr>
              <w:jc w:val="center"/>
              <w:ind w:right="662"/>
              <w:spacing w:after="0"/>
              <w:rPr>
                <w:sz w:val="20"/>
                <w:szCs w:val="20"/>
                <w:color w:val="auto"/>
              </w:rPr>
            </w:pPr>
            <w:r>
              <w:rPr>
                <w:rFonts w:ascii="Arial" w:cs="Arial" w:eastAsia="Arial" w:hAnsi="Arial"/>
                <w:sz w:val="18"/>
                <w:szCs w:val="18"/>
                <w:b w:val="1"/>
                <w:bCs w:val="1"/>
                <w:color w:val="auto"/>
                <w:w w:val="91"/>
              </w:rPr>
              <w:t>Delaware</w:t>
            </w:r>
          </w:p>
        </w:tc>
        <w:tc>
          <w:tcPr>
            <w:tcW w:w="5460" w:type="dxa"/>
            <w:vAlign w:val="bottom"/>
          </w:tcPr>
          <w:p>
            <w:pPr>
              <w:ind w:left="2340"/>
              <w:spacing w:after="0"/>
              <w:rPr>
                <w:sz w:val="20"/>
                <w:szCs w:val="20"/>
                <w:color w:val="auto"/>
              </w:rPr>
            </w:pPr>
            <w:r>
              <w:rPr>
                <w:rFonts w:ascii="Arial" w:cs="Arial" w:eastAsia="Arial" w:hAnsi="Arial"/>
                <w:sz w:val="18"/>
                <w:szCs w:val="18"/>
                <w:b w:val="1"/>
                <w:bCs w:val="1"/>
                <w:color w:val="auto"/>
              </w:rPr>
              <w:t>001-34180</w:t>
            </w:r>
          </w:p>
        </w:tc>
        <w:tc>
          <w:tcPr>
            <w:tcW w:w="2040" w:type="dxa"/>
            <w:vAlign w:val="bottom"/>
          </w:tcPr>
          <w:p>
            <w:pPr>
              <w:jc w:val="center"/>
              <w:ind w:left="842"/>
              <w:spacing w:after="0"/>
              <w:rPr>
                <w:sz w:val="20"/>
                <w:szCs w:val="20"/>
                <w:color w:val="auto"/>
              </w:rPr>
            </w:pPr>
            <w:r>
              <w:rPr>
                <w:rFonts w:ascii="Arial" w:cs="Arial" w:eastAsia="Arial" w:hAnsi="Arial"/>
                <w:sz w:val="18"/>
                <w:szCs w:val="18"/>
                <w:b w:val="1"/>
                <w:bCs w:val="1"/>
                <w:color w:val="auto"/>
                <w:w w:val="91"/>
              </w:rPr>
              <w:t>77-0513190</w:t>
            </w:r>
          </w:p>
        </w:tc>
      </w:tr>
      <w:tr>
        <w:trPr>
          <w:trHeight w:val="180"/>
        </w:trPr>
        <w:tc>
          <w:tcPr>
            <w:tcW w:w="2380" w:type="dxa"/>
            <w:vAlign w:val="bottom"/>
          </w:tcPr>
          <w:p>
            <w:pPr>
              <w:jc w:val="center"/>
              <w:ind w:right="662"/>
              <w:spacing w:after="0"/>
              <w:rPr>
                <w:sz w:val="20"/>
                <w:szCs w:val="20"/>
                <w:color w:val="auto"/>
              </w:rPr>
            </w:pPr>
            <w:r>
              <w:rPr>
                <w:rFonts w:ascii="Arial" w:cs="Arial" w:eastAsia="Arial" w:hAnsi="Arial"/>
                <w:sz w:val="14"/>
                <w:szCs w:val="14"/>
                <w:b w:val="1"/>
                <w:bCs w:val="1"/>
                <w:color w:val="auto"/>
                <w:w w:val="93"/>
              </w:rPr>
              <w:t>(State or other jurisdiction</w:t>
            </w:r>
          </w:p>
        </w:tc>
        <w:tc>
          <w:tcPr>
            <w:tcW w:w="5460" w:type="dxa"/>
            <w:vAlign w:val="bottom"/>
          </w:tcPr>
          <w:p>
            <w:pPr>
              <w:ind w:left="2320"/>
              <w:spacing w:after="0"/>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82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380" w:type="dxa"/>
            <w:vAlign w:val="bottom"/>
          </w:tcPr>
          <w:p>
            <w:pPr>
              <w:jc w:val="center"/>
              <w:ind w:right="682"/>
              <w:spacing w:after="0"/>
              <w:rPr>
                <w:sz w:val="20"/>
                <w:szCs w:val="20"/>
                <w:color w:val="auto"/>
              </w:rPr>
            </w:pPr>
            <w:r>
              <w:rPr>
                <w:rFonts w:ascii="Arial" w:cs="Arial" w:eastAsia="Arial" w:hAnsi="Arial"/>
                <w:sz w:val="14"/>
                <w:szCs w:val="14"/>
                <w:b w:val="1"/>
                <w:bCs w:val="1"/>
                <w:color w:val="auto"/>
                <w:w w:val="94"/>
              </w:rPr>
              <w:t>of incorporation)</w:t>
            </w:r>
          </w:p>
        </w:tc>
        <w:tc>
          <w:tcPr>
            <w:tcW w:w="5460" w:type="dxa"/>
            <w:vAlign w:val="bottom"/>
          </w:tcPr>
          <w:p>
            <w:pPr>
              <w:ind w:left="2300"/>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842"/>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380" w:type="dxa"/>
            <w:vAlign w:val="bottom"/>
          </w:tcPr>
          <w:p>
            <w:pPr>
              <w:spacing w:after="0"/>
              <w:rPr>
                <w:sz w:val="24"/>
                <w:szCs w:val="24"/>
                <w:color w:val="auto"/>
              </w:rPr>
            </w:pPr>
          </w:p>
        </w:tc>
        <w:tc>
          <w:tcPr>
            <w:tcW w:w="5460" w:type="dxa"/>
            <w:vAlign w:val="bottom"/>
          </w:tcPr>
          <w:p>
            <w:pPr>
              <w:jc w:val="center"/>
              <w:ind w:right="78"/>
              <w:spacing w:after="0"/>
              <w:rPr>
                <w:sz w:val="20"/>
                <w:szCs w:val="20"/>
                <w:color w:val="auto"/>
              </w:rPr>
            </w:pPr>
            <w:r>
              <w:rPr>
                <w:rFonts w:ascii="Arial" w:cs="Arial" w:eastAsia="Arial" w:hAnsi="Arial"/>
                <w:sz w:val="18"/>
                <w:szCs w:val="18"/>
                <w:b w:val="1"/>
                <w:bCs w:val="1"/>
                <w:color w:val="auto"/>
                <w:w w:val="89"/>
              </w:rPr>
              <w:t>7000 Shoreline Court, Suite 100</w:t>
            </w:r>
          </w:p>
        </w:tc>
        <w:tc>
          <w:tcPr>
            <w:tcW w:w="2040" w:type="dxa"/>
            <w:vAlign w:val="bottom"/>
          </w:tcPr>
          <w:p>
            <w:pPr>
              <w:spacing w:after="0"/>
              <w:rPr>
                <w:sz w:val="24"/>
                <w:szCs w:val="24"/>
                <w:color w:val="auto"/>
              </w:rPr>
            </w:pPr>
          </w:p>
        </w:tc>
      </w:tr>
      <w:tr>
        <w:trPr>
          <w:trHeight w:val="212"/>
        </w:trPr>
        <w:tc>
          <w:tcPr>
            <w:tcW w:w="2380" w:type="dxa"/>
            <w:vAlign w:val="bottom"/>
          </w:tcPr>
          <w:p>
            <w:pPr>
              <w:spacing w:after="0"/>
              <w:rPr>
                <w:sz w:val="18"/>
                <w:szCs w:val="18"/>
                <w:color w:val="auto"/>
              </w:rPr>
            </w:pPr>
          </w:p>
        </w:tc>
        <w:tc>
          <w:tcPr>
            <w:tcW w:w="546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2040" w:type="dxa"/>
            <w:vAlign w:val="bottom"/>
          </w:tcPr>
          <w:p>
            <w:pPr>
              <w:spacing w:after="0"/>
              <w:rPr>
                <w:sz w:val="18"/>
                <w:szCs w:val="18"/>
                <w:color w:val="auto"/>
              </w:rPr>
            </w:pPr>
          </w:p>
        </w:tc>
      </w:tr>
      <w:tr>
        <w:trPr>
          <w:trHeight w:val="186"/>
        </w:trPr>
        <w:tc>
          <w:tcPr>
            <w:tcW w:w="2380" w:type="dxa"/>
            <w:vAlign w:val="bottom"/>
          </w:tcPr>
          <w:p>
            <w:pPr>
              <w:spacing w:after="0"/>
              <w:rPr>
                <w:sz w:val="16"/>
                <w:szCs w:val="16"/>
                <w:color w:val="auto"/>
              </w:rPr>
            </w:pPr>
          </w:p>
        </w:tc>
        <w:tc>
          <w:tcPr>
            <w:tcW w:w="546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2040" w:type="dxa"/>
            <w:vAlign w:val="bottom"/>
          </w:tcPr>
          <w:p>
            <w:pPr>
              <w:spacing w:after="0"/>
              <w:rPr>
                <w:sz w:val="16"/>
                <w:szCs w:val="16"/>
                <w:color w:val="auto"/>
              </w:rPr>
            </w:pPr>
          </w:p>
        </w:tc>
      </w:tr>
      <w:tr>
        <w:trPr>
          <w:trHeight w:val="354"/>
        </w:trPr>
        <w:tc>
          <w:tcPr>
            <w:tcW w:w="2380" w:type="dxa"/>
            <w:vAlign w:val="bottom"/>
          </w:tcPr>
          <w:p>
            <w:pPr>
              <w:spacing w:after="0"/>
              <w:rPr>
                <w:sz w:val="24"/>
                <w:szCs w:val="24"/>
                <w:color w:val="auto"/>
              </w:rPr>
            </w:pPr>
          </w:p>
        </w:tc>
        <w:tc>
          <w:tcPr>
            <w:tcW w:w="5460" w:type="dxa"/>
            <w:vAlign w:val="bottom"/>
          </w:tcPr>
          <w:p>
            <w:pPr>
              <w:jc w:val="right"/>
              <w:ind w:right="2158"/>
              <w:spacing w:after="0"/>
              <w:rPr>
                <w:sz w:val="20"/>
                <w:szCs w:val="20"/>
                <w:color w:val="auto"/>
              </w:rPr>
            </w:pPr>
            <w:r>
              <w:rPr>
                <w:rFonts w:ascii="Arial" w:cs="Arial" w:eastAsia="Arial" w:hAnsi="Arial"/>
                <w:sz w:val="18"/>
                <w:szCs w:val="18"/>
                <w:b w:val="1"/>
                <w:bCs w:val="1"/>
                <w:color w:val="auto"/>
              </w:rPr>
              <w:t>(650) 266-6000</w:t>
            </w:r>
          </w:p>
        </w:tc>
        <w:tc>
          <w:tcPr>
            <w:tcW w:w="2040" w:type="dxa"/>
            <w:vAlign w:val="bottom"/>
          </w:tcPr>
          <w:p>
            <w:pPr>
              <w:spacing w:after="0"/>
              <w:rPr>
                <w:sz w:val="24"/>
                <w:szCs w:val="24"/>
                <w:color w:val="auto"/>
              </w:rPr>
            </w:pPr>
          </w:p>
        </w:tc>
      </w:tr>
      <w:tr>
        <w:trPr>
          <w:trHeight w:val="186"/>
        </w:trPr>
        <w:tc>
          <w:tcPr>
            <w:tcW w:w="2380" w:type="dxa"/>
            <w:vAlign w:val="bottom"/>
          </w:tcPr>
          <w:p>
            <w:pPr>
              <w:spacing w:after="0"/>
              <w:rPr>
                <w:sz w:val="16"/>
                <w:szCs w:val="16"/>
                <w:color w:val="auto"/>
              </w:rPr>
            </w:pPr>
          </w:p>
        </w:tc>
        <w:tc>
          <w:tcPr>
            <w:tcW w:w="546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40" w:type="dxa"/>
            <w:vAlign w:val="bottom"/>
          </w:tcPr>
          <w:p>
            <w:pPr>
              <w:spacing w:after="0"/>
              <w:rPr>
                <w:sz w:val="16"/>
                <w:szCs w:val="16"/>
                <w:color w:val="auto"/>
              </w:rPr>
            </w:pPr>
          </w:p>
        </w:tc>
      </w:tr>
      <w:tr>
        <w:trPr>
          <w:trHeight w:val="470"/>
        </w:trPr>
        <w:tc>
          <w:tcPr>
            <w:tcW w:w="2380" w:type="dxa"/>
            <w:vAlign w:val="bottom"/>
          </w:tcPr>
          <w:p>
            <w:pPr>
              <w:spacing w:after="0"/>
              <w:rPr>
                <w:sz w:val="24"/>
                <w:szCs w:val="24"/>
                <w:color w:val="auto"/>
              </w:rPr>
            </w:pPr>
          </w:p>
        </w:tc>
        <w:tc>
          <w:tcPr>
            <w:tcW w:w="546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04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460" w:type="dxa"/>
            <w:vAlign w:val="bottom"/>
          </w:tcPr>
          <w:p>
            <w:pPr>
              <w:jc w:val="right"/>
              <w:ind w:right="1598"/>
              <w:spacing w:after="0"/>
              <w:rPr>
                <w:sz w:val="20"/>
                <w:szCs w:val="20"/>
                <w:color w:val="auto"/>
              </w:rPr>
            </w:pPr>
            <w:r>
              <w:rPr>
                <w:rFonts w:ascii="Arial" w:cs="Arial" w:eastAsia="Arial" w:hAnsi="Arial"/>
                <w:sz w:val="18"/>
                <w:szCs w:val="18"/>
                <w:color w:val="auto"/>
              </w:rPr>
              <w:t>__________________________</w:t>
            </w:r>
          </w:p>
        </w:tc>
        <w:tc>
          <w:tcPr>
            <w:tcW w:w="2040" w:type="dxa"/>
            <w:vAlign w:val="bottom"/>
          </w:tcPr>
          <w:p>
            <w:pPr>
              <w:spacing w:after="0"/>
              <w:rPr>
                <w:sz w:val="20"/>
                <w:szCs w:val="20"/>
                <w:color w:val="auto"/>
              </w:rPr>
            </w:pPr>
          </w:p>
        </w:tc>
      </w:tr>
    </w:tbl>
    <w:p>
      <w:pPr>
        <w:spacing w:after="0" w:line="1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33" w:right="35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May 7, 2015, Fluidigm Corporation issued a press release reporting its financial results for the first quarter ended March 31, 2015. A copy of the press release is furnished herewith as Exhibit 99.1.</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640"/>
        <w:spacing w:after="0"/>
        <w:tabs>
          <w:tab w:leader="none" w:pos="20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354" w:lineRule="exact"/>
        <w:rPr>
          <w:sz w:val="20"/>
          <w:szCs w:val="20"/>
          <w:color w:val="auto"/>
        </w:rPr>
      </w:pPr>
    </w:p>
    <w:p>
      <w:pPr>
        <w:ind w:left="600"/>
        <w:spacing w:after="0"/>
        <w:tabs>
          <w:tab w:leader="none" w:pos="204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6"/>
          <w:szCs w:val="16"/>
          <w:color w:val="auto"/>
        </w:rPr>
        <w:t>Fluidigm Corporation Press Release dated May 7, 2015</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380"/>
          </w:cols>
          <w:pgMar w:left="240" w:top="742" w:right="2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8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FLUIDIGM CORPORATION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tabs>
          <w:tab w:leader="none" w:pos="6660" w:val="left"/>
          <w:tab w:leader="none" w:pos="7320" w:val="left"/>
        </w:tabs>
        <w:rPr>
          <w:sz w:val="20"/>
          <w:szCs w:val="20"/>
          <w:color w:val="auto"/>
        </w:rPr>
      </w:pPr>
      <w:r>
        <w:rPr>
          <w:rFonts w:ascii="Arial" w:cs="Arial" w:eastAsia="Arial" w:hAnsi="Arial"/>
          <w:sz w:val="18"/>
          <w:szCs w:val="18"/>
          <w:color w:val="auto"/>
        </w:rPr>
        <w:t>Date: May 7,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Vikram Jog</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60"/>
          </w:cols>
          <w:pgMar w:left="240" w:top="580" w:right="49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15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354" w:lineRule="exact"/>
        <w:rPr>
          <w:sz w:val="20"/>
          <w:szCs w:val="20"/>
          <w:color w:val="auto"/>
        </w:rPr>
      </w:pPr>
    </w:p>
    <w:p>
      <w:pPr>
        <w:ind w:left="80"/>
        <w:spacing w:after="0"/>
        <w:tabs>
          <w:tab w:leader="none" w:pos="152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6"/>
          <w:szCs w:val="16"/>
          <w:color w:val="auto"/>
        </w:rPr>
        <w:t>Fluidigm Corporation Press Release dated May 7, 2015</w:t>
      </w:r>
    </w:p>
    <w:p>
      <w:pPr>
        <w:sectPr>
          <w:pgSz w:w="11900" w:h="16838" w:orient="portrait"/>
          <w:cols w:equalWidth="0" w:num="1">
            <w:col w:w="9699"/>
          </w:cols>
          <w:pgMar w:left="760" w:top="5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REPORTS Q1 2015 FINANCIAL RESULTS</w:t>
      </w:r>
    </w:p>
    <w:p>
      <w:pPr>
        <w:spacing w:after="0" w:line="226"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SOUTH SAN FRANCISCO, Calif. - May 7, 2015 - Fluidigm Corporation (NASDAQ:FLDM) today announced its financial results for the first quarter ended March 31, 2015.</w:t>
      </w:r>
    </w:p>
    <w:p>
      <w:pPr>
        <w:spacing w:after="0" w:line="175" w:lineRule="exact"/>
        <w:rPr>
          <w:sz w:val="20"/>
          <w:szCs w:val="20"/>
          <w:color w:val="auto"/>
        </w:rPr>
      </w:pPr>
    </w:p>
    <w:p>
      <w:pPr>
        <w:jc w:val="both"/>
        <w:ind w:right="120"/>
        <w:spacing w:after="0" w:line="253" w:lineRule="auto"/>
        <w:rPr>
          <w:sz w:val="20"/>
          <w:szCs w:val="20"/>
          <w:color w:val="auto"/>
        </w:rPr>
      </w:pPr>
      <w:r>
        <w:rPr>
          <w:rFonts w:ascii="Arial" w:cs="Arial" w:eastAsia="Arial" w:hAnsi="Arial"/>
          <w:sz w:val="22"/>
          <w:szCs w:val="22"/>
          <w:color w:val="auto"/>
        </w:rPr>
        <w:t>Total revenue for the first quarter of 2015 was $26.7 million, an increase of 4% from $25.7 million in the first quarter of 2014, and an increase of 10% on a constant-currency basis. The first quarter of 2014 revenue excludes $3.8 million of revenue from the DVS acquisition prior to acquisition close.</w:t>
      </w:r>
    </w:p>
    <w:p>
      <w:pPr>
        <w:spacing w:after="0" w:line="186" w:lineRule="exact"/>
        <w:rPr>
          <w:sz w:val="20"/>
          <w:szCs w:val="20"/>
          <w:color w:val="auto"/>
        </w:rPr>
      </w:pPr>
    </w:p>
    <w:p>
      <w:pPr>
        <w:jc w:val="both"/>
        <w:ind w:right="280"/>
        <w:spacing w:after="0" w:line="271" w:lineRule="auto"/>
        <w:rPr>
          <w:sz w:val="20"/>
          <w:szCs w:val="20"/>
          <w:color w:val="auto"/>
        </w:rPr>
      </w:pPr>
      <w:r>
        <w:rPr>
          <w:rFonts w:ascii="Arial" w:cs="Arial" w:eastAsia="Arial" w:hAnsi="Arial"/>
          <w:sz w:val="21"/>
          <w:szCs w:val="21"/>
          <w:color w:val="auto"/>
        </w:rPr>
        <w:t>Net loss for the first quarter of 2015 was $15.9 million, compared to a net loss of $15.4 million in the first quarter of 2014. Non-GAAP net loss for the first quarter of 2015 was $7.3 million, compared with non-GAAP net income of $0.08 million for the first quarter of 2014 (see accompanying table for reconciliation of GAAP and non-GAAP measures).</w:t>
      </w:r>
    </w:p>
    <w:p>
      <w:pPr>
        <w:spacing w:after="0" w:line="168"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“Our first quarter revenue did not meet our internal expectations due to several factors, including timing of CyTOF™ orders and shipments, a shortfall in Biomark™ system revenues, and weak genomics analytical consumables sales. In addition, currency had a more negative impact than we assumed at the beginning of the year,” said Gajus Worthington, Fluidigm President and Chief Executive Officer.</w:t>
      </w:r>
    </w:p>
    <w:p>
      <w:pPr>
        <w:spacing w:after="0" w:line="188" w:lineRule="exact"/>
        <w:rPr>
          <w:sz w:val="20"/>
          <w:szCs w:val="20"/>
          <w:color w:val="auto"/>
        </w:rPr>
      </w:pPr>
    </w:p>
    <w:p>
      <w:pPr>
        <w:ind w:right="100"/>
        <w:spacing w:after="0" w:line="261" w:lineRule="auto"/>
        <w:rPr>
          <w:sz w:val="20"/>
          <w:szCs w:val="20"/>
          <w:color w:val="auto"/>
        </w:rPr>
      </w:pPr>
      <w:r>
        <w:rPr>
          <w:rFonts w:ascii="Arial" w:cs="Arial" w:eastAsia="Arial" w:hAnsi="Arial"/>
          <w:sz w:val="21"/>
          <w:szCs w:val="21"/>
          <w:color w:val="auto"/>
        </w:rPr>
        <w:t>“Although disappointed with our performance in the first quarter, we believe our overall market opportunities have never been stronger. We are pleased with early customer reaction to our new products, including initial sales of Juno™ and strong interest in our upcoming Polaris™ system. The single-cell biology market continues to blossom and grow. The CyTOF product line results in the first quarter were largely due to timing. We remain positive about our CyTOF outlook and expect strong year-over-year growth in 2015. However, due to greater uncertainty in our previous outlook given first quarter results, we are reducing our revenue guidance for the year,” continued Worthington.</w:t>
      </w:r>
    </w:p>
    <w:p>
      <w:pPr>
        <w:spacing w:after="0" w:line="180"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Fluidigm also announced today that industry veteran Steve McPhail has joined Fluidigm as general manager of its production genomics business. “Steve has significant senior management, scientific, and operational experience and excels in strategy development, tactical execution of operational plans, and establishing distribution networks. We look forward to Steve joining our executive team and expect to benefit greatly from his experience and insight as we continue to further develop our business,” added Worthington.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Highlights and Analysis</w:t>
      </w:r>
    </w:p>
    <w:p>
      <w:pPr>
        <w:spacing w:after="0" w:line="28" w:lineRule="exact"/>
        <w:rPr>
          <w:sz w:val="20"/>
          <w:szCs w:val="20"/>
          <w:color w:val="auto"/>
        </w:rPr>
      </w:pPr>
    </w:p>
    <w:p>
      <w:pPr>
        <w:ind w:left="340" w:right="120" w:hanging="332"/>
        <w:spacing w:after="0" w:line="24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Instrument revenue grew 5% year-on-year in the quarter on an as-reported basis, driven by increased sales from C1™ systems, CyTOF systems, and contribution from new products, offset by Biomark systems.</w:t>
      </w:r>
    </w:p>
    <w:p>
      <w:pPr>
        <w:ind w:left="980" w:hanging="324"/>
        <w:spacing w:after="0"/>
        <w:tabs>
          <w:tab w:leader="none" w:pos="980" w:val="left"/>
        </w:tabs>
        <w:numPr>
          <w:ilvl w:val="1"/>
          <w:numId w:val="2"/>
        </w:numPr>
        <w:rPr>
          <w:rFonts w:ascii="Arial" w:cs="Arial" w:eastAsia="Arial" w:hAnsi="Arial"/>
          <w:sz w:val="16"/>
          <w:szCs w:val="16"/>
          <w:color w:val="auto"/>
        </w:rPr>
      </w:pPr>
      <w:r>
        <w:rPr>
          <w:rFonts w:ascii="Arial" w:cs="Arial" w:eastAsia="Arial" w:hAnsi="Arial"/>
          <w:sz w:val="19"/>
          <w:szCs w:val="19"/>
          <w:color w:val="auto"/>
        </w:rPr>
        <w:t>Approximately 60% of the Biomark HD system sales during the quarter were motivated by single-cell biology research.</w:t>
      </w:r>
    </w:p>
    <w:p>
      <w:pPr>
        <w:spacing w:after="0" w:line="38" w:lineRule="exact"/>
        <w:rPr>
          <w:rFonts w:ascii="Arial" w:cs="Arial" w:eastAsia="Arial" w:hAnsi="Arial"/>
          <w:sz w:val="16"/>
          <w:szCs w:val="16"/>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22"/>
          <w:szCs w:val="22"/>
          <w:color w:val="auto"/>
        </w:rPr>
        <w:t>Approximately 10% of C1 system sales were combined with a Biomark HD system in the quarter.</w:t>
      </w:r>
    </w:p>
    <w:p>
      <w:pPr>
        <w:spacing w:after="0" w:line="3" w:lineRule="exact"/>
        <w:rPr>
          <w:rFonts w:ascii="Arial" w:cs="Arial" w:eastAsia="Arial" w:hAnsi="Arial"/>
          <w:sz w:val="18"/>
          <w:szCs w:val="18"/>
          <w:color w:val="auto"/>
        </w:rPr>
      </w:pPr>
    </w:p>
    <w:p>
      <w:pPr>
        <w:ind w:left="340" w:right="260" w:hanging="332"/>
        <w:spacing w:after="0" w:line="24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22"/>
          <w:szCs w:val="22"/>
          <w:color w:val="auto"/>
        </w:rPr>
        <w:t>Consumables revenue grew 5% year-on-year in the quarter on an as-reported basis, driven by increased sales from single-cell biology applications partly offset by decreased sales from production genomics applications.</w:t>
      </w:r>
    </w:p>
    <w:p>
      <w:pPr>
        <w:ind w:left="980" w:right="400" w:hanging="324"/>
        <w:spacing w:after="0" w:line="245"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22"/>
          <w:szCs w:val="22"/>
          <w:color w:val="auto"/>
        </w:rPr>
        <w:t>Consumables pull-through in the quarter was below its historical range of $40,000 - $50,000 per instrument/year for genomics analytical systems and within its historical range of $15,000 - $25,000 per instrument/year for genomics preparatory systems.</w:t>
      </w:r>
    </w:p>
    <w:p>
      <w:pPr>
        <w:sectPr>
          <w:pgSz w:w="11900" w:h="16838" w:orient="portrait"/>
          <w:cols w:equalWidth="0" w:num="1">
            <w:col w:w="11420"/>
          </w:cols>
          <w:pgMar w:left="240" w:top="585" w:right="239" w:bottom="1440" w:gutter="0" w:footer="0" w:header="0"/>
        </w:sectPr>
      </w:pPr>
    </w:p>
    <w:bookmarkStart w:id="5" w:name="page6"/>
    <w:bookmarkEnd w:id="5"/>
    <w:p>
      <w:pPr>
        <w:ind w:left="980" w:right="200" w:hanging="324"/>
        <w:spacing w:after="0" w:line="251"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22"/>
          <w:szCs w:val="22"/>
          <w:color w:val="auto"/>
        </w:rPr>
        <w:t>Consumables pull-through for proteomics analytical systems in the quarter was within its historical range of $50,000 - $70,000 per instrument/year.</w:t>
      </w:r>
    </w:p>
    <w:p>
      <w:pPr>
        <w:spacing w:after="0" w:line="2" w:lineRule="exact"/>
        <w:rPr>
          <w:rFonts w:ascii="Arial" w:cs="Arial" w:eastAsia="Arial" w:hAnsi="Arial"/>
          <w:sz w:val="18"/>
          <w:szCs w:val="18"/>
          <w:color w:val="auto"/>
        </w:rPr>
      </w:pPr>
    </w:p>
    <w:p>
      <w:pPr>
        <w:ind w:left="340" w:right="560" w:hanging="332"/>
        <w:spacing w:after="0" w:line="24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2"/>
          <w:szCs w:val="22"/>
          <w:color w:val="auto"/>
        </w:rPr>
        <w:t>Geographic revenue as a percent of total product revenue in the first quarter of 2015 was as follows: United States - 51%; Europe - 26%; Japan - 7%; Asia-Pacific - 13%; and Other - 3%.</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2"/>
          <w:szCs w:val="22"/>
          <w:color w:val="auto"/>
        </w:rPr>
        <w:t>Fluidigm’s total instrument installed base was approximately 1,410 units at the end of the quarter.</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22"/>
          <w:szCs w:val="22"/>
          <w:color w:val="auto"/>
        </w:rPr>
        <w:t>Approximately 55% of the installed base was analytical versus preparatory systems.</w:t>
      </w:r>
    </w:p>
    <w:p>
      <w:pPr>
        <w:spacing w:after="0" w:line="3" w:lineRule="exact"/>
        <w:rPr>
          <w:rFonts w:ascii="Arial" w:cs="Arial" w:eastAsia="Arial" w:hAnsi="Arial"/>
          <w:sz w:val="18"/>
          <w:szCs w:val="18"/>
          <w:color w:val="auto"/>
        </w:rPr>
      </w:pPr>
    </w:p>
    <w:p>
      <w:pPr>
        <w:ind w:left="980" w:right="700" w:hanging="324"/>
        <w:spacing w:after="0" w:line="243"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22"/>
          <w:szCs w:val="22"/>
          <w:color w:val="auto"/>
        </w:rPr>
        <w:t>Single-cell biology systems (C1, CyTOF, CyTOF 2, Biomark and Biomark HD systems motivated by single-cell research) represented approximately 660 units.</w:t>
      </w:r>
    </w:p>
    <w:p>
      <w:pPr>
        <w:ind w:left="340" w:right="40" w:hanging="332"/>
        <w:spacing w:after="0" w:line="24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22"/>
          <w:szCs w:val="22"/>
          <w:color w:val="auto"/>
        </w:rPr>
        <w:t>GAAP product margin was 60.0% in the first quarter of 2015, versus 65.8% in the year ago period. Non-GAAP product margin was 73.3% in the first quarter of 2015, versus 75.2% in the year ago period. Non-GAAP product margin excludes the effects of amortization of developed technology, depreciation and amortization, non-cash charge for the sale of inventory revalued at the date of acquisition, and stock-based compensation expense (see accompanying table for reconciliation of GAAP and non-GAAP product margins).</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22"/>
          <w:szCs w:val="22"/>
          <w:color w:val="auto"/>
        </w:rPr>
        <w:t>Fluidigm ended March 31, 2015 with approximately $134.9 million in cash, cash equivalents, and investments.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Highlights Since Fluidigm’s Last Earnings Release</w:t>
      </w:r>
    </w:p>
    <w:p>
      <w:pPr>
        <w:spacing w:after="0" w:line="28" w:lineRule="exact"/>
        <w:rPr>
          <w:sz w:val="20"/>
          <w:szCs w:val="20"/>
          <w:color w:val="auto"/>
        </w:rPr>
      </w:pPr>
    </w:p>
    <w:p>
      <w:pPr>
        <w:ind w:left="340" w:right="40" w:hanging="332"/>
        <w:spacing w:after="0" w:line="24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2"/>
          <w:szCs w:val="22"/>
          <w:color w:val="auto"/>
        </w:rPr>
        <w:t>Introduced the Polaris system at the annual Advances in Genome Biology and Technology meeting in February 2015. Polaris is a single-cell research system that integrates cell selection, isolation, dose, culture and molecular preparation into a single workflow enabling researchers to correlate gene expression with environmental conditions and phenotypic information. We expect to launch Polaris mid-year 2015.</w:t>
      </w:r>
    </w:p>
    <w:p>
      <w:pPr>
        <w:spacing w:after="0" w:line="1" w:lineRule="exact"/>
        <w:rPr>
          <w:rFonts w:ascii="Arial" w:cs="Arial" w:eastAsia="Arial" w:hAnsi="Arial"/>
          <w:sz w:val="18"/>
          <w:szCs w:val="18"/>
          <w:color w:val="auto"/>
        </w:rPr>
      </w:pPr>
    </w:p>
    <w:p>
      <w:pPr>
        <w:ind w:left="340" w:right="40" w:hanging="332"/>
        <w:spacing w:after="0" w:line="262"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21"/>
          <w:szCs w:val="21"/>
          <w:color w:val="auto"/>
        </w:rPr>
        <w:t>Announced the new Access Array library workflow prep using the Juno instrument. The Access Array library workflow prep is a scalable, economical, and flexible workflow designed to enable users to validate up to 5,000 known and novel mutations per sample. We expect to launch the Access Array library prep in the second half of 2015.</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Outlook</w:t>
      </w:r>
    </w:p>
    <w:p>
      <w:pPr>
        <w:spacing w:after="0" w:line="28" w:lineRule="exact"/>
        <w:rPr>
          <w:sz w:val="20"/>
          <w:szCs w:val="20"/>
          <w:color w:val="auto"/>
        </w:rPr>
      </w:pPr>
    </w:p>
    <w:p>
      <w:pPr>
        <w:ind w:right="260"/>
        <w:spacing w:after="0" w:line="262" w:lineRule="auto"/>
        <w:rPr>
          <w:sz w:val="20"/>
          <w:szCs w:val="20"/>
          <w:color w:val="auto"/>
        </w:rPr>
      </w:pPr>
      <w:r>
        <w:rPr>
          <w:rFonts w:ascii="Arial" w:cs="Arial" w:eastAsia="Arial" w:hAnsi="Arial"/>
          <w:sz w:val="21"/>
          <w:szCs w:val="21"/>
          <w:color w:val="auto"/>
        </w:rPr>
        <w:t>Fluidigm is projecting total revenue to be between $133 million and $143 million versus prior guidance of between $142 million and $149 million. 2015 revenue projections incorporate an estimated negative currency related impact of approximately 4 to 5 percent at the midpoint of the range versus our prior estimate of approximately 3 to 4 percent.</w:t>
      </w:r>
    </w:p>
    <w:p>
      <w:pPr>
        <w:spacing w:after="0" w:line="177" w:lineRule="exact"/>
        <w:rPr>
          <w:sz w:val="20"/>
          <w:szCs w:val="20"/>
          <w:color w:val="auto"/>
        </w:rPr>
      </w:pPr>
    </w:p>
    <w:p>
      <w:pPr>
        <w:ind w:right="60"/>
        <w:spacing w:after="0" w:line="260" w:lineRule="auto"/>
        <w:rPr>
          <w:sz w:val="20"/>
          <w:szCs w:val="20"/>
          <w:color w:val="auto"/>
        </w:rPr>
      </w:pPr>
      <w:r>
        <w:rPr>
          <w:rFonts w:ascii="Arial" w:cs="Arial" w:eastAsia="Arial" w:hAnsi="Arial"/>
          <w:sz w:val="21"/>
          <w:szCs w:val="21"/>
          <w:color w:val="auto"/>
        </w:rPr>
        <w:t>The Company projects 2015 operating expenses on a GAAP basis to be between $129 and $134 million. Non-GAAP operating expenses, excluding approximately $19 million of estimated stock-based compensation expense, and $5 million of estimated depreciation and amortization expense, is expected to be between $105 million and $110 million (also, see accompanying table for reconciliation of GAAP and non-GAAP operating expenses for the first quarter results of 2015 and 2014). Stock-based compensation expense is projected to be between $18 and $20 million. Substantially all of our stock-based compensation expense is reflected in operating expenses. Interest expense is projected to be approximately $6 million and capital spending is projected to be between $6 and $9 million.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Fluidigm will host a conference call today, May 7, 2015 at 2:00 p.m. PST (5:00 p.m. EST). The call can be accessed by calling</w:t>
      </w:r>
    </w:p>
    <w:p>
      <w:pPr>
        <w:spacing w:after="0" w:line="38" w:lineRule="exact"/>
        <w:rPr>
          <w:sz w:val="20"/>
          <w:szCs w:val="20"/>
          <w:color w:val="auto"/>
        </w:rPr>
      </w:pPr>
    </w:p>
    <w:p>
      <w:pPr>
        <w:ind w:firstLine="8"/>
        <w:spacing w:after="0" w:line="302" w:lineRule="auto"/>
        <w:tabs>
          <w:tab w:leader="none" w:pos="522" w:val="left"/>
        </w:tabs>
        <w:numPr>
          <w:ilvl w:val="0"/>
          <w:numId w:val="5"/>
        </w:numPr>
        <w:rPr>
          <w:rFonts w:ascii="Arial" w:cs="Arial" w:eastAsia="Arial" w:hAnsi="Arial"/>
          <w:sz w:val="19"/>
          <w:szCs w:val="19"/>
          <w:color w:val="auto"/>
        </w:rPr>
      </w:pPr>
      <w:r>
        <w:rPr>
          <w:rFonts w:ascii="Arial" w:cs="Arial" w:eastAsia="Arial" w:hAnsi="Arial"/>
          <w:sz w:val="19"/>
          <w:szCs w:val="19"/>
          <w:color w:val="auto"/>
        </w:rPr>
        <w:t>556-5248 (domestic toll-free) or (720) 545-0029 (international toll). Fluidigm will also provide a live stream of its Q1 2015 financial results conference call for investors at: http://investors.fluidigm.com/events.cfm. The link will not be active until 4:45 p.m. Eastern Time on May 7, 2015. A telephone replay of the teleconference will be available 90 minutes after the end of the call at</w:t>
      </w:r>
    </w:p>
    <w:p>
      <w:pPr>
        <w:sectPr>
          <w:pgSz w:w="11900" w:h="16838" w:orient="portrait"/>
          <w:cols w:equalWidth="0" w:num="1">
            <w:col w:w="11400"/>
          </w:cols>
          <w:pgMar w:left="240" w:top="591" w:right="259" w:bottom="1440" w:gutter="0" w:footer="0" w:header="0"/>
        </w:sectPr>
      </w:pPr>
    </w:p>
    <w:bookmarkStart w:id="6" w:name="page7"/>
    <w:bookmarkEnd w:id="6"/>
    <w:p>
      <w:pPr>
        <w:ind w:right="60" w:firstLine="8"/>
        <w:spacing w:after="0" w:line="263" w:lineRule="auto"/>
        <w:tabs>
          <w:tab w:leader="none" w:pos="522"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859-2056 (domestic toll-free), or (404) 537-3406 (international toll), access code 10433842. The conference call will also be archived on the Fluidigm investor’s page at: </w:t>
      </w:r>
      <w:r>
        <w:rPr>
          <w:rFonts w:ascii="Arial" w:cs="Arial" w:eastAsia="Arial" w:hAnsi="Arial"/>
          <w:sz w:val="22"/>
          <w:szCs w:val="22"/>
          <w:u w:val="single" w:color="auto"/>
          <w:color w:val="auto"/>
        </w:rPr>
        <w:t>http://investors.fluidigm.com</w:t>
      </w:r>
      <w:r>
        <w:rPr>
          <w:rFonts w:ascii="Arial" w:cs="Arial" w:eastAsia="Arial" w:hAnsi="Arial"/>
          <w:sz w:val="22"/>
          <w:szCs w:val="22"/>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Regarding Use of Non-GAAP Financial Information</w:t>
      </w:r>
    </w:p>
    <w:p>
      <w:pPr>
        <w:spacing w:after="0" w:line="28" w:lineRule="exact"/>
        <w:rPr>
          <w:sz w:val="20"/>
          <w:szCs w:val="20"/>
          <w:color w:val="auto"/>
        </w:rPr>
      </w:pPr>
    </w:p>
    <w:p>
      <w:pPr>
        <w:spacing w:after="0" w:line="256" w:lineRule="auto"/>
        <w:rPr>
          <w:sz w:val="20"/>
          <w:szCs w:val="20"/>
          <w:color w:val="auto"/>
        </w:rPr>
      </w:pPr>
      <w:r>
        <w:rPr>
          <w:rFonts w:ascii="Arial" w:cs="Arial" w:eastAsia="Arial" w:hAnsi="Arial"/>
          <w:sz w:val="21"/>
          <w:szCs w:val="21"/>
          <w:color w:val="auto"/>
        </w:rPr>
        <w:t>Fluidigm has presented certain financial information in accordance with GAAP and also on a non-GAAP basis for the first quarter of 2015 and 2014.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GAAP and non-GAAP results are presented in the accompanying table of this release.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28" w:lineRule="exact"/>
        <w:rPr>
          <w:sz w:val="20"/>
          <w:szCs w:val="20"/>
          <w:color w:val="auto"/>
        </w:rPr>
      </w:pPr>
    </w:p>
    <w:p>
      <w:pPr>
        <w:ind w:right="20"/>
        <w:spacing w:after="0" w:line="284"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among others, statements relating to current estimates of 2015 total revenue, GAAP and non-GAAP operating expenses, stock-based compensation expense, interest expense, capital spending, and currency related impact on 2015 revenue; growth in the single-cell biology market and Fluidigm’s overall market opportunities; plans, objectives, expectations, and strategies for the development and growth of Fluidigm’s business; and Fluidigm’s CyTOF outlook and expectation of strong year-over-year growth in 2015. Forward-looking statements are subject to numerous risks and uncertainties that could cause actual results to differ materially from currently anticipated results, including but not limited to, risks relating to the future financial performance of Fluidigm’s proteomics and genomics product lines; challenges inherent in developing, manufacturing, launching, marketing, and selling new products; the possible loss of key employees, customers, or suppliers; intellectual property risks, including risks relating to maintaining material in-licensed intellectual property rights; competition; Fluidigm’s sales, marketing and distribution capabilities; Fluidigm’s planned sales, marketing, and research and development activities; reduction in research and development spending or changes in budget priorities by customers; interruptions or delays in the supply of components or materials for, or manufacturing of, its products; seasonal variations in customer operations; unanticipated increases in costs or expenses; and risks associated with international operations. Information on these and additional risks, uncertainties, and other information affecting Fluidigm’s business and operating results are contained in Fluidigm’s Annual Report on Form 10-K for the year ended December 31, 2014, and other filings with the Securities and Exchange Commission. Additional information will also be set forth in Fluidigm’s Quarterly Report on Form 10-Q for the three months ended March 31, 2015 to be filed with the Securities and Exchange Commission. These forward-looking statements speak only as of the date hereof. Fluidigm Corporation disclaims any obligation to update these forward-looking statements except as may be required by law.</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28" w:lineRule="exact"/>
        <w:rPr>
          <w:sz w:val="20"/>
          <w:szCs w:val="20"/>
          <w:color w:val="auto"/>
        </w:rPr>
      </w:pPr>
    </w:p>
    <w:p>
      <w:pPr>
        <w:ind w:right="180"/>
        <w:spacing w:after="0" w:line="295" w:lineRule="auto"/>
        <w:rPr>
          <w:sz w:val="20"/>
          <w:szCs w:val="20"/>
          <w:color w:val="auto"/>
        </w:rPr>
      </w:pPr>
      <w:r>
        <w:rPr>
          <w:rFonts w:ascii="Arial" w:cs="Arial" w:eastAsia="Arial" w:hAnsi="Arial"/>
          <w:sz w:val="19"/>
          <w:szCs w:val="19"/>
          <w:color w:val="auto"/>
        </w:rPr>
        <w:t>Fluidigm (NASDAQ:FLDM) develops, manufactures, and markets life science analytical and preparatory systems for growth markets such as single-cell biology and production genomics. We sell to leading academic institutions, clinical laboratories, and pharmaceutical, biotechnology, and agricultural biotechnology companies worldwide. Our systems are based on proprietary microfluidics and multi-parameter mass cytometry technology, and are designed to significantly simplify experimental workflow,</w:t>
      </w:r>
    </w:p>
    <w:p>
      <w:pPr>
        <w:sectPr>
          <w:pgSz w:w="11900" w:h="16838" w:orient="portrait"/>
          <w:cols w:equalWidth="0" w:num="1">
            <w:col w:w="11380"/>
          </w:cols>
          <w:pgMar w:left="240" w:top="591" w:right="279" w:bottom="1440" w:gutter="0" w:footer="0" w:header="0"/>
        </w:sectPr>
      </w:pPr>
    </w:p>
    <w:bookmarkStart w:id="7" w:name="page8"/>
    <w:bookmarkEnd w:id="7"/>
    <w:p>
      <w:pPr>
        <w:ind w:right="380"/>
        <w:spacing w:after="0" w:line="263" w:lineRule="auto"/>
        <w:rPr>
          <w:sz w:val="20"/>
          <w:szCs w:val="20"/>
          <w:color w:val="auto"/>
        </w:rPr>
      </w:pPr>
      <w:r>
        <w:rPr>
          <w:rFonts w:ascii="Arial" w:cs="Arial" w:eastAsia="Arial" w:hAnsi="Arial"/>
          <w:sz w:val="22"/>
          <w:szCs w:val="22"/>
          <w:color w:val="auto"/>
        </w:rPr>
        <w:t>increase throughput, and reduce costs, while providing excellent data quality. Fluidigm products are provided for Research Use Only. Not for use in diagnostic procedures.</w:t>
      </w:r>
    </w:p>
    <w:p>
      <w:pPr>
        <w:spacing w:after="0" w:line="175"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We use our website (www.fluidigm.com), corporate Twitter account (@Fluidigm), Facebook page (https://www.facebook.com/Fluidigm), and LinkedIn page (https://www.linkedin.com/company/fluidigm-corporation)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50"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auto"/>
        </w:rPr>
        <w:t>Fluidigm, the Fluidigm logo, CyTOF, Biomark, Juno, Polaris, C1, and Access Array are trademarks or registered trademarks of Fluidigm Corporation.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Fluidigm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Ana Petrovic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Director, Investor Relations &amp; Strategy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650.243.6628 (Office)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ana.petrovic@fluidigm.com</w:t>
      </w:r>
    </w:p>
    <w:p>
      <w:pPr>
        <w:sectPr>
          <w:pgSz w:w="11900" w:h="16838" w:orient="portrait"/>
          <w:cols w:equalWidth="0" w:num="1">
            <w:col w:w="11380"/>
          </w:cols>
          <w:pgMar w:left="240" w:top="591"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15,820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15,107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10,826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10,342</w:t>
            </w:r>
          </w:p>
        </w:tc>
        <w:tc>
          <w:tcPr>
            <w:tcW w:w="0" w:type="dxa"/>
            <w:vAlign w:val="bottom"/>
          </w:tcPr>
          <w:p>
            <w:pPr>
              <w:spacing w:after="0"/>
              <w:rPr>
                <w:sz w:val="1"/>
                <w:szCs w:val="1"/>
                <w:color w:val="auto"/>
              </w:rPr>
            </w:pPr>
          </w:p>
        </w:tc>
      </w:tr>
      <w:tr>
        <w:trPr>
          <w:trHeight w:val="237"/>
        </w:trPr>
        <w:tc>
          <w:tcPr>
            <w:tcW w:w="8460" w:type="dxa"/>
            <w:vAlign w:val="bottom"/>
          </w:tcPr>
          <w:p>
            <w:pPr>
              <w:ind w:left="280"/>
              <w:spacing w:after="0"/>
              <w:rPr>
                <w:sz w:val="20"/>
                <w:szCs w:val="20"/>
                <w:color w:val="auto"/>
              </w:rPr>
            </w:pPr>
            <w:r>
              <w:rPr>
                <w:rFonts w:ascii="Arial" w:cs="Arial" w:eastAsia="Arial" w:hAnsi="Arial"/>
                <w:sz w:val="18"/>
                <w:szCs w:val="18"/>
                <w:color w:val="auto"/>
              </w:rPr>
              <w:t>Product revenue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26,646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25,449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License and grant revenue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26,729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25,724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Cost of product revenue</w:t>
            </w: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10,646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20,094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15,257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Acquisition-related expenses</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10,696</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40,730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42,303</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(16,579)</w:t>
            </w:r>
          </w:p>
        </w:tc>
        <w:tc>
          <w:tcPr>
            <w:tcW w:w="0" w:type="dxa"/>
            <w:vAlign w:val="bottom"/>
          </w:tcPr>
          <w:p>
            <w:pPr>
              <w:spacing w:after="0"/>
              <w:rPr>
                <w:sz w:val="1"/>
                <w:szCs w:val="1"/>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(17,557)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(15,931)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(15,414)</w:t>
            </w:r>
          </w:p>
        </w:tc>
        <w:tc>
          <w:tcPr>
            <w:tcW w:w="0" w:type="dxa"/>
            <w:vAlign w:val="bottom"/>
          </w:tcPr>
          <w:p>
            <w:pPr>
              <w:spacing w:after="0"/>
              <w:rPr>
                <w:sz w:val="1"/>
                <w:szCs w:val="1"/>
                <w:color w:val="auto"/>
              </w:rPr>
            </w:pPr>
          </w:p>
        </w:tc>
      </w:tr>
      <w:tr>
        <w:trPr>
          <w:trHeight w:val="67"/>
        </w:trPr>
        <w:tc>
          <w:tcPr>
            <w:tcW w:w="84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4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loss per share, basic and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4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28,468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26,900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4"/>
                <w:szCs w:val="14"/>
                <w:color w:val="auto"/>
              </w:rPr>
            </w:pPr>
          </w:p>
        </w:tc>
        <w:tc>
          <w:tcPr>
            <w:tcW w:w="16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7"/>
              </w:rPr>
              <w:t xml:space="preserve">December 31, 2014 </w:t>
            </w:r>
            <w:r>
              <w:rPr>
                <w:rFonts w:ascii="Arial" w:cs="Arial" w:eastAsia="Arial" w:hAnsi="Arial"/>
                <w:sz w:val="8"/>
                <w:szCs w:val="8"/>
                <w:b w:val="1"/>
                <w:bCs w:val="1"/>
                <w:color w:val="auto"/>
                <w:w w:val="97"/>
              </w:rPr>
              <w:t>(1)</w:t>
            </w: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33,713</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79,424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81,588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22,384</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17,394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15,991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155,233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155,897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27,499</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14,053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13,889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Developed technology, net</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99,400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102,200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104,108</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395,031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407,559</w:t>
            </w:r>
          </w:p>
        </w:tc>
        <w:tc>
          <w:tcPr>
            <w:tcW w:w="0" w:type="dxa"/>
            <w:vAlign w:val="bottom"/>
          </w:tcPr>
          <w:p>
            <w:pPr>
              <w:spacing w:after="0"/>
              <w:rPr>
                <w:sz w:val="1"/>
                <w:szCs w:val="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5,919</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4,840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6,874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Deferred revenue, current portion</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7,346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29,385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195,512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195,455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26,152</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6,818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6,148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252,578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257,140</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142,453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150,419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395,031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407,559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Derived from audited consolidated financial statements</w:t>
      </w:r>
    </w:p>
    <w:p>
      <w:pPr>
        <w:sectPr>
          <w:pgSz w:w="11900" w:h="16838" w:orient="portrait"/>
          <w:cols w:equalWidth="0" w:num="1">
            <w:col w:w="11420"/>
          </w:cols>
          <w:pgMar w:left="240" w:top="742" w:right="2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520" w:type="dxa"/>
            <w:vAlign w:val="bottom"/>
            <w:tcBorders>
              <w:bottom w:val="single" w:sz="8" w:color="auto"/>
            </w:tcBorders>
            <w:gridSpan w:val="5"/>
          </w:tcPr>
          <w:p>
            <w:pPr>
              <w:jc w:val="right"/>
              <w:ind w:right="67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8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2014</w:t>
            </w: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(15,931)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(15,414)</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920</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4,068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3,379</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developed technology</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Non-cash charges related to acquisition</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3,165</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 net</w:t>
            </w: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(9,800)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(10,547)</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4"/>
        </w:trPr>
        <w:tc>
          <w:tcPr>
            <w:tcW w:w="78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net of cash acquired</w:t>
            </w:r>
          </w:p>
        </w:tc>
        <w:tc>
          <w:tcPr>
            <w:tcW w:w="1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(113,190)</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Purchases of investments</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(15,003)</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 and maturities of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8,775</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Purchase of intangible assets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0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10,071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(121,231)</w:t>
            </w: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4"/>
        </w:trPr>
        <w:tc>
          <w:tcPr>
            <w:tcW w:w="78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issuance of convertible notes, net</w:t>
            </w:r>
          </w:p>
        </w:tc>
        <w:tc>
          <w:tcPr>
            <w:tcW w:w="1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195,212</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3,732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2,287</w:t>
            </w:r>
          </w:p>
        </w:tc>
      </w:tr>
      <w:tr>
        <w:trPr>
          <w:trHeight w:val="27"/>
        </w:trPr>
        <w:tc>
          <w:tcPr>
            <w:tcW w:w="7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197,499</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42</w:t>
            </w:r>
          </w:p>
        </w:tc>
      </w:tr>
      <w:tr>
        <w:trPr>
          <w:trHeight w:val="27"/>
        </w:trPr>
        <w:tc>
          <w:tcPr>
            <w:tcW w:w="7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65,763</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33,713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35,261</w:t>
            </w:r>
          </w:p>
        </w:tc>
      </w:tr>
      <w:tr>
        <w:trPr>
          <w:trHeight w:val="27"/>
        </w:trPr>
        <w:tc>
          <w:tcPr>
            <w:tcW w:w="7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36,982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101,024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360"/>
          </w:cols>
          <w:pgMar w:left="280" w:top="580"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FLUIDIGM CORPORATION</w:t>
      </w:r>
    </w:p>
    <w:p>
      <w:pPr>
        <w:jc w:val="center"/>
        <w:ind w:right="40"/>
        <w:spacing w:after="0" w:line="204" w:lineRule="auto"/>
        <w:rPr>
          <w:sz w:val="20"/>
          <w:szCs w:val="20"/>
          <w:color w:val="auto"/>
        </w:rPr>
      </w:pPr>
      <w:r>
        <w:rPr>
          <w:rFonts w:ascii="Arial" w:cs="Arial" w:eastAsia="Arial" w:hAnsi="Arial"/>
          <w:sz w:val="18"/>
          <w:szCs w:val="18"/>
          <w:b w:val="1"/>
          <w:bCs w:val="1"/>
          <w:color w:val="auto"/>
        </w:rPr>
        <w:t>RECONCILIATION OF GAAP TO NON-GAAP FINANCIAL INFORMATION</w:t>
      </w:r>
      <w:r>
        <w:rPr>
          <w:rFonts w:ascii="Arial" w:cs="Arial" w:eastAsia="Arial" w:hAnsi="Arial"/>
          <w:sz w:val="25"/>
          <w:szCs w:val="25"/>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9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(GAAP)</w:t>
            </w:r>
          </w:p>
        </w:tc>
        <w:tc>
          <w:tcPr>
            <w:tcW w:w="4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(15,931)</w:t>
            </w:r>
          </w:p>
        </w:tc>
        <w:tc>
          <w:tcPr>
            <w:tcW w:w="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Acquisition-related expenses</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Amortization of developed technology</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charge for sale of inventory revalued at the date of acquisition</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Benefit from acquisition related income taxes</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(820)</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(Non-GAAP)</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(7,258)</w:t>
            </w:r>
          </w:p>
        </w:tc>
        <w:tc>
          <w:tcPr>
            <w:tcW w:w="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 basic and diluted (GAAP)</w:t>
            </w: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7940" w:type="dxa"/>
            <w:vAlign w:val="bottom"/>
            <w:vMerge w:val="continue"/>
          </w:tcPr>
          <w:p>
            <w:pPr>
              <w:spacing w:after="0"/>
              <w:rPr>
                <w:sz w:val="19"/>
                <w:szCs w:val="19"/>
                <w:color w:val="auto"/>
              </w:rPr>
            </w:pP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(0.56)</w:t>
            </w:r>
          </w:p>
        </w:tc>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tcBorders>
              <w:bottom w:val="single" w:sz="8" w:color="CCEEFF"/>
            </w:tcBorders>
          </w:tcPr>
          <w:p>
            <w:pPr>
              <w:spacing w:after="0"/>
              <w:rPr>
                <w:sz w:val="5"/>
                <w:szCs w:val="5"/>
                <w:color w:val="auto"/>
              </w:rPr>
            </w:pPr>
          </w:p>
        </w:tc>
        <w:tc>
          <w:tcPr>
            <w:tcW w:w="794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income per share - basic and diluted (Non-GAAP)</w:t>
            </w:r>
          </w:p>
        </w:tc>
        <w:tc>
          <w:tcPr>
            <w:tcW w:w="4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(0.25)</w:t>
            </w:r>
          </w:p>
        </w:tc>
        <w:tc>
          <w:tcPr>
            <w:tcW w:w="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10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9600" w:type="dxa"/>
            <w:vAlign w:val="bottom"/>
            <w:gridSpan w:val="5"/>
          </w:tcPr>
          <w:p>
            <w:pPr>
              <w:ind w:left="2040"/>
              <w:spacing w:after="0"/>
              <w:rPr>
                <w:sz w:val="20"/>
                <w:szCs w:val="20"/>
                <w:color w:val="auto"/>
              </w:rPr>
            </w:pPr>
            <w:r>
              <w:rPr>
                <w:rFonts w:ascii="Arial" w:cs="Arial" w:eastAsia="Arial" w:hAnsi="Arial"/>
                <w:sz w:val="18"/>
                <w:szCs w:val="18"/>
                <w:b w:val="1"/>
                <w:bCs w:val="1"/>
                <w:color w:val="auto"/>
              </w:rPr>
              <w:t>ITEMIZED RECONCILIATION BETWEEN GAAP AND NON-GAAP PRODUCT MARGIN</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gridSpan w:val="7"/>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9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margin (GAAP)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16,745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Amortization of developed technology</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Non-cash charge for sale of inventory revalued at the date of acquisition</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 margin (Non-GAAP)</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19,539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19,144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 margin percentage (GAAP)</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margin percentage (Non-GAAP)</w:t>
            </w:r>
          </w:p>
        </w:tc>
        <w:tc>
          <w:tcPr>
            <w:tcW w:w="1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0" w:type="dxa"/>
            <w:vAlign w:val="bottom"/>
          </w:tcPr>
          <w:p>
            <w:pPr>
              <w:spacing w:after="0"/>
              <w:rPr>
                <w:sz w:val="24"/>
                <w:szCs w:val="24"/>
                <w:color w:val="auto"/>
              </w:rPr>
            </w:pPr>
          </w:p>
        </w:tc>
        <w:tc>
          <w:tcPr>
            <w:tcW w:w="9600" w:type="dxa"/>
            <w:vAlign w:val="bottom"/>
            <w:gridSpan w:val="5"/>
          </w:tcPr>
          <w:p>
            <w:pPr>
              <w:ind w:left="1880"/>
              <w:spacing w:after="0"/>
              <w:rPr>
                <w:sz w:val="20"/>
                <w:szCs w:val="20"/>
                <w:color w:val="auto"/>
              </w:rPr>
            </w:pPr>
            <w:r>
              <w:rPr>
                <w:rFonts w:ascii="Arial" w:cs="Arial" w:eastAsia="Arial" w:hAnsi="Arial"/>
                <w:sz w:val="18"/>
                <w:szCs w:val="18"/>
                <w:b w:val="1"/>
                <w:bCs w:val="1"/>
                <w:color w:val="auto"/>
              </w:rPr>
              <w:t>ITEMIZED RECONCILIATION BETWEEN GAAP AND NON-GAAP OPERATING EXPENSES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79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 (GAAP)</w:t>
            </w:r>
          </w:p>
        </w:tc>
        <w:tc>
          <w:tcPr>
            <w:tcW w:w="4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30,084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33,599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Acquisition-related expenses</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(3,584)</w:t>
            </w: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(917)</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(Non-GAAP)</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25,583</w:t>
            </w:r>
          </w:p>
        </w:tc>
        <w:tc>
          <w:tcPr>
            <w:tcW w:w="10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19,123</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RECONCILIATION OF GAAP TO NON-GAAP REVENUE GROWTH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EXCLUDING THE IMPACT OF FOREIGN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 growth, reported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Impact of foreign exchange</w:t>
            </w:r>
          </w:p>
        </w:tc>
        <w:tc>
          <w:tcPr>
            <w:tcW w:w="1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9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revenue growth, constant currency</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0"/>
        </w:trPr>
        <w:tc>
          <w:tcPr>
            <w:tcW w:w="9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firstLine="8"/>
        <w:spacing w:after="0" w:line="277"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Acquisition-related expenses include charges for accelerated vesting of certain DVS restricted stock and options; consulting, legal, and investment banking fees; and other expenses.</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877"/>
    </w:lvl>
  </w:abstractNum>
  <w:abstractNum w:abstractNumId="5">
    <w:nsid w:val="2EB141F2"/>
    <w:multiLevelType w:val="hybridMultilevel"/>
    <w:lvl w:ilvl="0">
      <w:lvlJc w:val="left"/>
      <w:lvlText w:val="(%1)"/>
      <w:numFmt w:val="decimal"/>
      <w:start w:val="855"/>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2019-12-07T23:55:37Z</dcterms:created>
  <dcterms:modified xsi:type="dcterms:W3CDTF">2019-12-07T23:55:37Z</dcterms:modified>
</cp:coreProperties>
</file>