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8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867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18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restart"/>
          </w:tcPr>
          <w:p>
            <w:pPr>
              <w:ind w:left="180"/>
              <w:spacing w:after="0" w:line="157" w:lineRule="exact"/>
              <w:rPr>
                <w:sz w:val="20"/>
                <w:szCs w:val="20"/>
                <w:color w:val="auto"/>
              </w:rPr>
            </w:pPr>
            <w:r>
              <w:rPr>
                <w:rFonts w:ascii="Arial" w:cs="Arial" w:eastAsia="Arial" w:hAnsi="Arial"/>
                <w:sz w:val="14"/>
                <w:szCs w:val="14"/>
                <w:color w:val="auto"/>
                <w:w w:val="96"/>
              </w:rPr>
              <w:t>Officer (give title</w:t>
            </w:r>
          </w:p>
        </w:tc>
        <w:tc>
          <w:tcPr>
            <w:tcW w:w="1820" w:type="dxa"/>
            <w:vAlign w:val="bottom"/>
            <w:gridSpan w:val="3"/>
            <w:vMerge w:val="restart"/>
          </w:tcPr>
          <w:p>
            <w:pPr>
              <w:ind w:left="6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600" w:type="dxa"/>
            <w:vAlign w:val="bottom"/>
          </w:tcPr>
          <w:p>
            <w:pPr>
              <w:ind w:left="3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5"/>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below)</w:t>
            </w:r>
          </w:p>
        </w:tc>
        <w:tc>
          <w:tcPr>
            <w:tcW w:w="1820" w:type="dxa"/>
            <w:vAlign w:val="bottom"/>
            <w:gridSpan w:val="3"/>
          </w:tcPr>
          <w:p>
            <w:pPr>
              <w:ind w:left="6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color w:val="0000FF"/>
                <w:w w:val="96"/>
              </w:rPr>
              <w:t>FLUIDIGM CORPORATION</w:t>
            </w:r>
          </w:p>
        </w:tc>
        <w:tc>
          <w:tcPr>
            <w:tcW w:w="1600" w:type="dxa"/>
            <w:vAlign w:val="bottom"/>
          </w:tcPr>
          <w:p>
            <w:pPr>
              <w:spacing w:after="0"/>
              <w:rPr>
                <w:sz w:val="19"/>
                <w:szCs w:val="19"/>
                <w:color w:val="auto"/>
              </w:rPr>
            </w:pPr>
          </w:p>
        </w:tc>
        <w:tc>
          <w:tcPr>
            <w:tcW w:w="1640" w:type="dxa"/>
            <w:vAlign w:val="bottom"/>
            <w:gridSpan w:val="4"/>
          </w:tcPr>
          <w:p>
            <w:pPr>
              <w:ind w:left="160"/>
              <w:spacing w:after="0"/>
              <w:rPr>
                <w:sz w:val="20"/>
                <w:szCs w:val="20"/>
                <w:color w:val="auto"/>
              </w:rPr>
            </w:pPr>
            <w:r>
              <w:rPr>
                <w:rFonts w:ascii="Arial" w:cs="Arial" w:eastAsia="Arial" w:hAnsi="Arial"/>
                <w:sz w:val="18"/>
                <w:szCs w:val="18"/>
                <w:color w:val="0000FF"/>
              </w:rPr>
              <w:t>02/13/2018</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6"/>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3"/>
                <w:szCs w:val="13"/>
                <w:color w:val="auto"/>
              </w:rPr>
            </w:pPr>
          </w:p>
        </w:tc>
        <w:tc>
          <w:tcPr>
            <w:tcW w:w="3440" w:type="dxa"/>
            <w:vAlign w:val="bottom"/>
            <w:gridSpan w:val="6"/>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40" w:type="dxa"/>
            <w:vAlign w:val="bottom"/>
            <w:gridSpan w:val="6"/>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SOUTH SAN</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34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0" w:type="dxa"/>
            <w:vAlign w:val="bottom"/>
            <w:gridSpan w:val="4"/>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02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ind w:left="20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600" w:type="dxa"/>
            <w:vAlign w:val="bottom"/>
          </w:tcPr>
          <w:p>
            <w:pPr>
              <w:ind w:left="3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3"/>
          </w:tcPr>
          <w:p>
            <w:pPr>
              <w:ind w:lef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00" w:type="dxa"/>
            <w:vAlign w:val="bottom"/>
            <w:gridSpan w:val="4"/>
          </w:tcPr>
          <w:p>
            <w:pPr>
              <w:ind w:left="10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40" w:type="dxa"/>
            <w:vAlign w:val="bottom"/>
          </w:tcPr>
          <w:p>
            <w:pPr>
              <w:spacing w:after="0"/>
              <w:rPr>
                <w:sz w:val="15"/>
                <w:szCs w:val="15"/>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4"/>
          </w:tcPr>
          <w:p>
            <w:pPr>
              <w:ind w:left="10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4"/>
          </w:tcPr>
          <w:p>
            <w:pPr>
              <w:ind w:left="1140"/>
              <w:spacing w:after="0"/>
              <w:rPr>
                <w:sz w:val="20"/>
                <w:szCs w:val="20"/>
                <w:color w:val="auto"/>
              </w:rPr>
            </w:pPr>
            <w:r>
              <w:rPr>
                <w:rFonts w:ascii="Arial" w:cs="Arial" w:eastAsia="Arial" w:hAnsi="Arial"/>
                <w:sz w:val="18"/>
                <w:szCs w:val="18"/>
                <w:color w:val="0000FF"/>
              </w:rPr>
              <w:t>02/13/2018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5"/>
              </w:rPr>
              <w:t>12,830</w:t>
            </w:r>
            <w:r>
              <w:rPr>
                <w:rFonts w:ascii="Arial" w:cs="Arial" w:eastAsia="Arial" w:hAnsi="Arial"/>
                <w:sz w:val="22"/>
                <w:szCs w:val="22"/>
                <w:color w:val="008000"/>
                <w:w w:val="95"/>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71,923</w:t>
            </w:r>
          </w:p>
        </w:tc>
        <w:tc>
          <w:tcPr>
            <w:tcW w:w="9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5,561</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53,395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3,326</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8"/>
          <w:szCs w:val="18"/>
          <w:color w:val="0000FF"/>
        </w:rPr>
        <w:t>dated</w:t>
      </w:r>
    </w:p>
    <w:p>
      <w:pPr>
        <w:spacing w:after="0" w:line="9" w:lineRule="exact"/>
        <w:rPr>
          <w:sz w:val="20"/>
          <w:szCs w:val="20"/>
          <w:color w:val="auto"/>
        </w:rPr>
      </w:pPr>
    </w:p>
    <w:p>
      <w:pPr>
        <w:ind w:left="10600"/>
        <w:spacing w:after="0"/>
        <w:rPr>
          <w:sz w:val="20"/>
          <w:szCs w:val="20"/>
          <w:color w:val="auto"/>
        </w:rPr>
      </w:pPr>
      <w:r>
        <w:rPr>
          <w:rFonts w:ascii="Arial" w:cs="Arial" w:eastAsia="Arial" w:hAnsi="Arial"/>
          <w:sz w:val="18"/>
          <w:szCs w:val="18"/>
          <w:color w:val="0000FF"/>
        </w:rPr>
        <w:t>9/21/1992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FLDM common stock upon vesting of the unit. Subject to the Reporting Person's continued service with the Issuer through each applicable vesting date, twenty-five percent (25%) of the shares underlying the Restricted Stock Units shall vest quarterly on the last day of each quarter during 2018.</w:t>
      </w: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 The Reporting Person is the General Partner of Colella Partners. The Reporting Person disclaims beneficial ownership of such shares held by Colella Partners, except to the extent of his proportionate pecuniary interest therein, if any.</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0000FF"/>
                <w:w w:val="89"/>
              </w:rPr>
              <w:t>/s/ Samuel D. Colella by</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0000FF"/>
              </w:rPr>
              <w:t>02/15/2018</w:t>
            </w:r>
          </w:p>
        </w:tc>
      </w:tr>
      <w:tr>
        <w:trPr>
          <w:trHeight w:val="20"/>
        </w:trPr>
        <w:tc>
          <w:tcPr>
            <w:tcW w:w="1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6"/>
        </w:trPr>
        <w:tc>
          <w:tcPr>
            <w:tcW w:w="2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9"/>
              </w:rPr>
              <w:t>Nicholas Khadder, Attorney-</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31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2019-12-04T00:55:31Z</dcterms:created>
  <dcterms:modified xsi:type="dcterms:W3CDTF">2019-12-04T00:55:31Z</dcterms:modified>
</cp:coreProperties>
</file>